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362C2" w14:textId="5F5A8AD4" w:rsidR="00111265" w:rsidRDefault="00F15CF3" w:rsidP="00F15CF3">
      <w:pPr>
        <w:pStyle w:val="6-Author-ENG"/>
        <w:rPr>
          <w:rFonts w:hint="eastAsia"/>
        </w:rPr>
      </w:pPr>
      <w:bookmarkStart w:id="0" w:name="_Hlk152446779"/>
      <w:r>
        <w:rPr>
          <w:rFonts w:hint="eastAsia"/>
        </w:rPr>
        <w:t>Supplementary data for</w:t>
      </w:r>
    </w:p>
    <w:p w14:paraId="60F174AE" w14:textId="77777777" w:rsidR="00F15CF3" w:rsidRDefault="00F15CF3" w:rsidP="00F15CF3">
      <w:pPr>
        <w:pStyle w:val="8-Title-ENG"/>
      </w:pPr>
      <w:bookmarkStart w:id="1" w:name="_Hlk185928580"/>
      <w:bookmarkEnd w:id="1"/>
      <w:r>
        <w:t>Highly Selective Removal of Perchlorate from Water: Roles of Unconventional Hydrogen Bond and Hydrophobic Cavit</w:t>
      </w:r>
      <w:r>
        <w:rPr>
          <w:rFonts w:hint="eastAsia"/>
        </w:rPr>
        <w:t>y</w:t>
      </w:r>
    </w:p>
    <w:p w14:paraId="2A161D7D" w14:textId="77777777" w:rsidR="00F15CF3" w:rsidRDefault="00F15CF3" w:rsidP="00F15CF3">
      <w:pPr>
        <w:pStyle w:val="6-Author-ENG"/>
        <w:rPr>
          <w:vertAlign w:val="superscript"/>
        </w:rPr>
      </w:pPr>
      <w:r>
        <w:t>Jian Ao</w:t>
      </w:r>
      <w:r>
        <w:rPr>
          <w:rFonts w:hint="eastAsia"/>
          <w:lang w:eastAsia="zh-CN"/>
        </w:rPr>
        <w:t xml:space="preserve"> </w:t>
      </w:r>
      <w:r>
        <w:rPr>
          <w:rFonts w:hint="eastAsia"/>
          <w:vertAlign w:val="superscript"/>
          <w:lang w:eastAsia="zh-CN"/>
        </w:rPr>
        <w:t>a</w:t>
      </w:r>
      <w:r>
        <w:t xml:space="preserve">, </w:t>
      </w:r>
      <w:proofErr w:type="spellStart"/>
      <w:r>
        <w:t>Lingjun</w:t>
      </w:r>
      <w:proofErr w:type="spellEnd"/>
      <w:r>
        <w:t xml:space="preserve"> Bu</w:t>
      </w:r>
      <w:r>
        <w:rPr>
          <w:rFonts w:hint="eastAsia"/>
          <w:lang w:eastAsia="zh-CN"/>
        </w:rPr>
        <w:t xml:space="preserve"> </w:t>
      </w:r>
      <w:proofErr w:type="gramStart"/>
      <w:r>
        <w:rPr>
          <w:rFonts w:hint="eastAsia"/>
          <w:vertAlign w:val="superscript"/>
          <w:lang w:eastAsia="zh-CN"/>
        </w:rPr>
        <w:t>a,</w:t>
      </w:r>
      <w:r>
        <w:t>*</w:t>
      </w:r>
      <w:proofErr w:type="gramEnd"/>
      <w:r>
        <w:t xml:space="preserve">, </w:t>
      </w:r>
      <w:proofErr w:type="spellStart"/>
      <w:r>
        <w:t>Yangtao</w:t>
      </w:r>
      <w:proofErr w:type="spellEnd"/>
      <w:r>
        <w:t xml:space="preserve"> Wu</w:t>
      </w:r>
      <w:r>
        <w:rPr>
          <w:rFonts w:hint="eastAsia"/>
          <w:lang w:eastAsia="zh-CN"/>
        </w:rPr>
        <w:t xml:space="preserve"> </w:t>
      </w:r>
      <w:r>
        <w:rPr>
          <w:rFonts w:hint="eastAsia"/>
          <w:vertAlign w:val="superscript"/>
          <w:lang w:eastAsia="zh-CN"/>
        </w:rPr>
        <w:t>a</w:t>
      </w:r>
      <w:r>
        <w:t xml:space="preserve">, </w:t>
      </w:r>
      <w:proofErr w:type="spellStart"/>
      <w:r>
        <w:t>Jinming</w:t>
      </w:r>
      <w:proofErr w:type="spellEnd"/>
      <w:r>
        <w:t xml:space="preserve"> Luo</w:t>
      </w:r>
      <w:r>
        <w:rPr>
          <w:rFonts w:hint="eastAsia"/>
          <w:lang w:eastAsia="zh-CN"/>
        </w:rPr>
        <w:t xml:space="preserve"> </w:t>
      </w:r>
      <w:r>
        <w:rPr>
          <w:rFonts w:hint="eastAsia"/>
          <w:vertAlign w:val="superscript"/>
          <w:lang w:eastAsia="zh-CN"/>
        </w:rPr>
        <w:t>b</w:t>
      </w:r>
      <w:r>
        <w:t xml:space="preserve">, </w:t>
      </w:r>
      <w:proofErr w:type="spellStart"/>
      <w:r>
        <w:t>Shiqing</w:t>
      </w:r>
      <w:proofErr w:type="spellEnd"/>
      <w:r>
        <w:t xml:space="preserve"> Zhou</w:t>
      </w:r>
      <w:r>
        <w:rPr>
          <w:rFonts w:hint="eastAsia"/>
          <w:lang w:eastAsia="zh-CN"/>
        </w:rPr>
        <w:t xml:space="preserve"> </w:t>
      </w:r>
      <w:r>
        <w:rPr>
          <w:rFonts w:hint="eastAsia"/>
          <w:vertAlign w:val="superscript"/>
          <w:lang w:eastAsia="zh-CN"/>
        </w:rPr>
        <w:t>a,</w:t>
      </w:r>
      <w:r>
        <w:t>*</w:t>
      </w:r>
    </w:p>
    <w:p w14:paraId="2D761BEE" w14:textId="77777777" w:rsidR="00F15CF3" w:rsidRDefault="00F15CF3" w:rsidP="00F15CF3">
      <w:pPr>
        <w:pStyle w:val="7-Affili-ENG"/>
      </w:pPr>
      <w:r>
        <w:rPr>
          <w:vertAlign w:val="superscript"/>
          <w:lang w:eastAsia="zh-CN"/>
        </w:rPr>
        <w:t>a</w:t>
      </w:r>
      <w:r>
        <w:rPr>
          <w:rFonts w:hint="eastAsia"/>
          <w:lang w:eastAsia="zh-CN"/>
        </w:rPr>
        <w:t xml:space="preserve"> </w:t>
      </w:r>
      <w:r>
        <w:t>Hunan Engineering Research Center of Water Security Technology and Application, College of Civil Engineering, Hunan University, Changsha 410082, China</w:t>
      </w:r>
    </w:p>
    <w:p w14:paraId="271A32EF" w14:textId="77777777" w:rsidR="00F15CF3" w:rsidRDefault="00F15CF3" w:rsidP="00F15CF3">
      <w:pPr>
        <w:pStyle w:val="7-Affili-ENG"/>
      </w:pPr>
      <w:r>
        <w:rPr>
          <w:rFonts w:hint="eastAsia"/>
          <w:vertAlign w:val="superscript"/>
          <w:lang w:eastAsia="zh-CN"/>
        </w:rPr>
        <w:t>b</w:t>
      </w:r>
      <w:r>
        <w:t xml:space="preserve"> School of Environmental Science and Engineering, Shanghai Jiao Tong University, Shanghai 200240, China</w:t>
      </w:r>
    </w:p>
    <w:p w14:paraId="3320BA84" w14:textId="77777777" w:rsidR="00F15CF3" w:rsidRDefault="00F15CF3" w:rsidP="00F15CF3">
      <w:pPr>
        <w:pStyle w:val="6-Corre-ENG"/>
      </w:pPr>
      <w:r>
        <w:t>* Corresponding authors</w:t>
      </w:r>
    </w:p>
    <w:p w14:paraId="09A01C91" w14:textId="77777777" w:rsidR="00F15CF3" w:rsidRDefault="00F15CF3" w:rsidP="00F15CF3">
      <w:pPr>
        <w:pStyle w:val="6-Corre-ENG"/>
      </w:pPr>
      <w:r w:rsidRPr="00F15CF3">
        <w:rPr>
          <w:i/>
          <w:iCs/>
        </w:rPr>
        <w:t>E</w:t>
      </w:r>
      <w:r w:rsidRPr="00F15CF3">
        <w:rPr>
          <w:rFonts w:hint="eastAsia"/>
          <w:i/>
          <w:iCs/>
        </w:rPr>
        <w:t>-</w:t>
      </w:r>
      <w:r w:rsidRPr="00F15CF3">
        <w:rPr>
          <w:i/>
          <w:iCs/>
        </w:rPr>
        <w:t>mail address</w:t>
      </w:r>
      <w:r w:rsidRPr="00F15CF3">
        <w:rPr>
          <w:rFonts w:hint="eastAsia"/>
          <w:i/>
          <w:iCs/>
        </w:rPr>
        <w:t>es</w:t>
      </w:r>
      <w:r w:rsidRPr="00F15CF3">
        <w:t xml:space="preserve">: </w:t>
      </w:r>
      <w:hyperlink r:id="rId4" w:history="1">
        <w:r w:rsidRPr="00F15CF3">
          <w:t>lingjunbu@hnu.edu.cn</w:t>
        </w:r>
      </w:hyperlink>
      <w:r w:rsidRPr="00F15CF3">
        <w:t xml:space="preserve"> (L. Bu), </w:t>
      </w:r>
      <w:hyperlink r:id="rId5" w:history="1">
        <w:r w:rsidRPr="00F15CF3">
          <w:t>shiqingzhouwater@163.com</w:t>
        </w:r>
      </w:hyperlink>
      <w:r w:rsidRPr="00F15CF3">
        <w:t xml:space="preserve"> (S. Zh</w:t>
      </w:r>
      <w:r>
        <w:t>ou)</w:t>
      </w:r>
    </w:p>
    <w:p w14:paraId="1B14D696" w14:textId="1DF6CE23" w:rsidR="00F15CF3" w:rsidRDefault="00000000">
      <w:pPr>
        <w:widowControl/>
        <w:adjustRightInd w:val="0"/>
        <w:snapToGrid w:val="0"/>
        <w:spacing w:line="480" w:lineRule="auto"/>
        <w:textAlignment w:val="baseline"/>
        <w:rPr>
          <w:rFonts w:ascii="Times New Roman" w:eastAsia="等线" w:hAnsi="Times New Roman" w:cs="Times New Roman"/>
          <w:bCs/>
          <w:i/>
          <w:kern w:val="0"/>
          <w:sz w:val="24"/>
          <w:szCs w:val="24"/>
        </w:rPr>
      </w:pPr>
      <w:r>
        <w:rPr>
          <w:rFonts w:ascii="Times New Roman" w:eastAsia="等线" w:hAnsi="Times New Roman" w:cs="Times New Roman"/>
          <w:bCs/>
          <w:i/>
          <w:kern w:val="0"/>
          <w:sz w:val="24"/>
          <w:szCs w:val="24"/>
        </w:rPr>
        <w:t xml:space="preserve"> </w:t>
      </w:r>
    </w:p>
    <w:p w14:paraId="204ED17C" w14:textId="77777777" w:rsidR="00F15CF3" w:rsidRDefault="00F15CF3">
      <w:pPr>
        <w:widowControl/>
        <w:jc w:val="left"/>
        <w:rPr>
          <w:rFonts w:ascii="Times New Roman" w:eastAsia="等线" w:hAnsi="Times New Roman" w:cs="Times New Roman"/>
          <w:bCs/>
          <w:i/>
          <w:kern w:val="0"/>
          <w:sz w:val="24"/>
          <w:szCs w:val="24"/>
        </w:rPr>
      </w:pPr>
      <w:r>
        <w:rPr>
          <w:rFonts w:ascii="Times New Roman" w:eastAsia="等线" w:hAnsi="Times New Roman" w:cs="Times New Roman"/>
          <w:bCs/>
          <w:i/>
          <w:kern w:val="0"/>
          <w:sz w:val="24"/>
          <w:szCs w:val="24"/>
        </w:rPr>
        <w:br w:type="page"/>
      </w:r>
    </w:p>
    <w:p w14:paraId="0978E959" w14:textId="77777777" w:rsidR="00111265" w:rsidRDefault="00000000">
      <w:pPr>
        <w:keepLines/>
        <w:autoSpaceDE w:val="0"/>
        <w:autoSpaceDN w:val="0"/>
        <w:adjustRightInd w:val="0"/>
        <w:snapToGrid w:val="0"/>
        <w:spacing w:line="480" w:lineRule="auto"/>
        <w:rPr>
          <w:rFonts w:ascii="Times New Roman" w:eastAsia="等线" w:hAnsi="Times New Roman" w:cs="Times New Roman"/>
          <w:sz w:val="24"/>
          <w:szCs w:val="24"/>
        </w:rPr>
      </w:pPr>
      <w:r>
        <w:rPr>
          <w:rFonts w:ascii="Times New Roman" w:eastAsia="PMingLiU" w:hAnsi="Times New Roman" w:cs="Times New Roman"/>
          <w:sz w:val="24"/>
          <w:szCs w:val="24"/>
        </w:rPr>
        <w:lastRenderedPageBreak/>
        <w:t xml:space="preserve">Total pages: </w:t>
      </w:r>
      <w:r>
        <w:rPr>
          <w:rFonts w:ascii="Times New Roman" w:eastAsia="等线" w:hAnsi="Times New Roman" w:cs="Times New Roman" w:hint="eastAsia"/>
          <w:sz w:val="24"/>
          <w:szCs w:val="24"/>
        </w:rPr>
        <w:t>32</w:t>
      </w:r>
      <w:r>
        <w:rPr>
          <w:rFonts w:ascii="Times New Roman" w:eastAsia="PMingLiU" w:hAnsi="Times New Roman" w:cs="Times New Roman"/>
          <w:sz w:val="24"/>
          <w:szCs w:val="24"/>
        </w:rPr>
        <w:t>, including cover page</w:t>
      </w:r>
      <w:r>
        <w:rPr>
          <w:rFonts w:ascii="Times New Roman" w:eastAsia="宋体" w:hAnsi="Times New Roman" w:cs="Times New Roman"/>
          <w:sz w:val="24"/>
          <w:szCs w:val="24"/>
        </w:rPr>
        <w:t xml:space="preserve"> </w:t>
      </w:r>
    </w:p>
    <w:p w14:paraId="7E9CBF4A" w14:textId="77777777" w:rsidR="00111265" w:rsidRDefault="00000000">
      <w:pPr>
        <w:keepLines/>
        <w:autoSpaceDE w:val="0"/>
        <w:autoSpaceDN w:val="0"/>
        <w:adjustRightInd w:val="0"/>
        <w:snapToGrid w:val="0"/>
        <w:spacing w:line="480" w:lineRule="auto"/>
        <w:rPr>
          <w:rFonts w:ascii="Times New Roman" w:eastAsia="等线" w:hAnsi="Times New Roman" w:cs="Times New Roman"/>
          <w:sz w:val="24"/>
          <w:szCs w:val="24"/>
        </w:rPr>
      </w:pPr>
      <w:r>
        <w:rPr>
          <w:rFonts w:ascii="Times New Roman" w:eastAsia="PMingLiU" w:hAnsi="Times New Roman" w:cs="Times New Roman"/>
          <w:sz w:val="24"/>
          <w:szCs w:val="24"/>
        </w:rPr>
        <w:t xml:space="preserve">Number of tables: </w:t>
      </w:r>
      <w:r>
        <w:rPr>
          <w:rFonts w:ascii="Times New Roman" w:hAnsi="Times New Roman" w:cs="Times New Roman" w:hint="eastAsia"/>
          <w:sz w:val="24"/>
          <w:szCs w:val="24"/>
        </w:rPr>
        <w:t>7</w:t>
      </w:r>
      <w:r>
        <w:rPr>
          <w:rFonts w:ascii="Times New Roman" w:eastAsia="宋体" w:hAnsi="Times New Roman" w:cs="Times New Roman"/>
          <w:sz w:val="24"/>
          <w:szCs w:val="24"/>
        </w:rPr>
        <w:t xml:space="preserve"> (Tables S1-S</w:t>
      </w:r>
      <w:r>
        <w:rPr>
          <w:rFonts w:ascii="Times New Roman" w:eastAsia="宋体" w:hAnsi="Times New Roman" w:cs="Times New Roman" w:hint="eastAsia"/>
          <w:sz w:val="24"/>
          <w:szCs w:val="24"/>
        </w:rPr>
        <w:t>7</w:t>
      </w:r>
      <w:r>
        <w:rPr>
          <w:rFonts w:ascii="Times New Roman" w:eastAsia="宋体" w:hAnsi="Times New Roman" w:cs="Times New Roman"/>
          <w:sz w:val="24"/>
          <w:szCs w:val="24"/>
        </w:rPr>
        <w:t>)</w:t>
      </w:r>
    </w:p>
    <w:p w14:paraId="5E63706B" w14:textId="77777777" w:rsidR="00111265" w:rsidRDefault="00000000">
      <w:pPr>
        <w:widowControl/>
        <w:adjustRightInd w:val="0"/>
        <w:snapToGrid w:val="0"/>
        <w:spacing w:line="480" w:lineRule="auto"/>
        <w:textAlignment w:val="baseline"/>
        <w:rPr>
          <w:rFonts w:ascii="Times New Roman" w:eastAsia="等线" w:hAnsi="Times New Roman" w:cs="Times New Roman"/>
          <w:bCs/>
          <w:i/>
          <w:kern w:val="0"/>
          <w:sz w:val="24"/>
          <w:szCs w:val="24"/>
        </w:rPr>
      </w:pPr>
      <w:r>
        <w:rPr>
          <w:rFonts w:ascii="Times New Roman" w:eastAsia="PMingLiU" w:hAnsi="Times New Roman" w:cs="Times New Roman"/>
          <w:sz w:val="24"/>
          <w:szCs w:val="24"/>
        </w:rPr>
        <w:t xml:space="preserve">Number of figures: </w:t>
      </w:r>
      <w:r>
        <w:rPr>
          <w:rFonts w:ascii="Times New Roman" w:hAnsi="Times New Roman" w:cs="Times New Roman" w:hint="eastAsia"/>
          <w:sz w:val="24"/>
          <w:szCs w:val="24"/>
        </w:rPr>
        <w:t>1</w:t>
      </w:r>
      <w:r>
        <w:rPr>
          <w:rFonts w:ascii="Times New Roman" w:eastAsia="等线" w:hAnsi="Times New Roman" w:cs="Times New Roman" w:hint="eastAsia"/>
          <w:sz w:val="24"/>
          <w:szCs w:val="24"/>
        </w:rPr>
        <w:t>7</w:t>
      </w:r>
      <w:r>
        <w:rPr>
          <w:rFonts w:ascii="Times New Roman" w:eastAsia="宋体" w:hAnsi="Times New Roman" w:cs="Times New Roman"/>
          <w:sz w:val="24"/>
          <w:szCs w:val="24"/>
        </w:rPr>
        <w:t xml:space="preserve"> (Figures S1-S</w:t>
      </w:r>
      <w:r>
        <w:rPr>
          <w:rFonts w:ascii="Times New Roman" w:eastAsia="宋体" w:hAnsi="Times New Roman" w:cs="Times New Roman" w:hint="eastAsia"/>
          <w:sz w:val="24"/>
          <w:szCs w:val="24"/>
        </w:rPr>
        <w:t>1</w:t>
      </w:r>
      <w:r>
        <w:rPr>
          <w:rFonts w:ascii="Times New Roman" w:eastAsia="等线" w:hAnsi="Times New Roman" w:cs="Times New Roman" w:hint="eastAsia"/>
          <w:sz w:val="24"/>
          <w:szCs w:val="24"/>
        </w:rPr>
        <w:t>7</w:t>
      </w:r>
      <w:r>
        <w:rPr>
          <w:rFonts w:ascii="Times New Roman" w:eastAsia="宋体" w:hAnsi="Times New Roman" w:cs="Times New Roman"/>
          <w:sz w:val="24"/>
          <w:szCs w:val="24"/>
        </w:rPr>
        <w:t>)</w:t>
      </w:r>
    </w:p>
    <w:p w14:paraId="27DCA080" w14:textId="77777777" w:rsidR="00111265" w:rsidRDefault="00000000">
      <w:pPr>
        <w:widowControl/>
        <w:adjustRightInd w:val="0"/>
        <w:snapToGrid w:val="0"/>
        <w:spacing w:line="480" w:lineRule="auto"/>
        <w:ind w:firstLine="480"/>
        <w:textAlignment w:val="baseline"/>
        <w:rPr>
          <w:rFonts w:ascii="Times New Roman" w:eastAsia="宋体" w:hAnsi="Times New Roman" w:cs="Times New Roman"/>
          <w:sz w:val="24"/>
          <w:szCs w:val="24"/>
        </w:rPr>
      </w:pPr>
      <w:r>
        <w:rPr>
          <w:rFonts w:ascii="Times New Roman" w:eastAsia="宋体" w:hAnsi="Times New Roman" w:cs="Times New Roman"/>
          <w:bCs/>
          <w:kern w:val="0"/>
          <w:sz w:val="24"/>
          <w:szCs w:val="24"/>
        </w:rPr>
        <w:br w:type="page"/>
      </w:r>
    </w:p>
    <w:p w14:paraId="560609FE" w14:textId="77777777" w:rsidR="00111265" w:rsidRDefault="00000000">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Text S1. Adsorption modeling and thermodynamic calculations</w:t>
      </w:r>
    </w:p>
    <w:p w14:paraId="40BA37A8"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adsorption capacity (</w:t>
      </w:r>
      <w:proofErr w:type="spellStart"/>
      <w:r>
        <w:rPr>
          <w:rFonts w:ascii="Times New Roman" w:hAnsi="Times New Roman" w:cs="Times New Roman"/>
          <w:sz w:val="24"/>
          <w:szCs w:val="24"/>
        </w:rPr>
        <w:t>q</w:t>
      </w:r>
      <w:r>
        <w:rPr>
          <w:rFonts w:ascii="Times New Roman" w:hAnsi="Times New Roman" w:cs="Times New Roman"/>
          <w:sz w:val="24"/>
          <w:szCs w:val="24"/>
          <w:vertAlign w:val="subscript"/>
        </w:rPr>
        <w:t>e</w:t>
      </w:r>
      <w:proofErr w:type="spellEnd"/>
      <w:r>
        <w:rPr>
          <w:rFonts w:ascii="Times New Roman" w:hAnsi="Times New Roman" w:cs="Times New Roman"/>
          <w:sz w:val="24"/>
          <w:szCs w:val="24"/>
        </w:rPr>
        <w:t>), the removal efficiency (%), and the distribution coefficient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d</w:t>
      </w:r>
      <w:proofErr w:type="spellEnd"/>
      <w:r>
        <w:rPr>
          <w:rFonts w:ascii="Times New Roman" w:hAnsi="Times New Roman" w:cs="Times New Roman"/>
          <w:sz w:val="24"/>
          <w:szCs w:val="24"/>
        </w:rPr>
        <w:t>) were calculated using the following equations</w:t>
      </w:r>
    </w:p>
    <w:p w14:paraId="42F5EE77" w14:textId="77777777" w:rsidR="00111265" w:rsidRDefault="00000000">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hint="eastAsia"/>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e>
              </m:d>
              <m:r>
                <w:rPr>
                  <w:rFonts w:ascii="Cambria Math" w:hAnsi="Cambria Math" w:cs="Times New Roman"/>
                  <w:sz w:val="24"/>
                  <w:szCs w:val="24"/>
                </w:rPr>
                <m:t>V</m:t>
              </m:r>
            </m:num>
            <m:den>
              <m:r>
                <w:rPr>
                  <w:rFonts w:ascii="Cambria Math" w:hAnsi="Cambria Math" w:cs="Times New Roman"/>
                  <w:sz w:val="24"/>
                  <w:szCs w:val="24"/>
                </w:rPr>
                <m:t>m</m:t>
              </m:r>
            </m:den>
          </m:f>
          <m:r>
            <w:rPr>
              <w:rFonts w:ascii="Cambria Math" w:hAnsi="Cambria Math" w:cs="Times New Roman"/>
              <w:sz w:val="24"/>
              <w:szCs w:val="24"/>
            </w:rPr>
            <m:t xml:space="preserve">            (1)</m:t>
          </m:r>
        </m:oMath>
      </m:oMathPara>
    </w:p>
    <w:p w14:paraId="6FCA1B2D" w14:textId="77777777" w:rsidR="00111265" w:rsidRDefault="00111265">
      <w:pPr>
        <w:spacing w:line="480" w:lineRule="auto"/>
        <w:jc w:val="center"/>
        <w:rPr>
          <w:rFonts w:ascii="Times New Roman" w:hAnsi="Times New Roman" w:cs="Times New Roman"/>
          <w:sz w:val="24"/>
          <w:szCs w:val="24"/>
        </w:rPr>
      </w:pPr>
    </w:p>
    <w:p w14:paraId="37818648" w14:textId="77777777" w:rsidR="00111265" w:rsidRDefault="00000000">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removal effciency=</m:t>
          </m:r>
          <m:f>
            <m:fPr>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e>
              </m:d>
            </m:num>
            <m:den>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den>
          </m:f>
          <m:r>
            <w:rPr>
              <w:rFonts w:ascii="Cambria Math" w:hAnsi="Cambria Math" w:cs="Times New Roman"/>
              <w:sz w:val="24"/>
              <w:szCs w:val="24"/>
            </w:rPr>
            <m:t>×100%            (2)</m:t>
          </m:r>
        </m:oMath>
      </m:oMathPara>
    </w:p>
    <w:p w14:paraId="7F095896" w14:textId="77777777" w:rsidR="00111265" w:rsidRDefault="00111265">
      <w:pPr>
        <w:spacing w:line="480" w:lineRule="auto"/>
        <w:rPr>
          <w:rFonts w:ascii="Times New Roman" w:hAnsi="Times New Roman" w:cs="Times New Roman"/>
          <w:sz w:val="24"/>
          <w:szCs w:val="24"/>
        </w:rPr>
      </w:pPr>
    </w:p>
    <w:p w14:paraId="249869EE" w14:textId="77777777" w:rsidR="00111265" w:rsidRDefault="00000000">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d</m:t>
              </m:r>
            </m:sub>
          </m:sSub>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e>
              </m:d>
            </m:num>
            <m:den>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V</m:t>
              </m:r>
            </m:num>
            <m:den>
              <m:r>
                <w:rPr>
                  <w:rFonts w:ascii="Cambria Math" w:hAnsi="Cambria Math" w:cs="Times New Roman"/>
                  <w:sz w:val="24"/>
                  <w:szCs w:val="24"/>
                </w:rPr>
                <m:t>m</m:t>
              </m:r>
            </m:den>
          </m:f>
          <m:r>
            <w:rPr>
              <w:rFonts w:ascii="Cambria Math" w:hAnsi="Cambria Math" w:cs="Times New Roman"/>
              <w:sz w:val="24"/>
              <w:szCs w:val="24"/>
            </w:rPr>
            <m:t xml:space="preserve">            (3)</m:t>
          </m:r>
        </m:oMath>
      </m:oMathPara>
    </w:p>
    <w:p w14:paraId="0624979F" w14:textId="77777777" w:rsidR="00111265" w:rsidRDefault="00111265">
      <w:pPr>
        <w:spacing w:line="480" w:lineRule="auto"/>
        <w:jc w:val="center"/>
        <w:rPr>
          <w:rFonts w:ascii="Times New Roman" w:hAnsi="Times New Roman" w:cs="Times New Roman"/>
          <w:sz w:val="24"/>
          <w:szCs w:val="24"/>
        </w:rPr>
      </w:pPr>
    </w:p>
    <w:p w14:paraId="44D95F2A" w14:textId="77777777" w:rsidR="00111265" w:rsidRDefault="00000000">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hint="eastAsia"/>
                  <w:sz w:val="24"/>
                  <w:szCs w:val="24"/>
                </w:rPr>
                <m:t>t</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d,t</m:t>
                  </m:r>
                </m:sub>
              </m:sSub>
            </m:num>
            <m:den>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d,c</m:t>
                  </m:r>
                </m:sub>
              </m:sSub>
            </m:den>
          </m:f>
          <m:r>
            <w:rPr>
              <w:rFonts w:ascii="Cambria Math" w:hAnsi="Cambria Math" w:cs="Times New Roman"/>
              <w:sz w:val="24"/>
              <w:szCs w:val="24"/>
            </w:rPr>
            <m:t xml:space="preserve">            (4)</m:t>
          </m:r>
        </m:oMath>
      </m:oMathPara>
    </w:p>
    <w:p w14:paraId="6224B522" w14:textId="77777777" w:rsidR="00111265" w:rsidRDefault="00111265">
      <w:pPr>
        <w:spacing w:line="480" w:lineRule="auto"/>
        <w:rPr>
          <w:rFonts w:ascii="Times New Roman" w:hAnsi="Times New Roman" w:cs="Times New Roman"/>
          <w:sz w:val="24"/>
          <w:szCs w:val="24"/>
        </w:rPr>
      </w:pPr>
    </w:p>
    <w:p w14:paraId="3545C241"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Where V is the volume of the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solution (mL), m is the mass of the adsorbent (g), and C</w:t>
      </w:r>
      <w:r>
        <w:rPr>
          <w:rFonts w:ascii="Times New Roman" w:hAnsi="Times New Roman" w:cs="Times New Roman"/>
          <w:sz w:val="24"/>
          <w:szCs w:val="24"/>
          <w:vertAlign w:val="subscript"/>
        </w:rPr>
        <w:t>0</w:t>
      </w:r>
      <w:r>
        <w:rPr>
          <w:rFonts w:ascii="Times New Roman" w:hAnsi="Times New Roman" w:cs="Times New Roman"/>
          <w:sz w:val="24"/>
          <w:szCs w:val="24"/>
        </w:rPr>
        <w:t xml:space="preserve"> and C</w:t>
      </w:r>
      <w:r>
        <w:rPr>
          <w:rFonts w:ascii="Times New Roman" w:hAnsi="Times New Roman" w:cs="Times New Roman"/>
          <w:sz w:val="24"/>
          <w:szCs w:val="24"/>
          <w:vertAlign w:val="subscript"/>
        </w:rPr>
        <w:t>e</w:t>
      </w:r>
      <w:r>
        <w:rPr>
          <w:rFonts w:ascii="Times New Roman" w:hAnsi="Times New Roman" w:cs="Times New Roman"/>
          <w:sz w:val="24"/>
          <w:szCs w:val="24"/>
        </w:rPr>
        <w:t xml:space="preserve"> are the initial and equilibrium solution concentrations of </w:t>
      </w:r>
      <w:bookmarkStart w:id="2" w:name="_Hlk157678847"/>
      <w:r>
        <w:rPr>
          <w:rFonts w:ascii="Times New Roman" w:hAnsi="Times New Roman" w:cs="Times New Roman"/>
          <w:sz w:val="24"/>
          <w:szCs w:val="24"/>
        </w:rPr>
        <w:t>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bookmarkEnd w:id="2"/>
      <w:r>
        <w:rPr>
          <w:rFonts w:ascii="Times New Roman" w:hAnsi="Times New Roman" w:cs="Times New Roman"/>
          <w:sz w:val="24"/>
          <w:szCs w:val="24"/>
        </w:rPr>
        <w:t xml:space="preserve"> (mg L</w:t>
      </w:r>
      <w:r>
        <w:rPr>
          <w:rFonts w:ascii="Times New Roman" w:hAnsi="Times New Roman" w:cs="Times New Roman"/>
          <w:sz w:val="24"/>
          <w:szCs w:val="24"/>
          <w:vertAlign w:val="superscript"/>
        </w:rPr>
        <w:t>–1</w:t>
      </w:r>
      <w:r>
        <w:rPr>
          <w:rFonts w:ascii="Times New Roman" w:hAnsi="Times New Roman" w:cs="Times New Roman"/>
          <w:sz w:val="24"/>
          <w:szCs w:val="24"/>
        </w:rPr>
        <w:t>), respectively.</w:t>
      </w:r>
      <w:r>
        <w:rPr>
          <w:rFonts w:hint="eastAsia"/>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t</w:t>
      </w:r>
      <w:r>
        <w:rPr>
          <w:rFonts w:ascii="Times New Roman" w:hAnsi="Times New Roman" w:cs="Times New Roman"/>
          <w:sz w:val="24"/>
          <w:szCs w:val="24"/>
        </w:rPr>
        <w:t xml:space="preserve"> is the selectivity coefficient for the target anion, </w:t>
      </w:r>
      <w:proofErr w:type="spellStart"/>
      <w:proofErr w:type="gramStart"/>
      <w:r>
        <w:rPr>
          <w:rFonts w:ascii="Times New Roman" w:hAnsi="Times New Roman" w:cs="Times New Roman"/>
          <w:sz w:val="24"/>
          <w:szCs w:val="24"/>
        </w:rPr>
        <w:t>K</w:t>
      </w:r>
      <w:r>
        <w:rPr>
          <w:rFonts w:ascii="Times New Roman" w:hAnsi="Times New Roman" w:cs="Times New Roman"/>
          <w:sz w:val="24"/>
          <w:szCs w:val="24"/>
          <w:vertAlign w:val="subscript"/>
        </w:rPr>
        <w:t>d,t</w:t>
      </w:r>
      <w:proofErr w:type="spellEnd"/>
      <w:proofErr w:type="gram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is the distribution coefficient for the target ion with a competitor present, and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d,c</w:t>
      </w:r>
      <w:proofErr w:type="spellEnd"/>
      <w:r>
        <w:rPr>
          <w:rFonts w:ascii="Times New Roman" w:hAnsi="Times New Roman" w:cs="Times New Roman"/>
          <w:sz w:val="24"/>
          <w:szCs w:val="24"/>
        </w:rPr>
        <w:t xml:space="preserve"> is the distribution coefficient for the competitor with the target ion present.</w:t>
      </w:r>
    </w:p>
    <w:p w14:paraId="5039F67A" w14:textId="77777777" w:rsidR="00111265" w:rsidRDefault="00111265">
      <w:pPr>
        <w:spacing w:line="480" w:lineRule="auto"/>
        <w:rPr>
          <w:rFonts w:ascii="Times New Roman" w:hAnsi="Times New Roman" w:cs="Times New Roman"/>
          <w:sz w:val="24"/>
          <w:szCs w:val="24"/>
        </w:rPr>
      </w:pPr>
    </w:p>
    <w:p w14:paraId="5AB18F5E"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equilibrium adsorption isotherms are fitted by Langmuir and Freundlich models, respectively, using nonlinear equations</w:t>
      </w:r>
    </w:p>
    <w:p w14:paraId="68D5FC50" w14:textId="77777777" w:rsidR="00111265" w:rsidRDefault="00000000">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hint="eastAsia"/>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m</m:t>
                  </m:r>
                </m:sub>
              </m:sSub>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L</m:t>
                  </m:r>
                </m:sub>
              </m:sSub>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num>
            <m:den>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L</m:t>
                  </m:r>
                </m:sub>
              </m:sSub>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e</m:t>
                  </m:r>
                </m:sub>
              </m:sSub>
            </m:den>
          </m:f>
          <m:r>
            <w:rPr>
              <w:rFonts w:ascii="Cambria Math" w:hAnsi="Cambria Math" w:cs="Times New Roman"/>
              <w:sz w:val="24"/>
              <w:szCs w:val="24"/>
            </w:rPr>
            <m:t xml:space="preserve">            (5)</m:t>
          </m:r>
        </m:oMath>
      </m:oMathPara>
    </w:p>
    <w:p w14:paraId="743D69DE"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cs="Times New Roman"/>
          <w:sz w:val="24"/>
          <w:szCs w:val="24"/>
        </w:rPr>
        <w:t xml:space="preserve">where </w:t>
      </w:r>
      <w:proofErr w:type="spellStart"/>
      <w:r>
        <w:rPr>
          <w:rFonts w:ascii="Times New Roman" w:hAnsi="Times New Roman" w:cs="Times New Roman"/>
          <w:sz w:val="24"/>
          <w:szCs w:val="24"/>
        </w:rPr>
        <w:t>q</w:t>
      </w:r>
      <w:r>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(mg g</w:t>
      </w:r>
      <w:r>
        <w:rPr>
          <w:rFonts w:ascii="Times New Roman" w:hAnsi="Times New Roman" w:cs="Times New Roman"/>
          <w:sz w:val="24"/>
          <w:szCs w:val="24"/>
          <w:vertAlign w:val="superscript"/>
        </w:rPr>
        <w:t>–1</w:t>
      </w:r>
      <w:r>
        <w:rPr>
          <w:rFonts w:ascii="Times New Roman" w:hAnsi="Times New Roman" w:cs="Times New Roman"/>
          <w:sz w:val="24"/>
          <w:szCs w:val="24"/>
        </w:rPr>
        <w:t xml:space="preserve">) is the theoretical maximum adsorption capacity </w:t>
      </w:r>
      <w:r>
        <w:rPr>
          <w:rFonts w:ascii="Times New Roman" w:hAnsi="Times New Roman" w:cs="Times New Roman" w:hint="eastAsia"/>
          <w:sz w:val="24"/>
          <w:szCs w:val="24"/>
        </w:rPr>
        <w:t>and</w:t>
      </w:r>
      <w:r>
        <w:rPr>
          <w:rFonts w:ascii="Times New Roman" w:hAnsi="Times New Roman" w:cs="Times New Roman"/>
          <w:sz w:val="24"/>
          <w:szCs w:val="24"/>
        </w:rPr>
        <w:t xml:space="preserve">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L</w:t>
      </w:r>
      <w:proofErr w:type="spellEnd"/>
      <w:r>
        <w:rPr>
          <w:rFonts w:ascii="Times New Roman" w:hAnsi="Times New Roman" w:cs="Times New Roman"/>
          <w:sz w:val="24"/>
          <w:szCs w:val="24"/>
        </w:rPr>
        <w:t xml:space="preserve"> (L mg</w:t>
      </w:r>
      <w:r>
        <w:rPr>
          <w:rFonts w:ascii="Times New Roman" w:hAnsi="Times New Roman" w:cs="Times New Roman"/>
          <w:sz w:val="24"/>
          <w:szCs w:val="24"/>
          <w:vertAlign w:val="superscript"/>
        </w:rPr>
        <w:t>–1</w:t>
      </w:r>
      <w:r>
        <w:rPr>
          <w:rFonts w:ascii="Times New Roman" w:hAnsi="Times New Roman" w:cs="Times New Roman"/>
          <w:sz w:val="24"/>
          <w:szCs w:val="24"/>
        </w:rPr>
        <w:t>) are the corresponding adsorption equilibrium constants, and n is the adsorption intensity.</w:t>
      </w:r>
      <w:r>
        <w:rPr>
          <w:rFonts w:ascii="Times New Roman" w:hAnsi="Times New Roman"/>
          <w:b/>
          <w:bCs/>
          <w:sz w:val="24"/>
          <w:szCs w:val="24"/>
        </w:rPr>
        <w:t xml:space="preserve"> </w:t>
      </w:r>
      <w:r>
        <w:rPr>
          <w:rFonts w:ascii="Times New Roman" w:hAnsi="Times New Roman"/>
          <w:b/>
          <w:bCs/>
          <w:sz w:val="24"/>
          <w:szCs w:val="24"/>
        </w:rPr>
        <w:br w:type="page"/>
      </w:r>
    </w:p>
    <w:p w14:paraId="73135D8F" w14:textId="77777777" w:rsidR="00111265" w:rsidRDefault="00111265">
      <w:pPr>
        <w:spacing w:line="480" w:lineRule="auto"/>
        <w:rPr>
          <w:rFonts w:ascii="Times New Roman" w:hAnsi="Times New Roman" w:cs="Times New Roman"/>
          <w:sz w:val="24"/>
          <w:szCs w:val="24"/>
        </w:rPr>
      </w:pPr>
    </w:p>
    <w:p w14:paraId="48F93727"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b/>
          <w:bCs/>
          <w:sz w:val="24"/>
          <w:szCs w:val="24"/>
        </w:rPr>
        <w:t>Text S2. Rapid Small Scale Column Tests (RSSCTs).</w:t>
      </w:r>
      <w:r>
        <w:rPr>
          <w:rFonts w:ascii="Times New Roman" w:hAnsi="Times New Roman" w:cs="Times New Roman"/>
          <w:sz w:val="24"/>
          <w:szCs w:val="24"/>
        </w:rPr>
        <w:t xml:space="preserve"> </w:t>
      </w:r>
    </w:p>
    <w:p w14:paraId="1BC5A4EB"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Rapid Small-Scale Column Tests (RSSCT) were conducted to investigate the practical significance of modified bentonite for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removal. For the RSSCT with modified bentonite, the experimental setup involved injecting the modified bentonite sample (40 g) into a glass column (110 mL) with a diameter of 2 centimeters, which was one hundred times larger than the diameter of the modified bentonite to avoid channeling effects. The effective bed volume (BV) was 100 cubic centimeters, and the </w:t>
      </w:r>
      <w:proofErr w:type="spellStart"/>
      <w:r>
        <w:rPr>
          <w:rFonts w:ascii="Times New Roman" w:hAnsi="Times New Roman" w:cs="Times New Roman"/>
          <w:sz w:val="24"/>
          <w:szCs w:val="24"/>
        </w:rPr>
        <w:t>upflow</w:t>
      </w:r>
      <w:proofErr w:type="spellEnd"/>
      <w:r>
        <w:rPr>
          <w:rFonts w:ascii="Times New Roman" w:hAnsi="Times New Roman" w:cs="Times New Roman"/>
          <w:sz w:val="24"/>
          <w:szCs w:val="24"/>
        </w:rPr>
        <w:t xml:space="preserve"> velocity used in the RSSCT resulted in an empty bed contact time (EBCT) of 1 min.</w:t>
      </w:r>
    </w:p>
    <w:p w14:paraId="0854855F"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influent concentration of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in the solution was controlled at 500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 xml:space="preserve"> L</w:t>
      </w:r>
      <w:r>
        <w:rPr>
          <w:rFonts w:ascii="Times New Roman" w:hAnsi="Times New Roman" w:cs="Times New Roman"/>
          <w:bCs/>
          <w:sz w:val="24"/>
          <w:vertAlign w:val="superscript"/>
        </w:rPr>
        <w:t>−1</w:t>
      </w:r>
      <w:r>
        <w:rPr>
          <w:rFonts w:ascii="Times New Roman" w:hAnsi="Times New Roman" w:cs="Times New Roman"/>
          <w:sz w:val="24"/>
          <w:szCs w:val="24"/>
        </w:rPr>
        <w:t>, which exceeded the typical concentrations found in water contaminated with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Effluent samples were collected using timed collectors and analyzed for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concentration. Once the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concentration in the effluent reached complete saturation in the RSSCT column, regeneration was performed by adjusting the solution's pH and employing 0.1 M NaOH as the regenerant, passing it through the glass column in the opposite direction of the breakthrough experiments. The breakthrough experiments were then conducted by adjusting the solution's pH and using 0.1 M NaOH as the regenerant, passing it through the glass column in the opposite direction.</w:t>
      </w:r>
      <w:r>
        <w:t xml:space="preserve"> </w:t>
      </w:r>
    </w:p>
    <w:p w14:paraId="2D8D3141"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1CA756BE" w14:textId="77777777" w:rsidR="00111265" w:rsidRDefault="00000000">
      <w:pPr>
        <w:spacing w:line="480" w:lineRule="auto"/>
        <w:rPr>
          <w:rFonts w:ascii="Times New Roman" w:hAnsi="Times New Roman" w:cs="Times New Roman"/>
          <w:b/>
          <w:bCs/>
          <w:sz w:val="24"/>
          <w:szCs w:val="24"/>
        </w:rPr>
      </w:pPr>
      <w:r>
        <w:rPr>
          <w:rFonts w:ascii="Times New Roman" w:hAnsi="Times New Roman" w:cs="Times New Roman" w:hint="eastAsia"/>
          <w:b/>
          <w:bCs/>
          <w:sz w:val="24"/>
          <w:szCs w:val="24"/>
        </w:rPr>
        <w:lastRenderedPageBreak/>
        <w:t>T</w:t>
      </w:r>
      <w:r>
        <w:rPr>
          <w:rFonts w:ascii="Times New Roman" w:hAnsi="Times New Roman" w:cs="Times New Roman"/>
          <w:b/>
          <w:bCs/>
          <w:sz w:val="24"/>
          <w:szCs w:val="24"/>
        </w:rPr>
        <w:t>ext S3. RSSCT Related Calculations</w:t>
      </w:r>
    </w:p>
    <w:p w14:paraId="5AB77F7A" w14:textId="77777777" w:rsidR="00111265" w:rsidRDefault="00000000">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The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adsorption capacity (mg g</w:t>
      </w:r>
      <w:r>
        <w:rPr>
          <w:rFonts w:ascii="Times New Roman" w:hAnsi="Times New Roman" w:cs="Times New Roman"/>
          <w:bCs/>
          <w:sz w:val="24"/>
          <w:vertAlign w:val="superscript"/>
        </w:rPr>
        <w:t>−1</w:t>
      </w:r>
      <w:r>
        <w:rPr>
          <w:rFonts w:ascii="Times New Roman" w:hAnsi="Times New Roman" w:cs="Times New Roman"/>
          <w:sz w:val="24"/>
          <w:szCs w:val="24"/>
        </w:rPr>
        <w:t>) of the fixed-bed column was calculated as follows</w:t>
      </w:r>
    </w:p>
    <w:p w14:paraId="4CA25DF6" w14:textId="77777777" w:rsidR="00111265" w:rsidRDefault="00000000">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f</m:t>
              </m:r>
            </m:sub>
          </m:sSub>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f</m:t>
                          </m:r>
                        </m:sub>
                      </m:sSub>
                      <m:r>
                        <w:rPr>
                          <w:rFonts w:ascii="Cambria Math" w:hAnsi="Cambria Math" w:cs="Times New Roman"/>
                          <w:sz w:val="24"/>
                          <w:szCs w:val="24"/>
                        </w:rPr>
                        <m:t xml:space="preserve"> B</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max</m:t>
                          </m:r>
                        </m:sub>
                      </m:sSub>
                    </m:e>
                  </m:d>
                  <m:r>
                    <w:rPr>
                      <w:rFonts w:ascii="Cambria Math" w:hAnsi="Cambria Math" w:cs="Times New Roman"/>
                      <w:sz w:val="24"/>
                      <w:szCs w:val="24"/>
                    </w:rPr>
                    <m:t>-A</m:t>
                  </m:r>
                </m:e>
              </m:d>
              <m:r>
                <w:rPr>
                  <w:rFonts w:ascii="Cambria Math" w:hAnsi="Cambria Math" w:cs="Times New Roman"/>
                  <w:sz w:val="24"/>
                  <w:szCs w:val="24"/>
                </w:rPr>
                <m:t>V</m:t>
              </m:r>
            </m:num>
            <m:den>
              <m:r>
                <w:rPr>
                  <w:rFonts w:ascii="Cambria Math" w:hAnsi="Cambria Math" w:cs="Times New Roman"/>
                  <w:sz w:val="24"/>
                  <w:szCs w:val="24"/>
                </w:rPr>
                <m:t xml:space="preserve">m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den>
          </m:f>
          <m:r>
            <w:rPr>
              <w:rFonts w:ascii="Cambria Math" w:hAnsi="Cambria Math" w:cs="Times New Roman"/>
              <w:sz w:val="24"/>
              <w:szCs w:val="24"/>
            </w:rPr>
            <m:t xml:space="preserve">            (6)</m:t>
          </m:r>
        </m:oMath>
      </m:oMathPara>
    </w:p>
    <w:p w14:paraId="0BFB7CC3"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where C</w:t>
      </w:r>
      <w:r>
        <w:rPr>
          <w:rFonts w:ascii="Times New Roman" w:hAnsi="Times New Roman" w:cs="Times New Roman"/>
          <w:sz w:val="24"/>
          <w:szCs w:val="24"/>
          <w:vertAlign w:val="subscript"/>
        </w:rPr>
        <w:t>f</w:t>
      </w:r>
      <w:r>
        <w:rPr>
          <w:rFonts w:ascii="Times New Roman" w:hAnsi="Times New Roman" w:cs="Times New Roman"/>
          <w:sz w:val="24"/>
          <w:szCs w:val="24"/>
        </w:rPr>
        <w:t xml:space="preserve"> is the feed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concentration in the feedstock stream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 xml:space="preserve"> L</w:t>
      </w:r>
      <w:r>
        <w:rPr>
          <w:rFonts w:ascii="Times New Roman" w:hAnsi="Times New Roman" w:cs="Times New Roman"/>
          <w:bCs/>
          <w:sz w:val="24"/>
          <w:vertAlign w:val="superscript"/>
        </w:rPr>
        <w:t>−1</w:t>
      </w:r>
      <w:r>
        <w:rPr>
          <w:rFonts w:ascii="Times New Roman" w:hAnsi="Times New Roman" w:cs="Times New Roman"/>
          <w:sz w:val="24"/>
          <w:szCs w:val="24"/>
        </w:rPr>
        <w:t xml:space="preserve">), </w:t>
      </w:r>
      <w:proofErr w:type="spellStart"/>
      <w:r>
        <w:rPr>
          <w:rFonts w:ascii="Times New Roman" w:hAnsi="Times New Roman" w:cs="Times New Roman"/>
          <w:sz w:val="24"/>
          <w:szCs w:val="24"/>
        </w:rPr>
        <w:t>BV</w:t>
      </w:r>
      <w:r>
        <w:rPr>
          <w:rFonts w:ascii="Times New Roman" w:hAnsi="Times New Roman" w:cs="Times New Roman"/>
          <w:sz w:val="24"/>
          <w:szCs w:val="24"/>
          <w:vertAlign w:val="subscript"/>
        </w:rPr>
        <w:t>max</w:t>
      </w:r>
      <w:proofErr w:type="spellEnd"/>
      <w:r>
        <w:rPr>
          <w:rFonts w:ascii="Times New Roman" w:hAnsi="Times New Roman" w:cs="Times New Roman"/>
          <w:sz w:val="24"/>
          <w:szCs w:val="24"/>
        </w:rPr>
        <w:t xml:space="preserve"> is the maximum bed volume treated by the adsorption column, V is the volume of the fixed-bed column (mL), m is the mass of the adsorbent packed in the bed column (g), and A is the area under the breakthrough curve (mg L</w:t>
      </w:r>
      <w:r>
        <w:rPr>
          <w:rFonts w:ascii="Times New Roman" w:hAnsi="Times New Roman" w:cs="Times New Roman"/>
          <w:bCs/>
          <w:sz w:val="24"/>
          <w:vertAlign w:val="superscript"/>
        </w:rPr>
        <w:t>−</w:t>
      </w:r>
      <w:r>
        <w:rPr>
          <w:rFonts w:ascii="Times New Roman" w:hAnsi="Times New Roman" w:cs="Times New Roman"/>
          <w:sz w:val="24"/>
          <w:szCs w:val="24"/>
          <w:vertAlign w:val="superscript"/>
        </w:rPr>
        <w:t>1</w:t>
      </w:r>
      <w:r>
        <w:rPr>
          <w:rFonts w:ascii="Times New Roman" w:hAnsi="Times New Roman" w:cs="Times New Roman"/>
          <w:sz w:val="24"/>
          <w:szCs w:val="24"/>
        </w:rPr>
        <w:t>), and was calculated by the equation.</w:t>
      </w:r>
    </w:p>
    <w:p w14:paraId="49EE08E0" w14:textId="77777777" w:rsidR="00111265" w:rsidRDefault="00000000">
      <w:pPr>
        <w:spacing w:line="480" w:lineRule="auto"/>
        <w:rPr>
          <w:rFonts w:ascii="Times New Roman" w:hAnsi="Times New Roman" w:cs="Times New Roman"/>
          <w:sz w:val="24"/>
          <w:szCs w:val="24"/>
        </w:rPr>
      </w:pPr>
      <m:oMathPara>
        <m:oMath>
          <m:r>
            <w:rPr>
              <w:rFonts w:ascii="Cambria Math" w:hAnsi="Cambria Math" w:cs="Times New Roman"/>
              <w:sz w:val="24"/>
              <w:szCs w:val="24"/>
            </w:rPr>
            <m:t>A=</m:t>
          </m:r>
          <m:nary>
            <m:naryPr>
              <m:limLoc m:val="subSup"/>
              <m:ctrlPr>
                <w:rPr>
                  <w:rFonts w:ascii="Cambria Math" w:hAnsi="Cambria Math" w:cs="Times New Roman"/>
                  <w:i/>
                  <w:sz w:val="24"/>
                  <w:szCs w:val="24"/>
                </w:rPr>
              </m:ctrlPr>
            </m:naryPr>
            <m:sub>
              <m:r>
                <w:rPr>
                  <w:rFonts w:ascii="Cambria Math" w:hAnsi="Cambria Math" w:cs="Times New Roman"/>
                  <w:sz w:val="24"/>
                  <w:szCs w:val="24"/>
                </w:rPr>
                <m:t>0</m:t>
              </m:r>
            </m:sub>
            <m:sup>
              <m:r>
                <w:rPr>
                  <w:rFonts w:ascii="Cambria Math" w:hAnsi="Cambria Math" w:cs="Times New Roman"/>
                  <w:sz w:val="24"/>
                  <w:szCs w:val="24"/>
                </w:rPr>
                <m:t>B</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max</m:t>
                  </m:r>
                </m:sub>
              </m:sSub>
            </m:sup>
            <m:e>
              <m:r>
                <w:rPr>
                  <w:rFonts w:ascii="Cambria Math" w:hAnsi="Cambria Math" w:cs="Times New Roman"/>
                  <w:sz w:val="24"/>
                  <w:szCs w:val="24"/>
                </w:rPr>
                <m:t>C</m:t>
              </m:r>
            </m:e>
          </m:nary>
          <m:r>
            <w:rPr>
              <w:rFonts w:ascii="Cambria Math" w:hAnsi="Cambria Math" w:cs="Times New Roman"/>
              <w:sz w:val="24"/>
              <w:szCs w:val="24"/>
            </w:rPr>
            <m:t>dBV          (7)</m:t>
          </m:r>
        </m:oMath>
      </m:oMathPara>
    </w:p>
    <w:p w14:paraId="4BD75084"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where C is the effluent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concentration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 xml:space="preserve"> L</w:t>
      </w:r>
      <w:r>
        <w:rPr>
          <w:rFonts w:ascii="Times New Roman" w:hAnsi="Times New Roman" w:cs="Times New Roman"/>
          <w:bCs/>
          <w:sz w:val="24"/>
          <w:vertAlign w:val="superscript"/>
        </w:rPr>
        <w:t>−1</w:t>
      </w:r>
      <w:r>
        <w:rPr>
          <w:rFonts w:ascii="Times New Roman" w:hAnsi="Times New Roman" w:cs="Times New Roman"/>
          <w:sz w:val="24"/>
          <w:szCs w:val="24"/>
        </w:rPr>
        <w:t>). To precisely determine the value of parameter A, we employed a nonlinear curve-fitting approach using the Boltzmann model to fit the breakthrough curve.</w:t>
      </w:r>
    </w:p>
    <w:p w14:paraId="1E38BB4F" w14:textId="77777777" w:rsidR="00111265" w:rsidRDefault="00000000">
      <w:pPr>
        <w:spacing w:line="480" w:lineRule="auto"/>
        <w:rPr>
          <w:rFonts w:ascii="Times New Roman" w:hAnsi="Times New Roman" w:cs="Times New Roman"/>
          <w:sz w:val="24"/>
          <w:szCs w:val="24"/>
        </w:rPr>
      </w:pPr>
      <m:oMathPara>
        <m:oMath>
          <m:r>
            <w:rPr>
              <w:rFonts w:ascii="Cambria Math" w:hAnsi="Cambria Math" w:cs="Times New Roman"/>
              <w:sz w:val="24"/>
              <w:szCs w:val="24"/>
            </w:rPr>
            <m:t>C=A2+</m:t>
          </m:r>
          <m:d>
            <m:dPr>
              <m:ctrlPr>
                <w:rPr>
                  <w:rFonts w:ascii="Cambria Math" w:hAnsi="Cambria Math" w:cs="Times New Roman"/>
                  <w:i/>
                  <w:sz w:val="24"/>
                  <w:szCs w:val="24"/>
                </w:rPr>
              </m:ctrlPr>
            </m:dPr>
            <m:e>
              <m:r>
                <w:rPr>
                  <w:rFonts w:ascii="Cambria Math" w:hAnsi="Cambria Math" w:cs="Times New Roman"/>
                  <w:sz w:val="24"/>
                  <w:szCs w:val="24"/>
                </w:rPr>
                <m:t>A1-A2</m:t>
              </m:r>
            </m:e>
          </m:d>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m:t>
              </m:r>
              <m:sSup>
                <m:sSupPr>
                  <m:ctrlPr>
                    <w:rPr>
                      <w:rFonts w:ascii="Cambria Math" w:hAnsi="Cambria Math" w:cs="Times New Roman"/>
                      <w:i/>
                      <w:sz w:val="24"/>
                      <w:szCs w:val="24"/>
                    </w:rPr>
                  </m:ctrlPr>
                </m:sSupPr>
                <m:e>
                  <m:r>
                    <w:rPr>
                      <w:rFonts w:ascii="Cambria Math" w:hAnsi="Cambria Math" w:cs="Times New Roman" w:hint="eastAsia"/>
                      <w:sz w:val="24"/>
                      <w:szCs w:val="24"/>
                    </w:rPr>
                    <m:t>e</m:t>
                  </m:r>
                </m:e>
                <m:sup>
                  <m:r>
                    <w:rPr>
                      <w:rFonts w:ascii="Cambria Math" w:hAnsi="Cambria Math" w:cs="Times New Roman"/>
                      <w:sz w:val="24"/>
                      <w:szCs w:val="24"/>
                    </w:rPr>
                    <m:t>(BV-X0)/</m:t>
                  </m:r>
                  <m:r>
                    <w:rPr>
                      <w:rFonts w:ascii="Cambria Math" w:hAnsi="Cambria Math" w:cs="Times New Roman" w:hint="eastAsia"/>
                      <w:sz w:val="24"/>
                      <w:szCs w:val="24"/>
                    </w:rPr>
                    <m:t>d</m:t>
                  </m:r>
                  <m:r>
                    <w:rPr>
                      <w:rFonts w:ascii="Cambria Math" w:hAnsi="Cambria Math" w:cs="Times New Roman"/>
                      <w:sz w:val="24"/>
                      <w:szCs w:val="24"/>
                    </w:rPr>
                    <m:t>BV</m:t>
                  </m:r>
                </m:sup>
              </m:sSup>
            </m:den>
          </m:f>
          <m:r>
            <w:rPr>
              <w:rFonts w:ascii="Cambria Math" w:hAnsi="Cambria Math" w:cs="Times New Roman"/>
              <w:sz w:val="24"/>
              <w:szCs w:val="24"/>
            </w:rPr>
            <m:t xml:space="preserve">        (8)</m:t>
          </m:r>
        </m:oMath>
      </m:oMathPara>
    </w:p>
    <w:p w14:paraId="017699FF" w14:textId="77777777" w:rsidR="00111265" w:rsidRDefault="00111265">
      <w:pPr>
        <w:spacing w:line="480" w:lineRule="auto"/>
        <w:rPr>
          <w:rFonts w:ascii="Times New Roman" w:hAnsi="Times New Roman" w:cs="Times New Roman"/>
          <w:sz w:val="24"/>
          <w:szCs w:val="24"/>
        </w:rPr>
      </w:pPr>
    </w:p>
    <w:p w14:paraId="3DFE8C60"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 xml:space="preserve">Where A1, A2, x0 and </w:t>
      </w:r>
      <w:proofErr w:type="spellStart"/>
      <w:r>
        <w:rPr>
          <w:rFonts w:ascii="Times New Roman" w:hAnsi="Times New Roman" w:cs="Times New Roman"/>
          <w:sz w:val="24"/>
          <w:szCs w:val="24"/>
        </w:rPr>
        <w:t>dBV</w:t>
      </w:r>
      <w:proofErr w:type="spellEnd"/>
      <w:r>
        <w:rPr>
          <w:rFonts w:ascii="Times New Roman" w:hAnsi="Times New Roman" w:cs="Times New Roman"/>
          <w:sz w:val="24"/>
          <w:szCs w:val="24"/>
        </w:rPr>
        <w:t xml:space="preserve"> are constants.</w:t>
      </w:r>
    </w:p>
    <w:p w14:paraId="695C1651"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0CD105C2" w14:textId="77777777" w:rsidR="00111265" w:rsidRDefault="00000000">
      <w:pPr>
        <w:spacing w:line="480" w:lineRule="auto"/>
        <w:rPr>
          <w:rFonts w:ascii="Times New Roman" w:hAnsi="Times New Roman" w:cs="Times New Roman"/>
          <w:b/>
          <w:bCs/>
          <w:sz w:val="24"/>
          <w:szCs w:val="24"/>
        </w:rPr>
      </w:pPr>
      <w:r>
        <w:rPr>
          <w:rFonts w:ascii="Times New Roman" w:hAnsi="Times New Roman" w:cs="Times New Roman" w:hint="eastAsia"/>
          <w:b/>
          <w:bCs/>
          <w:sz w:val="24"/>
          <w:szCs w:val="24"/>
        </w:rPr>
        <w:lastRenderedPageBreak/>
        <w:t>T</w:t>
      </w:r>
      <w:r>
        <w:rPr>
          <w:rFonts w:ascii="Times New Roman" w:hAnsi="Times New Roman" w:cs="Times New Roman"/>
          <w:b/>
          <w:bCs/>
          <w:sz w:val="24"/>
          <w:szCs w:val="24"/>
        </w:rPr>
        <w:t>ext S4. Characterization and analysis methods</w:t>
      </w:r>
    </w:p>
    <w:p w14:paraId="49D69F45"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morphologies and elemental distributions of the samples were obtained using scanning electron microscope (SEM, MIRA3 TESCAN) equipped with energy-dispersive spectroscopy (EDS). Transmission electron microscope (TEM, Hitachi JEM-3010) was used to obtain TEM images at an accelerating voltage of up to 200 kV. Crystallographic information was collected using an X-ray diffractometer with Cu-</w:t>
      </w:r>
      <w:proofErr w:type="spellStart"/>
      <w:r>
        <w:rPr>
          <w:rFonts w:ascii="Times New Roman" w:hAnsi="Times New Roman" w:cs="Times New Roman"/>
          <w:sz w:val="24"/>
          <w:szCs w:val="24"/>
        </w:rPr>
        <w:t>Kɑ</w:t>
      </w:r>
      <w:proofErr w:type="spellEnd"/>
      <w:r>
        <w:rPr>
          <w:rFonts w:ascii="Times New Roman" w:hAnsi="Times New Roman" w:cs="Times New Roman"/>
          <w:sz w:val="24"/>
          <w:szCs w:val="24"/>
        </w:rPr>
        <w:t xml:space="preserve"> radiation source (XRD, </w:t>
      </w:r>
      <w:proofErr w:type="spellStart"/>
      <w:r>
        <w:rPr>
          <w:rFonts w:ascii="Times New Roman" w:hAnsi="Times New Roman" w:cs="Times New Roman"/>
          <w:sz w:val="24"/>
          <w:szCs w:val="24"/>
        </w:rPr>
        <w:t>Smartlab</w:t>
      </w:r>
      <w:proofErr w:type="spellEnd"/>
      <w:r>
        <w:rPr>
          <w:rFonts w:ascii="Times New Roman" w:hAnsi="Times New Roman" w:cs="Times New Roman"/>
          <w:sz w:val="24"/>
          <w:szCs w:val="24"/>
        </w:rPr>
        <w:t xml:space="preserve">). </w:t>
      </w:r>
      <w:r>
        <w:rPr>
          <w:rFonts w:ascii="Times New Roman" w:hAnsi="Times New Roman" w:cs="Times New Roman"/>
          <w:sz w:val="24"/>
          <w:szCs w:val="24"/>
          <w:vertAlign w:val="superscript"/>
        </w:rPr>
        <w:t>1</w:t>
      </w:r>
      <w:r>
        <w:rPr>
          <w:rFonts w:ascii="Times New Roman" w:hAnsi="Times New Roman" w:cs="Times New Roman"/>
          <w:sz w:val="24"/>
          <w:szCs w:val="24"/>
        </w:rPr>
        <w:t>H nuclear magnetic resonance (</w:t>
      </w:r>
      <w:r>
        <w:rPr>
          <w:rFonts w:ascii="Times New Roman" w:hAnsi="Times New Roman" w:cs="Times New Roman"/>
          <w:sz w:val="24"/>
          <w:szCs w:val="24"/>
          <w:vertAlign w:val="superscript"/>
        </w:rPr>
        <w:t>1</w:t>
      </w:r>
      <w:r>
        <w:rPr>
          <w:rFonts w:ascii="Times New Roman" w:hAnsi="Times New Roman" w:cs="Times New Roman"/>
          <w:sz w:val="24"/>
          <w:szCs w:val="24"/>
        </w:rPr>
        <w:t>H NMR) spectra were recorded from an INOVA 400NB NMR (400 MHz, D</w:t>
      </w:r>
      <w:r>
        <w:rPr>
          <w:rFonts w:ascii="Times New Roman" w:hAnsi="Times New Roman" w:cs="Times New Roman"/>
          <w:sz w:val="24"/>
          <w:szCs w:val="24"/>
          <w:vertAlign w:val="subscript"/>
        </w:rPr>
        <w:t>2</w:t>
      </w:r>
      <w:r>
        <w:rPr>
          <w:rFonts w:ascii="Times New Roman" w:hAnsi="Times New Roman" w:cs="Times New Roman"/>
          <w:sz w:val="24"/>
          <w:szCs w:val="24"/>
        </w:rPr>
        <w:t xml:space="preserve">O) (Zr-MSA was digested by NaOH solution for </w:t>
      </w:r>
      <w:r>
        <w:rPr>
          <w:rFonts w:ascii="Times New Roman" w:hAnsi="Times New Roman" w:cs="Times New Roman"/>
          <w:sz w:val="24"/>
          <w:szCs w:val="24"/>
          <w:vertAlign w:val="superscript"/>
        </w:rPr>
        <w:t>1</w:t>
      </w:r>
      <w:r>
        <w:rPr>
          <w:rFonts w:ascii="Times New Roman" w:hAnsi="Times New Roman" w:cs="Times New Roman"/>
          <w:sz w:val="24"/>
          <w:szCs w:val="24"/>
        </w:rPr>
        <w:t>H NMR measurement (</w:t>
      </w:r>
      <w:proofErr w:type="spellStart"/>
      <w:r>
        <w:rPr>
          <w:rFonts w:ascii="Times New Roman" w:hAnsi="Times New Roman" w:cs="Times New Roman"/>
          <w:sz w:val="24"/>
          <w:szCs w:val="24"/>
        </w:rPr>
        <w:t>m</w:t>
      </w:r>
      <w:r>
        <w:rPr>
          <w:rFonts w:ascii="Times New Roman" w:hAnsi="Times New Roman" w:cs="Times New Roman"/>
          <w:sz w:val="24"/>
          <w:szCs w:val="24"/>
          <w:vertAlign w:val="subscript"/>
        </w:rPr>
        <w:t>Zr</w:t>
      </w:r>
      <w:proofErr w:type="spellEnd"/>
      <w:r>
        <w:rPr>
          <w:rFonts w:ascii="Times New Roman" w:hAnsi="Times New Roman" w:cs="Times New Roman"/>
          <w:sz w:val="24"/>
          <w:szCs w:val="24"/>
          <w:vertAlign w:val="subscript"/>
        </w:rPr>
        <w:t>-MSA</w:t>
      </w:r>
      <w:r>
        <w:rPr>
          <w:rFonts w:ascii="Times New Roman" w:hAnsi="Times New Roman" w:cs="Times New Roman"/>
          <w:sz w:val="24"/>
          <w:szCs w:val="24"/>
        </w:rPr>
        <w:t xml:space="preserve">: </w:t>
      </w:r>
      <w:proofErr w:type="spellStart"/>
      <w:r>
        <w:rPr>
          <w:rFonts w:ascii="Times New Roman" w:hAnsi="Times New Roman" w:cs="Times New Roman"/>
          <w:sz w:val="24"/>
          <w:szCs w:val="24"/>
        </w:rPr>
        <w:t>m</w:t>
      </w:r>
      <w:r>
        <w:rPr>
          <w:rFonts w:ascii="Times New Roman" w:hAnsi="Times New Roman" w:cs="Times New Roman"/>
          <w:sz w:val="24"/>
          <w:szCs w:val="24"/>
          <w:vertAlign w:val="subscript"/>
        </w:rPr>
        <w:t>NaOH</w:t>
      </w:r>
      <w:proofErr w:type="spellEnd"/>
      <w:r>
        <w:rPr>
          <w:rFonts w:ascii="Times New Roman" w:hAnsi="Times New Roman" w:cs="Times New Roman"/>
          <w:sz w:val="24"/>
          <w:szCs w:val="24"/>
        </w:rPr>
        <w:t xml:space="preserve"> = 1:1)). The Fourier transform infrared (FT-IR) spectrum of Zr-MSA was recorded from KBr pellets, while that of PVDF@MS and TLMSM were recorded in ATR mode (</w:t>
      </w:r>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Scientific Nicolet iS5, </w:t>
      </w:r>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Fisher Scientific). The chemical composition of the samples before and after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adsorption was analyzed through X-ray photoelectron spectrometer (XPS, </w:t>
      </w:r>
      <w:proofErr w:type="spellStart"/>
      <w:r>
        <w:rPr>
          <w:rFonts w:ascii="Times New Roman" w:hAnsi="Times New Roman" w:cs="Times New Roman"/>
          <w:sz w:val="24"/>
          <w:szCs w:val="24"/>
        </w:rPr>
        <w:t>EscaLab</w:t>
      </w:r>
      <w:proofErr w:type="spellEnd"/>
      <w:r>
        <w:rPr>
          <w:rFonts w:ascii="Times New Roman" w:hAnsi="Times New Roman" w:cs="Times New Roman"/>
          <w:sz w:val="24"/>
          <w:szCs w:val="24"/>
        </w:rPr>
        <w:t xml:space="preserve"> Xi+, </w:t>
      </w:r>
      <w:proofErr w:type="spellStart"/>
      <w:r>
        <w:rPr>
          <w:rFonts w:ascii="Times New Roman" w:hAnsi="Times New Roman" w:cs="Times New Roman"/>
          <w:sz w:val="24"/>
          <w:szCs w:val="24"/>
        </w:rPr>
        <w:t>Thermo</w:t>
      </w:r>
      <w:proofErr w:type="spellEnd"/>
      <w:r>
        <w:rPr>
          <w:rFonts w:ascii="Times New Roman" w:hAnsi="Times New Roman" w:cs="Times New Roman"/>
          <w:sz w:val="24"/>
          <w:szCs w:val="24"/>
        </w:rPr>
        <w:t xml:space="preserve"> Fisher Scientific) with an Al-</w:t>
      </w:r>
      <w:proofErr w:type="spellStart"/>
      <w:r>
        <w:rPr>
          <w:rFonts w:ascii="Times New Roman" w:hAnsi="Times New Roman" w:cs="Times New Roman"/>
          <w:sz w:val="24"/>
          <w:szCs w:val="24"/>
        </w:rPr>
        <w:t>Kɑ</w:t>
      </w:r>
      <w:proofErr w:type="spellEnd"/>
      <w:r>
        <w:rPr>
          <w:rFonts w:ascii="Times New Roman" w:hAnsi="Times New Roman" w:cs="Times New Roman"/>
          <w:sz w:val="24"/>
          <w:szCs w:val="24"/>
        </w:rPr>
        <w:t xml:space="preserve"> X-ray source. The concentration of ClO</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r>
        <w:rPr>
          <w:rFonts w:ascii="Times New Roman" w:hAnsi="Times New Roman" w:cs="Times New Roman"/>
          <w:sz w:val="24"/>
          <w:szCs w:val="24"/>
        </w:rPr>
        <w:t xml:space="preserve"> and other anions in the filtration solutions were determined using ion chromatography (IC) system (ICS1500, </w:t>
      </w:r>
      <w:proofErr w:type="spellStart"/>
      <w:r>
        <w:rPr>
          <w:rFonts w:ascii="Times New Roman" w:hAnsi="Times New Roman" w:cs="Times New Roman"/>
          <w:sz w:val="24"/>
          <w:szCs w:val="24"/>
        </w:rPr>
        <w:t>Dionex</w:t>
      </w:r>
      <w:proofErr w:type="spellEnd"/>
      <w:r>
        <w:rPr>
          <w:rFonts w:ascii="Times New Roman" w:hAnsi="Times New Roman" w:cs="Times New Roman"/>
          <w:sz w:val="24"/>
          <w:szCs w:val="24"/>
        </w:rPr>
        <w:t>).</w:t>
      </w:r>
    </w:p>
    <w:p w14:paraId="49A8F1F5"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71572050" w14:textId="77777777" w:rsidR="00111265" w:rsidRDefault="00000000">
      <w:pPr>
        <w:spacing w:line="480" w:lineRule="auto"/>
        <w:rPr>
          <w:rFonts w:ascii="Times New Roman" w:hAnsi="Times New Roman" w:cs="Times New Roman"/>
          <w:b/>
          <w:bCs/>
          <w:sz w:val="24"/>
          <w:szCs w:val="24"/>
        </w:rPr>
      </w:pPr>
      <w:r>
        <w:rPr>
          <w:rFonts w:ascii="Times New Roman" w:hAnsi="Times New Roman" w:cs="Times New Roman" w:hint="eastAsia"/>
          <w:b/>
          <w:bCs/>
          <w:sz w:val="24"/>
          <w:szCs w:val="24"/>
        </w:rPr>
        <w:lastRenderedPageBreak/>
        <w:t>T</w:t>
      </w:r>
      <w:r>
        <w:rPr>
          <w:rFonts w:ascii="Times New Roman" w:hAnsi="Times New Roman" w:cs="Times New Roman"/>
          <w:b/>
          <w:bCs/>
          <w:sz w:val="24"/>
          <w:szCs w:val="24"/>
        </w:rPr>
        <w:t>ext S5. DFT Calculations</w:t>
      </w:r>
    </w:p>
    <w:p w14:paraId="367F94E0" w14:textId="77777777" w:rsidR="00111265"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The structures of cationic surfactants and their interactions with 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cs="Times New Roman"/>
          <w:sz w:val="24"/>
          <w:szCs w:val="24"/>
        </w:rPr>
        <w:t xml:space="preserve"> were computed using Density Functional Theory (DFT) methods. The B3LYP method with the 6-311+g(</w:t>
      </w:r>
      <w:proofErr w:type="spellStart"/>
      <w:r>
        <w:rPr>
          <w:rFonts w:ascii="Times New Roman" w:hAnsi="Times New Roman" w:cs="Times New Roman"/>
          <w:sz w:val="24"/>
          <w:szCs w:val="24"/>
        </w:rPr>
        <w:t>d,p</w:t>
      </w:r>
      <w:proofErr w:type="spellEnd"/>
      <w:r>
        <w:rPr>
          <w:rFonts w:ascii="Times New Roman" w:hAnsi="Times New Roman" w:cs="Times New Roman"/>
          <w:sz w:val="24"/>
          <w:szCs w:val="24"/>
        </w:rPr>
        <w:t>) basis set was employed to optimize the geometries of CTAB and CPC, followed by the generation of their electrostatic potential maps</w:t>
      </w:r>
      <w:r>
        <w:rPr>
          <w:rFonts w:ascii="Times New Roman" w:hAnsi="Times New Roman" w:cs="Times New Roman" w:hint="eastAsia"/>
          <w:sz w:val="24"/>
          <w:szCs w:val="24"/>
        </w:rPr>
        <w:t xml:space="preserve"> </w:t>
      </w:r>
      <w:bookmarkStart w:id="3" w:name="_Hlk169269306"/>
      <w:r>
        <w:rPr>
          <w:rStyle w:val="a8"/>
          <w:rFonts w:eastAsiaTheme="minorEastAsia"/>
        </w:rPr>
        <w:fldChar w:fldCharType="begin"/>
      </w:r>
      <w:r>
        <w:rPr>
          <w:rStyle w:val="a8"/>
          <w:rFonts w:eastAsiaTheme="minorEastAsia"/>
        </w:rPr>
        <w:instrText xml:space="preserve"> ADDIN EN.CITE &lt;EndNote&gt;&lt;Cite&gt;&lt;Author&gt;Fang&lt;/Author&gt;&lt;Year&gt;2013&lt;/Year&gt;&lt;RecNum&gt;166&lt;/RecNum&gt;&lt;DisplayText&gt;[1,2]&lt;/DisplayText&gt;&lt;record&gt;&lt;rec-number&gt;166&lt;/rec-number&gt;&lt;foreign-keys&gt;&lt;key app="EN" db-id="xwvzp95skwp9ree9ed9vpfxkptax0w9ssxfv" timestamp="1718184262"&gt;166&lt;/key&gt;&lt;/foreign-keys&gt;&lt;ref-type name="Journal Article"&gt;17&lt;/ref-type&gt;&lt;contributors&gt;&lt;authors&gt;&lt;author&gt;Fang, Qile&lt;/author&gt;&lt;author&gt;Chen, Baoliang&lt;/author&gt;&lt;author&gt;Zhuang, Shulin&lt;/author&gt;&lt;/authors&gt;&lt;/contributors&gt;&lt;titles&gt;&lt;title&gt;Triplex blue-shifting hydrogen bonds of ClO4–··· H–C in the nanointerlayer of montmorillonite complexed with cetyltrimethylammonium cation from hydrophilic to hydrophobic properties&lt;/title&gt;&lt;secondary-title&gt;Environmental science &amp;amp; technology&lt;/secondary-title&gt;&lt;/titles&gt;&lt;periodical&gt;&lt;full-title&gt;Environmental science &amp;amp; technology&lt;/full-title&gt;&lt;/periodical&gt;&lt;pages&gt;11013-11022&lt;/pages&gt;&lt;volume&gt;47&lt;/volume&gt;&lt;number&gt;19&lt;/number&gt;&lt;dates&gt;&lt;year&gt;2013&lt;/year&gt;&lt;/dates&gt;&lt;isbn&gt;0013-936X&lt;/isbn&gt;&lt;urls&gt;&lt;/urls&gt;&lt;/record&gt;&lt;/Cite&gt;&lt;Cite&gt;&lt;Author&gt;Wang&lt;/Author&gt;&lt;Year&gt;2023&lt;/Year&gt;&lt;RecNum&gt;167&lt;/RecNum&gt;&lt;record&gt;&lt;rec-number&gt;167&lt;/rec-number&gt;&lt;foreign-keys&gt;&lt;key app="EN" db-id="xwvzp95skwp9ree9ed9vpfxkptax0w9ssxfv" timestamp="1718184348"&gt;167&lt;/key&gt;&lt;/foreign-keys&gt;&lt;ref-type name="Journal Article"&gt;17&lt;/ref-type&gt;&lt;contributors&gt;&lt;authors&gt;&lt;author&gt;Wang, Yue&lt;/author&gt;&lt;author&gt;Xiao, Ye&lt;/author&gt;&lt;author&gt;Wang, Yafei&lt;/author&gt;&lt;author&gt;Lin, Qingqi&lt;/author&gt;&lt;author&gt;Zhu, Yanping&lt;/author&gt;&lt;author&gt;Ni, Zhuobiao&lt;/author&gt;&lt;author&gt;Qiu, Rongliang&lt;/author&gt;&lt;/authors&gt;&lt;/contributors&gt;&lt;titles&gt;&lt;title&gt;Electroreductive Defluorination of Unsaturated PFAS by a Quaternary Ammonium Surfactant-Modified Cathode via Direct Cathodic Reduction&lt;/title&gt;&lt;secondary-title&gt;Environmental science &amp;amp; technology&lt;/secondary-title&gt;&lt;/titles&gt;&lt;periodical&gt;&lt;full-title&gt;Environmental science &amp;amp; technology&lt;/full-title&gt;&lt;/periodical&gt;&lt;pages&gt;7578-7589&lt;/pages&gt;&lt;volume&gt;57&lt;/volume&gt;&lt;number&gt;19&lt;/number&gt;&lt;dates&gt;&lt;year&gt;2023&lt;/year&gt;&lt;/dates&gt;&lt;isbn&gt;0013-936X&lt;/isbn&gt;&lt;urls&gt;&lt;/urls&gt;&lt;/record&gt;&lt;/Cite&gt;&lt;/EndNote&gt;</w:instrText>
      </w:r>
      <w:r>
        <w:rPr>
          <w:rStyle w:val="a8"/>
          <w:rFonts w:eastAsiaTheme="minorEastAsia"/>
        </w:rPr>
        <w:fldChar w:fldCharType="separate"/>
      </w:r>
      <w:r>
        <w:rPr>
          <w:rStyle w:val="a8"/>
          <w:rFonts w:eastAsiaTheme="minorEastAsia"/>
        </w:rPr>
        <w:t>[1,2]</w:t>
      </w:r>
      <w:r>
        <w:rPr>
          <w:rStyle w:val="a8"/>
          <w:rFonts w:eastAsiaTheme="minorEastAsia"/>
        </w:rPr>
        <w:fldChar w:fldCharType="end"/>
      </w:r>
      <w:bookmarkEnd w:id="3"/>
      <w:r>
        <w:rPr>
          <w:rFonts w:ascii="Times New Roman" w:hAnsi="Times New Roman" w:cs="Times New Roman"/>
          <w:sz w:val="24"/>
          <w:szCs w:val="24"/>
        </w:rPr>
        <w:t>. For the unconventional hydrogen bonding energy calculations, all single-point energies were computed at the B2PLYP-D3(BJ)/def2-TZVP level of theory, accounting for basis set superposition errors (BSSE). Solvent effects of water were considered in all optimization, frequency, and single-point calculations.</w:t>
      </w:r>
      <w:r>
        <w:t xml:space="preserve"> </w:t>
      </w:r>
      <w:r>
        <w:rPr>
          <w:rFonts w:ascii="Times New Roman" w:hAnsi="Times New Roman" w:cs="Times New Roman"/>
          <w:sz w:val="24"/>
          <w:szCs w:val="24"/>
        </w:rPr>
        <w:t>The Hirshfeld atomic charges and Fukui indices (f, f</w:t>
      </w:r>
      <w:r>
        <w:rPr>
          <w:rFonts w:ascii="Times New Roman" w:hAnsi="Times New Roman" w:cs="Times New Roman"/>
          <w:sz w:val="24"/>
          <w:szCs w:val="24"/>
          <w:vertAlign w:val="superscript"/>
        </w:rPr>
        <w:t>+</w:t>
      </w:r>
      <w:r>
        <w:rPr>
          <w:rFonts w:ascii="Times New Roman" w:hAnsi="Times New Roman" w:cs="Times New Roman"/>
          <w:sz w:val="24"/>
          <w:szCs w:val="24"/>
        </w:rPr>
        <w:t>, f</w:t>
      </w:r>
      <w:r>
        <w:rPr>
          <w:rFonts w:ascii="Times New Roman" w:hAnsi="Times New Roman" w:cs="Times New Roman"/>
          <w:sz w:val="24"/>
          <w:szCs w:val="24"/>
          <w:vertAlign w:val="superscript"/>
        </w:rPr>
        <w:t>0</w:t>
      </w:r>
      <w:r>
        <w:rPr>
          <w:rFonts w:ascii="Times New Roman" w:hAnsi="Times New Roman" w:cs="Times New Roman"/>
          <w:sz w:val="24"/>
          <w:szCs w:val="24"/>
        </w:rPr>
        <w:t xml:space="preserve">) were calculated and analyzed using the </w:t>
      </w:r>
      <w:proofErr w:type="spellStart"/>
      <w:r>
        <w:rPr>
          <w:rFonts w:ascii="Times New Roman" w:hAnsi="Times New Roman" w:cs="Times New Roman"/>
          <w:sz w:val="24"/>
          <w:szCs w:val="24"/>
        </w:rPr>
        <w:t>Multiwfn</w:t>
      </w:r>
      <w:proofErr w:type="spellEnd"/>
      <w:r>
        <w:rPr>
          <w:rFonts w:ascii="Times New Roman" w:hAnsi="Times New Roman" w:cs="Times New Roman"/>
          <w:sz w:val="24"/>
          <w:szCs w:val="24"/>
        </w:rPr>
        <w:t xml:space="preserve"> software</w:t>
      </w:r>
      <w:r>
        <w:rPr>
          <w:rFonts w:ascii="Times New Roman" w:hAnsi="Times New Roman" w:cs="Times New Roman" w:hint="eastAsia"/>
          <w:sz w:val="24"/>
          <w:szCs w:val="24"/>
        </w:rPr>
        <w:t xml:space="preserve"> </w:t>
      </w:r>
      <w:bookmarkStart w:id="4" w:name="_Hlk169269342"/>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&lt;EndNote&gt;&lt;Cite&gt;&lt;Author&gt;Lu&lt;/Author&gt;&lt;Year&gt;2012&lt;/Year&gt;&lt;RecNum&gt;165&lt;/RecNum&gt;&lt;DisplayText&gt;[3]&lt;/DisplayText&gt;&lt;record&gt;&lt;rec-number&gt;165&lt;/rec-number&gt;&lt;foreign-keys&gt;&lt;key app="EN" db-id="xwvzp95skwp9ree9ed9vpfxkptax0w9ssxfv" timestamp="1718183179"&gt;165&lt;/key&gt;&lt;/foreign-keys&gt;&lt;ref-type name="Journal Article"&gt;17&lt;/ref-type&gt;&lt;contributors&gt;&lt;authors&gt;&lt;author&gt;Lu, Tian&lt;/author&gt;&lt;author&gt;Chen, Feiwu&lt;/author&gt;&lt;/authors&gt;&lt;/contributors&gt;&lt;titles&gt;&lt;title&gt;Multiwfn: A multifunctional wavefunction analyzer&lt;/title&gt;&lt;secondary-title&gt;Journal of computational chemistry&lt;/secondary-title&gt;&lt;/titles&gt;&lt;periodical&gt;&lt;full-title&gt;Journal of computational chemistry&lt;/full-title&gt;&lt;/periodical&gt;&lt;pages&gt;580-592&lt;/pages&gt;&lt;volume&gt;33&lt;/volume&gt;&lt;number&gt;5&lt;/number&gt;&lt;dates&gt;&lt;year&gt;2012&lt;/year&gt;&lt;/dates&gt;&lt;isbn&gt;0192-8651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bookmarkEnd w:id="4"/>
      <w:r>
        <w:rPr>
          <w:rFonts w:ascii="Times New Roman" w:hAnsi="Times New Roman" w:cs="Times New Roman"/>
          <w:sz w:val="24"/>
          <w:szCs w:val="24"/>
        </w:rPr>
        <w:t xml:space="preserve">. The minima and maxima of the molecular electrostatic potential (ESP) surfaces, represented by blue and yellow dots respectively, were derived based on the optimized structures. An independent gradient model (IGM) analysis of the complex structures was conducted with </w:t>
      </w:r>
      <w:proofErr w:type="spellStart"/>
      <w:r>
        <w:rPr>
          <w:rFonts w:ascii="Times New Roman" w:hAnsi="Times New Roman" w:cs="Times New Roman"/>
          <w:sz w:val="24"/>
          <w:szCs w:val="24"/>
        </w:rPr>
        <w:t>Multiwfn</w:t>
      </w:r>
      <w:proofErr w:type="spellEnd"/>
      <w:r>
        <w:rPr>
          <w:rFonts w:ascii="Times New Roman" w:hAnsi="Times New Roman" w:cs="Times New Roman"/>
          <w:sz w:val="24"/>
          <w:szCs w:val="24"/>
        </w:rPr>
        <w:t xml:space="preserve"> software to gain deeper insights into the nature of intermolecular interactions governed by weak forces. The colored </w:t>
      </w:r>
      <w:proofErr w:type="spellStart"/>
      <w:r>
        <w:rPr>
          <w:rFonts w:ascii="Times New Roman" w:hAnsi="Times New Roman" w:cs="Times New Roman"/>
          <w:sz w:val="24"/>
          <w:szCs w:val="24"/>
        </w:rPr>
        <w:t>isosurface</w:t>
      </w:r>
      <w:proofErr w:type="spellEnd"/>
      <w:r>
        <w:rPr>
          <w:rFonts w:ascii="Times New Roman" w:hAnsi="Times New Roman" w:cs="Times New Roman"/>
          <w:sz w:val="24"/>
          <w:szCs w:val="24"/>
        </w:rPr>
        <w:t xml:space="preserve"> maps resulting from the IGM analysis were visualized using the Visual Molecular Dynamics (VMD) program</w:t>
      </w:r>
      <w:r>
        <w:rPr>
          <w:rFonts w:ascii="Times New Roman" w:hAnsi="Times New Roman" w:cs="Times New Roman" w:hint="eastAsia"/>
          <w:sz w:val="24"/>
          <w:szCs w:val="24"/>
        </w:rPr>
        <w:t>.</w:t>
      </w:r>
    </w:p>
    <w:p w14:paraId="577F19EF"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4212C762" w14:textId="77777777" w:rsidR="00111265" w:rsidRDefault="00000000">
      <w:pPr>
        <w:widowControl/>
        <w:spacing w:line="480" w:lineRule="auto"/>
        <w:jc w:val="left"/>
        <w:rPr>
          <w:rFonts w:ascii="Times New Roman" w:hAnsi="Times New Roman"/>
          <w:iCs/>
          <w:sz w:val="24"/>
        </w:rPr>
      </w:pPr>
      <w:r>
        <w:rPr>
          <w:rFonts w:ascii="Times New Roman" w:hAnsi="Times New Roman"/>
          <w:b/>
          <w:bCs/>
          <w:iCs/>
          <w:sz w:val="24"/>
          <w:szCs w:val="24"/>
        </w:rPr>
        <w:lastRenderedPageBreak/>
        <w:t xml:space="preserve">Table S1. </w:t>
      </w:r>
      <w:r>
        <w:rPr>
          <w:rFonts w:ascii="Times New Roman" w:hAnsi="Times New Roman"/>
          <w:iCs/>
          <w:sz w:val="24"/>
        </w:rPr>
        <w:t>Fitting of rate constants (K) and coefficients of determination (R</w:t>
      </w:r>
      <w:r>
        <w:rPr>
          <w:rFonts w:ascii="Times New Roman" w:hAnsi="Times New Roman"/>
          <w:iCs/>
          <w:sz w:val="24"/>
          <w:vertAlign w:val="superscript"/>
        </w:rPr>
        <w:t>2</w:t>
      </w:r>
      <w:r>
        <w:rPr>
          <w:rFonts w:ascii="Times New Roman" w:hAnsi="Times New Roman"/>
          <w:iCs/>
          <w:sz w:val="24"/>
        </w:rPr>
        <w:t xml:space="preserve">) for the adsorption of </w:t>
      </w:r>
      <w:r>
        <w:rPr>
          <w:rFonts w:ascii="Times New Roman" w:hAnsi="Times New Roman" w:cs="Times New Roman"/>
          <w:sz w:val="24"/>
          <w:szCs w:val="24"/>
        </w:rPr>
        <w:t>ClO</w:t>
      </w:r>
      <w:r>
        <w:rPr>
          <w:rFonts w:ascii="Times New Roman" w:hAnsi="Times New Roman" w:cs="Times New Roman"/>
          <w:sz w:val="24"/>
          <w:szCs w:val="24"/>
          <w:vertAlign w:val="subscript"/>
        </w:rPr>
        <w:t>4</w:t>
      </w:r>
      <w:r>
        <w:rPr>
          <w:rFonts w:ascii="Times New Roman" w:hAnsi="Times New Roman" w:cs="Times New Roman"/>
          <w:bCs/>
          <w:sz w:val="24"/>
          <w:vertAlign w:val="superscript"/>
        </w:rPr>
        <w:t>−</w:t>
      </w:r>
      <w:r>
        <w:rPr>
          <w:rFonts w:ascii="Times New Roman" w:hAnsi="Times New Roman"/>
          <w:iCs/>
          <w:sz w:val="24"/>
        </w:rPr>
        <w:t xml:space="preserve"> by five materials using pseudo-second-order and pseudo-first-order models.</w:t>
      </w:r>
    </w:p>
    <w:tbl>
      <w:tblPr>
        <w:tblStyle w:val="a7"/>
        <w:tblW w:w="0" w:type="auto"/>
        <w:tblLook w:val="04A0" w:firstRow="1" w:lastRow="0" w:firstColumn="1" w:lastColumn="0" w:noHBand="0" w:noVBand="1"/>
      </w:tblPr>
      <w:tblGrid>
        <w:gridCol w:w="2263"/>
        <w:gridCol w:w="1560"/>
        <w:gridCol w:w="1559"/>
        <w:gridCol w:w="992"/>
        <w:gridCol w:w="992"/>
        <w:gridCol w:w="930"/>
      </w:tblGrid>
      <w:tr w:rsidR="00111265" w14:paraId="50EE066F" w14:textId="77777777">
        <w:trPr>
          <w:trHeight w:val="416"/>
        </w:trPr>
        <w:tc>
          <w:tcPr>
            <w:tcW w:w="2263" w:type="dxa"/>
            <w:tcBorders>
              <w:top w:val="single" w:sz="4" w:space="0" w:color="auto"/>
              <w:left w:val="single" w:sz="4" w:space="0" w:color="auto"/>
              <w:bottom w:val="single" w:sz="4" w:space="0" w:color="auto"/>
              <w:right w:val="single" w:sz="4" w:space="0" w:color="auto"/>
            </w:tcBorders>
          </w:tcPr>
          <w:p w14:paraId="6577C11B" w14:textId="77777777" w:rsidR="00111265" w:rsidRDefault="00000000">
            <w:pPr>
              <w:spacing w:line="480" w:lineRule="auto"/>
              <w:jc w:val="center"/>
              <w:rPr>
                <w:rFonts w:ascii="Times New Roman" w:hAnsi="Times New Roman"/>
                <w:sz w:val="24"/>
                <w:szCs w:val="24"/>
              </w:rPr>
            </w:pPr>
            <w:bookmarkStart w:id="5" w:name="_Hlk169427104"/>
            <w:r>
              <w:rPr>
                <w:rFonts w:ascii="Times New Roman" w:hAnsi="Times New Roman"/>
                <w:iCs/>
                <w:sz w:val="24"/>
                <w:szCs w:val="24"/>
              </w:rPr>
              <w:t>pseudo-second-order</w:t>
            </w:r>
            <w:r>
              <w:rPr>
                <w:rFonts w:ascii="Times New Roman" w:hAnsi="Times New Roman" w:hint="eastAsia"/>
                <w:iCs/>
                <w:sz w:val="24"/>
                <w:szCs w:val="24"/>
              </w:rPr>
              <w:t xml:space="preserve"> model </w:t>
            </w:r>
          </w:p>
        </w:tc>
        <w:tc>
          <w:tcPr>
            <w:tcW w:w="1560" w:type="dxa"/>
            <w:tcBorders>
              <w:top w:val="single" w:sz="4" w:space="0" w:color="auto"/>
              <w:left w:val="single" w:sz="4" w:space="0" w:color="auto"/>
              <w:bottom w:val="single" w:sz="4" w:space="0" w:color="auto"/>
              <w:right w:val="single" w:sz="4" w:space="0" w:color="auto"/>
            </w:tcBorders>
          </w:tcPr>
          <w:p w14:paraId="3E382617"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CTAB-MMT</w:t>
            </w:r>
          </w:p>
        </w:tc>
        <w:tc>
          <w:tcPr>
            <w:tcW w:w="1559" w:type="dxa"/>
            <w:tcBorders>
              <w:top w:val="single" w:sz="4" w:space="0" w:color="auto"/>
              <w:left w:val="single" w:sz="4" w:space="0" w:color="auto"/>
              <w:bottom w:val="single" w:sz="4" w:space="0" w:color="auto"/>
              <w:right w:val="single" w:sz="4" w:space="0" w:color="auto"/>
            </w:tcBorders>
          </w:tcPr>
          <w:p w14:paraId="0B1A0ECF"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CPC-MMT</w:t>
            </w:r>
          </w:p>
        </w:tc>
        <w:tc>
          <w:tcPr>
            <w:tcW w:w="992" w:type="dxa"/>
            <w:tcBorders>
              <w:top w:val="single" w:sz="4" w:space="0" w:color="auto"/>
              <w:left w:val="single" w:sz="4" w:space="0" w:color="auto"/>
              <w:bottom w:val="single" w:sz="4" w:space="0" w:color="auto"/>
              <w:right w:val="single" w:sz="4" w:space="0" w:color="auto"/>
            </w:tcBorders>
          </w:tcPr>
          <w:p w14:paraId="01B6D57F"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PAC</w:t>
            </w:r>
          </w:p>
        </w:tc>
        <w:tc>
          <w:tcPr>
            <w:tcW w:w="992" w:type="dxa"/>
            <w:tcBorders>
              <w:top w:val="single" w:sz="4" w:space="0" w:color="auto"/>
              <w:left w:val="single" w:sz="4" w:space="0" w:color="auto"/>
              <w:bottom w:val="single" w:sz="4" w:space="0" w:color="auto"/>
              <w:right w:val="single" w:sz="4" w:space="0" w:color="auto"/>
            </w:tcBorders>
          </w:tcPr>
          <w:p w14:paraId="5E2928C0"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Kaolin</w:t>
            </w:r>
          </w:p>
        </w:tc>
        <w:tc>
          <w:tcPr>
            <w:tcW w:w="930" w:type="dxa"/>
            <w:tcBorders>
              <w:top w:val="single" w:sz="4" w:space="0" w:color="auto"/>
              <w:left w:val="single" w:sz="4" w:space="0" w:color="auto"/>
              <w:bottom w:val="single" w:sz="4" w:space="0" w:color="auto"/>
              <w:right w:val="single" w:sz="4" w:space="0" w:color="auto"/>
            </w:tcBorders>
          </w:tcPr>
          <w:p w14:paraId="6C0D2FC2"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MMT</w:t>
            </w:r>
          </w:p>
        </w:tc>
      </w:tr>
      <w:tr w:rsidR="00111265" w14:paraId="61BACA0D" w14:textId="77777777">
        <w:tc>
          <w:tcPr>
            <w:tcW w:w="2263" w:type="dxa"/>
            <w:tcBorders>
              <w:top w:val="single" w:sz="4" w:space="0" w:color="auto"/>
              <w:left w:val="single" w:sz="4" w:space="0" w:color="auto"/>
              <w:bottom w:val="single" w:sz="4" w:space="0" w:color="auto"/>
              <w:right w:val="single" w:sz="4" w:space="0" w:color="auto"/>
            </w:tcBorders>
          </w:tcPr>
          <w:p w14:paraId="5679ABF6"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K (min</w:t>
            </w:r>
            <w:r>
              <w:rPr>
                <w:rFonts w:ascii="Times New Roman" w:hAnsi="Times New Roman"/>
                <w:sz w:val="24"/>
                <w:szCs w:val="24"/>
                <w:vertAlign w:val="superscript"/>
              </w:rPr>
              <w:t>−1</w:t>
            </w:r>
            <w:r>
              <w:rPr>
                <w:rFonts w:ascii="Times New Roman" w:hAnsi="Times New Roman"/>
                <w:sz w:val="24"/>
                <w:szCs w:val="24"/>
              </w:rPr>
              <w:t>)</w:t>
            </w:r>
          </w:p>
        </w:tc>
        <w:tc>
          <w:tcPr>
            <w:tcW w:w="1560" w:type="dxa"/>
            <w:tcBorders>
              <w:top w:val="single" w:sz="4" w:space="0" w:color="auto"/>
              <w:left w:val="single" w:sz="4" w:space="0" w:color="auto"/>
              <w:bottom w:val="single" w:sz="4" w:space="0" w:color="auto"/>
              <w:right w:val="single" w:sz="4" w:space="0" w:color="auto"/>
            </w:tcBorders>
          </w:tcPr>
          <w:p w14:paraId="14C6DBD4"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0.0306</w:t>
            </w:r>
          </w:p>
        </w:tc>
        <w:tc>
          <w:tcPr>
            <w:tcW w:w="1559" w:type="dxa"/>
            <w:tcBorders>
              <w:top w:val="single" w:sz="4" w:space="0" w:color="auto"/>
              <w:left w:val="single" w:sz="4" w:space="0" w:color="auto"/>
              <w:bottom w:val="single" w:sz="4" w:space="0" w:color="auto"/>
              <w:right w:val="single" w:sz="4" w:space="0" w:color="auto"/>
            </w:tcBorders>
          </w:tcPr>
          <w:p w14:paraId="2BEC173A"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0.0153</w:t>
            </w:r>
          </w:p>
        </w:tc>
        <w:tc>
          <w:tcPr>
            <w:tcW w:w="992" w:type="dxa"/>
            <w:tcBorders>
              <w:top w:val="single" w:sz="4" w:space="0" w:color="auto"/>
              <w:left w:val="single" w:sz="4" w:space="0" w:color="auto"/>
              <w:bottom w:val="single" w:sz="4" w:space="0" w:color="auto"/>
              <w:right w:val="single" w:sz="4" w:space="0" w:color="auto"/>
            </w:tcBorders>
          </w:tcPr>
          <w:p w14:paraId="1B43E34A"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0.0030</w:t>
            </w:r>
          </w:p>
        </w:tc>
        <w:tc>
          <w:tcPr>
            <w:tcW w:w="992" w:type="dxa"/>
            <w:tcBorders>
              <w:top w:val="single" w:sz="4" w:space="0" w:color="auto"/>
              <w:left w:val="single" w:sz="4" w:space="0" w:color="auto"/>
              <w:bottom w:val="single" w:sz="4" w:space="0" w:color="auto"/>
              <w:right w:val="single" w:sz="4" w:space="0" w:color="auto"/>
            </w:tcBorders>
          </w:tcPr>
          <w:p w14:paraId="167351D8"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0.0112</w:t>
            </w:r>
          </w:p>
        </w:tc>
        <w:tc>
          <w:tcPr>
            <w:tcW w:w="930" w:type="dxa"/>
            <w:tcBorders>
              <w:top w:val="single" w:sz="4" w:space="0" w:color="auto"/>
              <w:left w:val="single" w:sz="4" w:space="0" w:color="auto"/>
              <w:bottom w:val="single" w:sz="4" w:space="0" w:color="auto"/>
              <w:right w:val="single" w:sz="4" w:space="0" w:color="auto"/>
            </w:tcBorders>
          </w:tcPr>
          <w:p w14:paraId="61179BA4"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w:t>
            </w:r>
          </w:p>
        </w:tc>
      </w:tr>
      <w:tr w:rsidR="00111265" w14:paraId="3AA43798" w14:textId="77777777">
        <w:tc>
          <w:tcPr>
            <w:tcW w:w="2263" w:type="dxa"/>
            <w:tcBorders>
              <w:top w:val="single" w:sz="4" w:space="0" w:color="auto"/>
              <w:left w:val="single" w:sz="4" w:space="0" w:color="auto"/>
              <w:bottom w:val="single" w:sz="4" w:space="0" w:color="auto"/>
              <w:right w:val="single" w:sz="4" w:space="0" w:color="auto"/>
            </w:tcBorders>
          </w:tcPr>
          <w:p w14:paraId="55E64F01" w14:textId="77777777" w:rsidR="00111265" w:rsidRDefault="00000000">
            <w:pPr>
              <w:spacing w:line="480" w:lineRule="auto"/>
              <w:jc w:val="center"/>
              <w:rPr>
                <w:rFonts w:ascii="Times New Roman" w:hAnsi="Times New Roman"/>
                <w:sz w:val="24"/>
                <w:szCs w:val="24"/>
                <w:vertAlign w:val="superscript"/>
              </w:rPr>
            </w:pPr>
            <w:r>
              <w:rPr>
                <w:rFonts w:ascii="Times New Roman" w:hAnsi="Times New Roman"/>
                <w:sz w:val="24"/>
                <w:szCs w:val="24"/>
              </w:rPr>
              <w:t>R</w:t>
            </w:r>
            <w:r>
              <w:rPr>
                <w:rFonts w:ascii="Times New Roman" w:hAnsi="Times New Roman"/>
                <w:sz w:val="24"/>
                <w:szCs w:val="24"/>
                <w:vertAlign w:val="superscript"/>
              </w:rPr>
              <w:t>2</w:t>
            </w:r>
          </w:p>
        </w:tc>
        <w:tc>
          <w:tcPr>
            <w:tcW w:w="1560" w:type="dxa"/>
            <w:tcBorders>
              <w:top w:val="single" w:sz="4" w:space="0" w:color="auto"/>
              <w:left w:val="single" w:sz="4" w:space="0" w:color="auto"/>
              <w:bottom w:val="single" w:sz="4" w:space="0" w:color="auto"/>
              <w:right w:val="single" w:sz="4" w:space="0" w:color="auto"/>
            </w:tcBorders>
          </w:tcPr>
          <w:p w14:paraId="7F71C3FC"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0.99</w:t>
            </w:r>
          </w:p>
        </w:tc>
        <w:tc>
          <w:tcPr>
            <w:tcW w:w="1559" w:type="dxa"/>
            <w:tcBorders>
              <w:top w:val="single" w:sz="4" w:space="0" w:color="auto"/>
              <w:left w:val="single" w:sz="4" w:space="0" w:color="auto"/>
              <w:bottom w:val="single" w:sz="4" w:space="0" w:color="auto"/>
              <w:right w:val="single" w:sz="4" w:space="0" w:color="auto"/>
            </w:tcBorders>
          </w:tcPr>
          <w:p w14:paraId="4A788698"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0.98</w:t>
            </w:r>
          </w:p>
        </w:tc>
        <w:tc>
          <w:tcPr>
            <w:tcW w:w="992" w:type="dxa"/>
            <w:tcBorders>
              <w:top w:val="single" w:sz="4" w:space="0" w:color="auto"/>
              <w:left w:val="single" w:sz="4" w:space="0" w:color="auto"/>
              <w:bottom w:val="single" w:sz="4" w:space="0" w:color="auto"/>
              <w:right w:val="single" w:sz="4" w:space="0" w:color="auto"/>
            </w:tcBorders>
          </w:tcPr>
          <w:p w14:paraId="0CD04C5D"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0.97</w:t>
            </w:r>
          </w:p>
        </w:tc>
        <w:tc>
          <w:tcPr>
            <w:tcW w:w="992" w:type="dxa"/>
            <w:tcBorders>
              <w:top w:val="single" w:sz="4" w:space="0" w:color="auto"/>
              <w:left w:val="single" w:sz="4" w:space="0" w:color="auto"/>
              <w:bottom w:val="single" w:sz="4" w:space="0" w:color="auto"/>
              <w:right w:val="single" w:sz="4" w:space="0" w:color="auto"/>
            </w:tcBorders>
          </w:tcPr>
          <w:p w14:paraId="2E0E48C7"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0.99</w:t>
            </w:r>
          </w:p>
        </w:tc>
        <w:tc>
          <w:tcPr>
            <w:tcW w:w="930" w:type="dxa"/>
            <w:tcBorders>
              <w:top w:val="single" w:sz="4" w:space="0" w:color="auto"/>
              <w:left w:val="single" w:sz="4" w:space="0" w:color="auto"/>
              <w:bottom w:val="single" w:sz="4" w:space="0" w:color="auto"/>
              <w:right w:val="single" w:sz="4" w:space="0" w:color="auto"/>
            </w:tcBorders>
          </w:tcPr>
          <w:p w14:paraId="750ACE96"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w:t>
            </w:r>
          </w:p>
        </w:tc>
      </w:tr>
      <w:tr w:rsidR="00111265" w14:paraId="7FCE70C4" w14:textId="77777777">
        <w:trPr>
          <w:trHeight w:val="416"/>
        </w:trPr>
        <w:tc>
          <w:tcPr>
            <w:tcW w:w="2263" w:type="dxa"/>
            <w:tcBorders>
              <w:top w:val="single" w:sz="4" w:space="0" w:color="auto"/>
              <w:left w:val="single" w:sz="4" w:space="0" w:color="auto"/>
              <w:bottom w:val="single" w:sz="4" w:space="0" w:color="auto"/>
              <w:right w:val="single" w:sz="4" w:space="0" w:color="auto"/>
            </w:tcBorders>
          </w:tcPr>
          <w:p w14:paraId="48F599A9" w14:textId="77777777" w:rsidR="00111265" w:rsidRDefault="00000000">
            <w:pPr>
              <w:spacing w:line="480" w:lineRule="auto"/>
              <w:jc w:val="center"/>
              <w:rPr>
                <w:rFonts w:ascii="Times New Roman" w:hAnsi="Times New Roman"/>
                <w:sz w:val="24"/>
                <w:szCs w:val="24"/>
              </w:rPr>
            </w:pPr>
            <w:r>
              <w:rPr>
                <w:rFonts w:ascii="Times New Roman" w:hAnsi="Times New Roman"/>
                <w:iCs/>
                <w:sz w:val="24"/>
                <w:szCs w:val="24"/>
              </w:rPr>
              <w:t>pseudo-first-order model</w:t>
            </w:r>
          </w:p>
        </w:tc>
        <w:tc>
          <w:tcPr>
            <w:tcW w:w="1560" w:type="dxa"/>
            <w:tcBorders>
              <w:top w:val="single" w:sz="4" w:space="0" w:color="auto"/>
              <w:left w:val="nil"/>
              <w:bottom w:val="single" w:sz="4" w:space="0" w:color="auto"/>
              <w:right w:val="single" w:sz="4" w:space="0" w:color="auto"/>
            </w:tcBorders>
          </w:tcPr>
          <w:p w14:paraId="1114C143"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CTAB-MMT</w:t>
            </w:r>
          </w:p>
        </w:tc>
        <w:tc>
          <w:tcPr>
            <w:tcW w:w="1559" w:type="dxa"/>
            <w:tcBorders>
              <w:top w:val="single" w:sz="4" w:space="0" w:color="auto"/>
              <w:left w:val="nil"/>
              <w:bottom w:val="single" w:sz="4" w:space="0" w:color="auto"/>
              <w:right w:val="single" w:sz="4" w:space="0" w:color="auto"/>
            </w:tcBorders>
          </w:tcPr>
          <w:p w14:paraId="6446EB26"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CPC-MMT</w:t>
            </w:r>
          </w:p>
        </w:tc>
        <w:tc>
          <w:tcPr>
            <w:tcW w:w="992" w:type="dxa"/>
            <w:tcBorders>
              <w:top w:val="single" w:sz="4" w:space="0" w:color="auto"/>
              <w:left w:val="nil"/>
              <w:bottom w:val="single" w:sz="4" w:space="0" w:color="auto"/>
              <w:right w:val="single" w:sz="4" w:space="0" w:color="auto"/>
            </w:tcBorders>
          </w:tcPr>
          <w:p w14:paraId="0FB7F968"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PAC</w:t>
            </w:r>
          </w:p>
        </w:tc>
        <w:tc>
          <w:tcPr>
            <w:tcW w:w="992" w:type="dxa"/>
            <w:tcBorders>
              <w:top w:val="single" w:sz="4" w:space="0" w:color="auto"/>
              <w:left w:val="nil"/>
              <w:bottom w:val="single" w:sz="4" w:space="0" w:color="auto"/>
              <w:right w:val="single" w:sz="4" w:space="0" w:color="auto"/>
            </w:tcBorders>
          </w:tcPr>
          <w:p w14:paraId="1FE7D423"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Kaolin</w:t>
            </w:r>
          </w:p>
        </w:tc>
        <w:tc>
          <w:tcPr>
            <w:tcW w:w="930" w:type="dxa"/>
            <w:tcBorders>
              <w:top w:val="single" w:sz="4" w:space="0" w:color="auto"/>
              <w:left w:val="nil"/>
              <w:bottom w:val="single" w:sz="4" w:space="0" w:color="auto"/>
              <w:right w:val="single" w:sz="4" w:space="0" w:color="auto"/>
            </w:tcBorders>
          </w:tcPr>
          <w:p w14:paraId="1BC215E3"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MMT</w:t>
            </w:r>
          </w:p>
        </w:tc>
      </w:tr>
      <w:tr w:rsidR="00111265" w14:paraId="5248A5B9" w14:textId="77777777">
        <w:tc>
          <w:tcPr>
            <w:tcW w:w="2263" w:type="dxa"/>
            <w:tcBorders>
              <w:top w:val="single" w:sz="4" w:space="0" w:color="auto"/>
              <w:left w:val="single" w:sz="4" w:space="0" w:color="auto"/>
              <w:bottom w:val="single" w:sz="4" w:space="0" w:color="auto"/>
              <w:right w:val="single" w:sz="4" w:space="0" w:color="auto"/>
            </w:tcBorders>
          </w:tcPr>
          <w:p w14:paraId="2DC8FE19"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K (min</w:t>
            </w:r>
            <w:r>
              <w:rPr>
                <w:rFonts w:ascii="Times New Roman" w:hAnsi="Times New Roman"/>
                <w:sz w:val="24"/>
                <w:szCs w:val="24"/>
                <w:vertAlign w:val="superscript"/>
              </w:rPr>
              <w:t>−1</w:t>
            </w:r>
            <w:r>
              <w:rPr>
                <w:rFonts w:ascii="Times New Roman" w:hAnsi="Times New Roman"/>
                <w:sz w:val="24"/>
                <w:szCs w:val="24"/>
              </w:rPr>
              <w:t>)</w:t>
            </w:r>
          </w:p>
        </w:tc>
        <w:tc>
          <w:tcPr>
            <w:tcW w:w="1560" w:type="dxa"/>
            <w:tcBorders>
              <w:top w:val="single" w:sz="4" w:space="0" w:color="auto"/>
              <w:left w:val="nil"/>
              <w:bottom w:val="single" w:sz="4" w:space="0" w:color="auto"/>
              <w:right w:val="single" w:sz="4" w:space="0" w:color="auto"/>
            </w:tcBorders>
          </w:tcPr>
          <w:p w14:paraId="12C8D855"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w:t>
            </w:r>
            <w:r>
              <w:rPr>
                <w:rFonts w:ascii="Times New Roman" w:hAnsi="Times New Roman" w:hint="eastAsia"/>
                <w:sz w:val="24"/>
                <w:szCs w:val="24"/>
              </w:rPr>
              <w:t>669</w:t>
            </w:r>
          </w:p>
        </w:tc>
        <w:tc>
          <w:tcPr>
            <w:tcW w:w="1559" w:type="dxa"/>
            <w:tcBorders>
              <w:top w:val="single" w:sz="4" w:space="0" w:color="auto"/>
              <w:left w:val="nil"/>
              <w:bottom w:val="single" w:sz="4" w:space="0" w:color="auto"/>
              <w:right w:val="single" w:sz="4" w:space="0" w:color="auto"/>
            </w:tcBorders>
          </w:tcPr>
          <w:p w14:paraId="3E1FE0CA"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w:t>
            </w:r>
            <w:r>
              <w:rPr>
                <w:rFonts w:ascii="Times New Roman" w:hAnsi="Times New Roman" w:hint="eastAsia"/>
                <w:sz w:val="24"/>
                <w:szCs w:val="24"/>
              </w:rPr>
              <w:t>398</w:t>
            </w:r>
          </w:p>
        </w:tc>
        <w:tc>
          <w:tcPr>
            <w:tcW w:w="992" w:type="dxa"/>
            <w:tcBorders>
              <w:top w:val="single" w:sz="4" w:space="0" w:color="auto"/>
              <w:left w:val="nil"/>
              <w:bottom w:val="single" w:sz="4" w:space="0" w:color="auto"/>
              <w:right w:val="single" w:sz="4" w:space="0" w:color="auto"/>
            </w:tcBorders>
          </w:tcPr>
          <w:p w14:paraId="67FF69CA"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w:t>
            </w:r>
            <w:r>
              <w:rPr>
                <w:rFonts w:ascii="Times New Roman" w:hAnsi="Times New Roman" w:hint="eastAsia"/>
                <w:sz w:val="24"/>
                <w:szCs w:val="24"/>
              </w:rPr>
              <w:t>229</w:t>
            </w:r>
          </w:p>
        </w:tc>
        <w:tc>
          <w:tcPr>
            <w:tcW w:w="992" w:type="dxa"/>
            <w:tcBorders>
              <w:top w:val="single" w:sz="4" w:space="0" w:color="auto"/>
              <w:left w:val="nil"/>
              <w:bottom w:val="single" w:sz="4" w:space="0" w:color="auto"/>
              <w:right w:val="single" w:sz="4" w:space="0" w:color="auto"/>
            </w:tcBorders>
          </w:tcPr>
          <w:p w14:paraId="4C8A645E"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0.0</w:t>
            </w:r>
            <w:r>
              <w:rPr>
                <w:rFonts w:ascii="Times New Roman" w:hAnsi="Times New Roman" w:hint="eastAsia"/>
                <w:sz w:val="24"/>
                <w:szCs w:val="24"/>
              </w:rPr>
              <w:t>81</w:t>
            </w:r>
          </w:p>
        </w:tc>
        <w:tc>
          <w:tcPr>
            <w:tcW w:w="930" w:type="dxa"/>
            <w:tcBorders>
              <w:top w:val="single" w:sz="4" w:space="0" w:color="auto"/>
              <w:left w:val="nil"/>
              <w:bottom w:val="single" w:sz="4" w:space="0" w:color="auto"/>
              <w:right w:val="single" w:sz="4" w:space="0" w:color="auto"/>
            </w:tcBorders>
          </w:tcPr>
          <w:p w14:paraId="743938E5"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w:t>
            </w:r>
          </w:p>
        </w:tc>
      </w:tr>
      <w:tr w:rsidR="00111265" w14:paraId="7DD5A4C4" w14:textId="77777777">
        <w:tc>
          <w:tcPr>
            <w:tcW w:w="2263" w:type="dxa"/>
            <w:tcBorders>
              <w:top w:val="single" w:sz="4" w:space="0" w:color="auto"/>
              <w:left w:val="single" w:sz="4" w:space="0" w:color="auto"/>
              <w:bottom w:val="single" w:sz="4" w:space="0" w:color="auto"/>
              <w:right w:val="single" w:sz="4" w:space="0" w:color="auto"/>
            </w:tcBorders>
          </w:tcPr>
          <w:p w14:paraId="480A7FDA" w14:textId="77777777" w:rsidR="00111265" w:rsidRDefault="00000000">
            <w:pPr>
              <w:spacing w:line="480" w:lineRule="auto"/>
              <w:jc w:val="center"/>
              <w:rPr>
                <w:rFonts w:ascii="Times New Roman" w:hAnsi="Times New Roman"/>
                <w:sz w:val="24"/>
                <w:szCs w:val="24"/>
                <w:vertAlign w:val="superscript"/>
              </w:rPr>
            </w:pPr>
            <w:r>
              <w:rPr>
                <w:rFonts w:ascii="Times New Roman" w:hAnsi="Times New Roman"/>
                <w:sz w:val="24"/>
                <w:szCs w:val="24"/>
              </w:rPr>
              <w:t>R</w:t>
            </w:r>
            <w:r>
              <w:rPr>
                <w:rFonts w:ascii="Times New Roman" w:hAnsi="Times New Roman"/>
                <w:sz w:val="24"/>
                <w:szCs w:val="24"/>
                <w:vertAlign w:val="superscript"/>
              </w:rPr>
              <w:t>2</w:t>
            </w:r>
          </w:p>
        </w:tc>
        <w:tc>
          <w:tcPr>
            <w:tcW w:w="1560" w:type="dxa"/>
            <w:tcBorders>
              <w:top w:val="single" w:sz="4" w:space="0" w:color="auto"/>
              <w:left w:val="nil"/>
              <w:bottom w:val="single" w:sz="4" w:space="0" w:color="auto"/>
              <w:right w:val="single" w:sz="4" w:space="0" w:color="auto"/>
            </w:tcBorders>
          </w:tcPr>
          <w:p w14:paraId="55D79946"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0.99</w:t>
            </w:r>
          </w:p>
        </w:tc>
        <w:tc>
          <w:tcPr>
            <w:tcW w:w="1559" w:type="dxa"/>
            <w:tcBorders>
              <w:top w:val="single" w:sz="4" w:space="0" w:color="auto"/>
              <w:left w:val="nil"/>
              <w:bottom w:val="single" w:sz="4" w:space="0" w:color="auto"/>
              <w:right w:val="single" w:sz="4" w:space="0" w:color="auto"/>
            </w:tcBorders>
          </w:tcPr>
          <w:p w14:paraId="4B1FEC6B"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0.98</w:t>
            </w:r>
          </w:p>
        </w:tc>
        <w:tc>
          <w:tcPr>
            <w:tcW w:w="992" w:type="dxa"/>
            <w:tcBorders>
              <w:top w:val="single" w:sz="4" w:space="0" w:color="auto"/>
              <w:left w:val="nil"/>
              <w:bottom w:val="single" w:sz="4" w:space="0" w:color="auto"/>
              <w:right w:val="single" w:sz="4" w:space="0" w:color="auto"/>
            </w:tcBorders>
          </w:tcPr>
          <w:p w14:paraId="22BDA47B"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w:t>
            </w:r>
            <w:r>
              <w:rPr>
                <w:rFonts w:ascii="Times New Roman" w:hAnsi="Times New Roman" w:hint="eastAsia"/>
                <w:sz w:val="24"/>
                <w:szCs w:val="24"/>
              </w:rPr>
              <w:t>8</w:t>
            </w:r>
          </w:p>
        </w:tc>
        <w:tc>
          <w:tcPr>
            <w:tcW w:w="992" w:type="dxa"/>
            <w:tcBorders>
              <w:top w:val="single" w:sz="4" w:space="0" w:color="auto"/>
              <w:left w:val="nil"/>
              <w:bottom w:val="single" w:sz="4" w:space="0" w:color="auto"/>
              <w:right w:val="single" w:sz="4" w:space="0" w:color="auto"/>
            </w:tcBorders>
          </w:tcPr>
          <w:p w14:paraId="605BD3D4"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w:t>
            </w:r>
            <w:r>
              <w:rPr>
                <w:rFonts w:ascii="Times New Roman" w:hAnsi="Times New Roman" w:hint="eastAsia"/>
                <w:sz w:val="24"/>
                <w:szCs w:val="24"/>
              </w:rPr>
              <w:t>7</w:t>
            </w:r>
          </w:p>
        </w:tc>
        <w:tc>
          <w:tcPr>
            <w:tcW w:w="930" w:type="dxa"/>
            <w:tcBorders>
              <w:top w:val="single" w:sz="4" w:space="0" w:color="auto"/>
              <w:left w:val="nil"/>
              <w:bottom w:val="single" w:sz="4" w:space="0" w:color="auto"/>
              <w:right w:val="single" w:sz="4" w:space="0" w:color="auto"/>
            </w:tcBorders>
          </w:tcPr>
          <w:p w14:paraId="3DDA615B"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w:t>
            </w:r>
          </w:p>
        </w:tc>
      </w:tr>
      <w:bookmarkEnd w:id="5"/>
    </w:tbl>
    <w:p w14:paraId="081EE2B3" w14:textId="77777777" w:rsidR="00111265" w:rsidRDefault="00111265">
      <w:pPr>
        <w:widowControl/>
        <w:spacing w:line="480" w:lineRule="auto"/>
        <w:rPr>
          <w:rFonts w:ascii="Times New Roman" w:hAnsi="Times New Roman"/>
          <w:b/>
          <w:bCs/>
          <w:sz w:val="24"/>
          <w:szCs w:val="24"/>
        </w:rPr>
      </w:pPr>
    </w:p>
    <w:p w14:paraId="23EBAB4B" w14:textId="77777777" w:rsidR="00111265" w:rsidRDefault="00000000">
      <w:pPr>
        <w:widowControl/>
        <w:spacing w:line="480" w:lineRule="auto"/>
        <w:rPr>
          <w:rFonts w:ascii="Times New Roman" w:hAnsi="Times New Roman"/>
          <w:b/>
          <w:bCs/>
          <w:sz w:val="24"/>
          <w:szCs w:val="24"/>
        </w:rPr>
      </w:pPr>
      <w:r>
        <w:rPr>
          <w:rFonts w:ascii="Times New Roman" w:hAnsi="Times New Roman"/>
          <w:b/>
          <w:bCs/>
          <w:sz w:val="24"/>
          <w:szCs w:val="24"/>
        </w:rPr>
        <w:br w:type="page"/>
      </w:r>
    </w:p>
    <w:p w14:paraId="231733EA" w14:textId="77777777" w:rsidR="00111265" w:rsidRDefault="00000000">
      <w:pPr>
        <w:widowControl/>
        <w:spacing w:line="480" w:lineRule="auto"/>
        <w:rPr>
          <w:rFonts w:ascii="Times New Roman" w:hAnsi="Times New Roman"/>
          <w:b/>
          <w:bCs/>
          <w:sz w:val="24"/>
          <w:szCs w:val="24"/>
        </w:rPr>
      </w:pPr>
      <w:r>
        <w:rPr>
          <w:rFonts w:ascii="Times New Roman" w:hAnsi="Times New Roman"/>
          <w:b/>
          <w:bCs/>
          <w:iCs/>
          <w:sz w:val="24"/>
          <w:szCs w:val="24"/>
        </w:rPr>
        <w:lastRenderedPageBreak/>
        <w:t xml:space="preserve">Table S2. </w:t>
      </w:r>
      <w:r>
        <w:rPr>
          <w:rFonts w:ascii="Times New Roman" w:hAnsi="Times New Roman"/>
          <w:iCs/>
          <w:sz w:val="24"/>
        </w:rPr>
        <w:t>Applying the Langmuir and Freundlich models to determine the saturated adsorption capacity (</w:t>
      </w:r>
      <w:proofErr w:type="spellStart"/>
      <w:r>
        <w:rPr>
          <w:rFonts w:ascii="Times New Roman" w:hAnsi="Times New Roman"/>
          <w:iCs/>
          <w:sz w:val="24"/>
        </w:rPr>
        <w:t>q</w:t>
      </w:r>
      <w:r>
        <w:rPr>
          <w:rFonts w:ascii="Times New Roman" w:hAnsi="Times New Roman"/>
          <w:iCs/>
          <w:sz w:val="24"/>
          <w:vertAlign w:val="subscript"/>
        </w:rPr>
        <w:t>m</w:t>
      </w:r>
      <w:proofErr w:type="spellEnd"/>
      <w:r>
        <w:rPr>
          <w:rFonts w:ascii="Times New Roman" w:hAnsi="Times New Roman"/>
          <w:iCs/>
          <w:sz w:val="24"/>
        </w:rPr>
        <w:t>) and fitting coefficient (R</w:t>
      </w:r>
      <w:r>
        <w:rPr>
          <w:rFonts w:ascii="Times New Roman" w:hAnsi="Times New Roman"/>
          <w:iCs/>
          <w:sz w:val="24"/>
          <w:vertAlign w:val="superscript"/>
        </w:rPr>
        <w:t>2</w:t>
      </w:r>
      <w:r>
        <w:rPr>
          <w:rFonts w:ascii="Times New Roman" w:hAnsi="Times New Roman"/>
          <w:iCs/>
          <w:sz w:val="24"/>
        </w:rPr>
        <w:t xml:space="preserve">) for </w:t>
      </w:r>
      <w:r>
        <w:rPr>
          <w:rFonts w:ascii="Times New Roman" w:hAnsi="Times New Roman" w:cs="Times New Roman"/>
          <w:bCs/>
          <w:sz w:val="24"/>
        </w:rPr>
        <w:t>ClO</w:t>
      </w:r>
      <w:r>
        <w:rPr>
          <w:rFonts w:ascii="Times New Roman" w:hAnsi="Times New Roman" w:cs="Times New Roman"/>
          <w:bCs/>
          <w:sz w:val="24"/>
          <w:vertAlign w:val="subscript"/>
        </w:rPr>
        <w:t>4</w:t>
      </w:r>
      <w:r>
        <w:rPr>
          <w:rFonts w:ascii="Times New Roman" w:hAnsi="Times New Roman" w:cs="Times New Roman"/>
          <w:sz w:val="24"/>
          <w:szCs w:val="24"/>
          <w:vertAlign w:val="superscript"/>
        </w:rPr>
        <w:t>−</w:t>
      </w:r>
      <w:r>
        <w:rPr>
          <w:rFonts w:ascii="Times New Roman" w:hAnsi="Times New Roman"/>
          <w:iCs/>
          <w:sz w:val="24"/>
        </w:rPr>
        <w:t xml:space="preserve"> adsorption on four materials.</w:t>
      </w:r>
    </w:p>
    <w:tbl>
      <w:tblPr>
        <w:tblStyle w:val="a7"/>
        <w:tblW w:w="8359" w:type="dxa"/>
        <w:tblLook w:val="04A0" w:firstRow="1" w:lastRow="0" w:firstColumn="1" w:lastColumn="0" w:noHBand="0" w:noVBand="1"/>
      </w:tblPr>
      <w:tblGrid>
        <w:gridCol w:w="2263"/>
        <w:gridCol w:w="1560"/>
        <w:gridCol w:w="1559"/>
        <w:gridCol w:w="1276"/>
        <w:gridCol w:w="1701"/>
      </w:tblGrid>
      <w:tr w:rsidR="00111265" w14:paraId="251D6BEB" w14:textId="77777777">
        <w:trPr>
          <w:trHeight w:val="416"/>
        </w:trPr>
        <w:tc>
          <w:tcPr>
            <w:tcW w:w="2263" w:type="dxa"/>
          </w:tcPr>
          <w:p w14:paraId="4C2F5F6A" w14:textId="77777777" w:rsidR="00111265" w:rsidRDefault="00000000">
            <w:pPr>
              <w:spacing w:line="480" w:lineRule="auto"/>
              <w:jc w:val="center"/>
              <w:rPr>
                <w:rFonts w:ascii="Times New Roman" w:hAnsi="Times New Roman" w:cs="Times New Roman"/>
                <w:sz w:val="24"/>
                <w:szCs w:val="24"/>
              </w:rPr>
            </w:pPr>
            <w:bookmarkStart w:id="6" w:name="_Hlk169428448"/>
            <w:r>
              <w:rPr>
                <w:rFonts w:ascii="Times New Roman" w:hAnsi="Times New Roman" w:cs="Times New Roman"/>
                <w:sz w:val="24"/>
                <w:szCs w:val="24"/>
              </w:rPr>
              <w:t>Langmuir</w:t>
            </w:r>
          </w:p>
        </w:tc>
        <w:tc>
          <w:tcPr>
            <w:tcW w:w="1560" w:type="dxa"/>
          </w:tcPr>
          <w:p w14:paraId="506C4351"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CTAB-MMT</w:t>
            </w:r>
          </w:p>
        </w:tc>
        <w:tc>
          <w:tcPr>
            <w:tcW w:w="1559" w:type="dxa"/>
          </w:tcPr>
          <w:p w14:paraId="645F6426"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CPC-MMT</w:t>
            </w:r>
          </w:p>
        </w:tc>
        <w:tc>
          <w:tcPr>
            <w:tcW w:w="1276" w:type="dxa"/>
          </w:tcPr>
          <w:p w14:paraId="3A91EAF5"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PAC</w:t>
            </w:r>
          </w:p>
        </w:tc>
        <w:tc>
          <w:tcPr>
            <w:tcW w:w="1701" w:type="dxa"/>
          </w:tcPr>
          <w:p w14:paraId="0AEF9B17"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Kaolin</w:t>
            </w:r>
          </w:p>
        </w:tc>
      </w:tr>
      <w:tr w:rsidR="00111265" w14:paraId="793CCF11" w14:textId="77777777">
        <w:tc>
          <w:tcPr>
            <w:tcW w:w="2263" w:type="dxa"/>
          </w:tcPr>
          <w:p w14:paraId="74C1D070" w14:textId="77777777" w:rsidR="00111265" w:rsidRDefault="00000000">
            <w:pPr>
              <w:spacing w:line="480" w:lineRule="auto"/>
              <w:jc w:val="center"/>
              <w:rPr>
                <w:rFonts w:ascii="Times New Roman" w:hAnsi="Times New Roman" w:cs="Times New Roman"/>
                <w:sz w:val="24"/>
                <w:szCs w:val="24"/>
              </w:rPr>
            </w:pPr>
            <w:proofErr w:type="spellStart"/>
            <w:r>
              <w:rPr>
                <w:rFonts w:ascii="Times New Roman" w:hAnsi="Times New Roman" w:cs="Times New Roman" w:hint="eastAsia"/>
                <w:sz w:val="24"/>
                <w:szCs w:val="24"/>
              </w:rPr>
              <w:t>q</w:t>
            </w:r>
            <w:r>
              <w:rPr>
                <w:rFonts w:ascii="Times New Roman" w:hAnsi="Times New Roman" w:cs="Times New Roman"/>
                <w:sz w:val="24"/>
                <w:szCs w:val="24"/>
                <w:vertAlign w:val="subscript"/>
              </w:rPr>
              <w:t>m</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(mg g</w:t>
            </w:r>
            <w:r>
              <w:rPr>
                <w:rFonts w:ascii="Times New Roman" w:hAnsi="Times New Roman" w:cs="Times New Roman"/>
                <w:sz w:val="24"/>
                <w:szCs w:val="24"/>
                <w:vertAlign w:val="superscript"/>
              </w:rPr>
              <w:t>−1</w:t>
            </w:r>
            <w:r>
              <w:rPr>
                <w:rFonts w:ascii="Times New Roman" w:hAnsi="Times New Roman" w:cs="Times New Roman"/>
                <w:sz w:val="24"/>
                <w:szCs w:val="24"/>
              </w:rPr>
              <w:t>)</w:t>
            </w:r>
          </w:p>
        </w:tc>
        <w:tc>
          <w:tcPr>
            <w:tcW w:w="1560" w:type="dxa"/>
          </w:tcPr>
          <w:p w14:paraId="4A66501F"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48</w:t>
            </w:r>
            <w:r>
              <w:rPr>
                <w:rFonts w:ascii="Times New Roman" w:hAnsi="Times New Roman" w:cs="Times New Roman" w:hint="eastAsia"/>
                <w:sz w:val="24"/>
                <w:szCs w:val="24"/>
              </w:rPr>
              <w:t>.32</w:t>
            </w:r>
          </w:p>
        </w:tc>
        <w:tc>
          <w:tcPr>
            <w:tcW w:w="1559" w:type="dxa"/>
          </w:tcPr>
          <w:p w14:paraId="521CA3C8"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9</w:t>
            </w:r>
            <w:r>
              <w:rPr>
                <w:rFonts w:ascii="Times New Roman" w:hAnsi="Times New Roman" w:cs="Times New Roman" w:hint="eastAsia"/>
                <w:sz w:val="24"/>
                <w:szCs w:val="24"/>
              </w:rPr>
              <w:t>.54</w:t>
            </w:r>
          </w:p>
        </w:tc>
        <w:tc>
          <w:tcPr>
            <w:tcW w:w="1276" w:type="dxa"/>
          </w:tcPr>
          <w:p w14:paraId="2FC4066D"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3</w:t>
            </w:r>
            <w:r>
              <w:rPr>
                <w:rFonts w:ascii="Times New Roman" w:hAnsi="Times New Roman" w:cs="Times New Roman" w:hint="eastAsia"/>
                <w:sz w:val="24"/>
                <w:szCs w:val="24"/>
              </w:rPr>
              <w:t>.25</w:t>
            </w:r>
          </w:p>
        </w:tc>
        <w:tc>
          <w:tcPr>
            <w:tcW w:w="1701" w:type="dxa"/>
          </w:tcPr>
          <w:p w14:paraId="0E37441D"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7</w:t>
            </w:r>
            <w:r>
              <w:rPr>
                <w:rFonts w:ascii="Times New Roman" w:hAnsi="Times New Roman" w:cs="Times New Roman" w:hint="eastAsia"/>
                <w:sz w:val="24"/>
                <w:szCs w:val="24"/>
              </w:rPr>
              <w:t>.41</w:t>
            </w:r>
          </w:p>
        </w:tc>
      </w:tr>
      <w:tr w:rsidR="00111265" w14:paraId="2E3EEEF4" w14:textId="77777777">
        <w:tc>
          <w:tcPr>
            <w:tcW w:w="2263" w:type="dxa"/>
          </w:tcPr>
          <w:p w14:paraId="2CE0CAC5" w14:textId="77777777" w:rsidR="00111265" w:rsidRDefault="00000000">
            <w:pPr>
              <w:spacing w:line="480" w:lineRule="auto"/>
              <w:jc w:val="center"/>
              <w:rPr>
                <w:rFonts w:ascii="Times New Roman" w:hAnsi="Times New Roman" w:cs="Times New Roman"/>
                <w:sz w:val="24"/>
                <w:szCs w:val="24"/>
                <w:vertAlign w:val="superscript"/>
              </w:rPr>
            </w:pPr>
            <w:r>
              <w:rPr>
                <w:rFonts w:ascii="Times New Roman" w:hAnsi="Times New Roman" w:cs="Times New Roman"/>
                <w:sz w:val="24"/>
                <w:szCs w:val="24"/>
              </w:rPr>
              <w:t>R</w:t>
            </w:r>
            <w:r>
              <w:rPr>
                <w:rFonts w:ascii="Times New Roman" w:hAnsi="Times New Roman" w:cs="Times New Roman"/>
                <w:sz w:val="24"/>
                <w:szCs w:val="24"/>
                <w:vertAlign w:val="superscript"/>
              </w:rPr>
              <w:t>2</w:t>
            </w:r>
          </w:p>
        </w:tc>
        <w:tc>
          <w:tcPr>
            <w:tcW w:w="1560" w:type="dxa"/>
          </w:tcPr>
          <w:p w14:paraId="46CFAA54"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0.99</w:t>
            </w:r>
          </w:p>
        </w:tc>
        <w:tc>
          <w:tcPr>
            <w:tcW w:w="1559" w:type="dxa"/>
          </w:tcPr>
          <w:p w14:paraId="27C62C4A"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0.99</w:t>
            </w:r>
          </w:p>
        </w:tc>
        <w:tc>
          <w:tcPr>
            <w:tcW w:w="1276" w:type="dxa"/>
          </w:tcPr>
          <w:p w14:paraId="789DC934"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0.99</w:t>
            </w:r>
          </w:p>
        </w:tc>
        <w:tc>
          <w:tcPr>
            <w:tcW w:w="1701" w:type="dxa"/>
          </w:tcPr>
          <w:p w14:paraId="583CC42E" w14:textId="77777777" w:rsidR="00111265" w:rsidRDefault="00000000">
            <w:pPr>
              <w:spacing w:line="480" w:lineRule="auto"/>
              <w:jc w:val="center"/>
              <w:rPr>
                <w:rFonts w:ascii="Times New Roman" w:hAnsi="Times New Roman" w:cs="Times New Roman"/>
                <w:sz w:val="24"/>
                <w:szCs w:val="24"/>
              </w:rPr>
            </w:pPr>
            <w:r>
              <w:rPr>
                <w:rFonts w:ascii="Times New Roman" w:hAnsi="Times New Roman" w:cs="Times New Roman"/>
                <w:sz w:val="24"/>
                <w:szCs w:val="24"/>
              </w:rPr>
              <w:t>0.99</w:t>
            </w:r>
          </w:p>
        </w:tc>
      </w:tr>
      <w:tr w:rsidR="00111265" w14:paraId="2068409A" w14:textId="77777777">
        <w:trPr>
          <w:trHeight w:val="416"/>
        </w:trPr>
        <w:tc>
          <w:tcPr>
            <w:tcW w:w="2263" w:type="dxa"/>
            <w:tcBorders>
              <w:top w:val="single" w:sz="4" w:space="0" w:color="auto"/>
              <w:left w:val="single" w:sz="4" w:space="0" w:color="auto"/>
              <w:bottom w:val="single" w:sz="4" w:space="0" w:color="auto"/>
              <w:right w:val="single" w:sz="4" w:space="0" w:color="auto"/>
            </w:tcBorders>
          </w:tcPr>
          <w:p w14:paraId="3F61E31A" w14:textId="77777777" w:rsidR="00111265" w:rsidRDefault="00000000">
            <w:pPr>
              <w:spacing w:line="480" w:lineRule="auto"/>
              <w:jc w:val="center"/>
              <w:rPr>
                <w:rFonts w:ascii="Times New Roman" w:hAnsi="Times New Roman"/>
                <w:sz w:val="24"/>
                <w:szCs w:val="24"/>
              </w:rPr>
            </w:pPr>
            <w:proofErr w:type="spellStart"/>
            <w:r>
              <w:rPr>
                <w:rFonts w:ascii="Times New Roman" w:hAnsi="Times New Roman" w:hint="eastAsia"/>
                <w:sz w:val="24"/>
                <w:szCs w:val="24"/>
              </w:rPr>
              <w:t>Freundich</w:t>
            </w:r>
            <w:proofErr w:type="spellEnd"/>
          </w:p>
        </w:tc>
        <w:tc>
          <w:tcPr>
            <w:tcW w:w="1560" w:type="dxa"/>
            <w:tcBorders>
              <w:top w:val="single" w:sz="4" w:space="0" w:color="auto"/>
              <w:left w:val="single" w:sz="4" w:space="0" w:color="auto"/>
              <w:bottom w:val="single" w:sz="4" w:space="0" w:color="auto"/>
              <w:right w:val="single" w:sz="4" w:space="0" w:color="auto"/>
            </w:tcBorders>
          </w:tcPr>
          <w:p w14:paraId="29523BD5"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CTAB-MMT</w:t>
            </w:r>
          </w:p>
        </w:tc>
        <w:tc>
          <w:tcPr>
            <w:tcW w:w="1559" w:type="dxa"/>
            <w:tcBorders>
              <w:top w:val="single" w:sz="4" w:space="0" w:color="auto"/>
              <w:left w:val="single" w:sz="4" w:space="0" w:color="auto"/>
              <w:bottom w:val="single" w:sz="4" w:space="0" w:color="auto"/>
              <w:right w:val="single" w:sz="4" w:space="0" w:color="auto"/>
            </w:tcBorders>
          </w:tcPr>
          <w:p w14:paraId="52CE169F"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CPC-MMT</w:t>
            </w:r>
          </w:p>
        </w:tc>
        <w:tc>
          <w:tcPr>
            <w:tcW w:w="1276" w:type="dxa"/>
            <w:tcBorders>
              <w:top w:val="single" w:sz="4" w:space="0" w:color="auto"/>
              <w:left w:val="single" w:sz="4" w:space="0" w:color="auto"/>
              <w:bottom w:val="single" w:sz="4" w:space="0" w:color="auto"/>
              <w:right w:val="single" w:sz="4" w:space="0" w:color="auto"/>
            </w:tcBorders>
          </w:tcPr>
          <w:p w14:paraId="4746AD19"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PAC</w:t>
            </w:r>
          </w:p>
        </w:tc>
        <w:tc>
          <w:tcPr>
            <w:tcW w:w="1701" w:type="dxa"/>
            <w:tcBorders>
              <w:top w:val="single" w:sz="4" w:space="0" w:color="auto"/>
              <w:left w:val="single" w:sz="4" w:space="0" w:color="auto"/>
              <w:bottom w:val="single" w:sz="4" w:space="0" w:color="auto"/>
              <w:right w:val="single" w:sz="4" w:space="0" w:color="auto"/>
            </w:tcBorders>
          </w:tcPr>
          <w:p w14:paraId="7D6B8207"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Kaolin</w:t>
            </w:r>
          </w:p>
        </w:tc>
      </w:tr>
      <w:tr w:rsidR="00111265" w14:paraId="4EBF4107" w14:textId="77777777">
        <w:tc>
          <w:tcPr>
            <w:tcW w:w="2263" w:type="dxa"/>
            <w:tcBorders>
              <w:top w:val="single" w:sz="4" w:space="0" w:color="auto"/>
              <w:left w:val="single" w:sz="4" w:space="0" w:color="auto"/>
              <w:bottom w:val="single" w:sz="4" w:space="0" w:color="auto"/>
              <w:right w:val="single" w:sz="4" w:space="0" w:color="auto"/>
            </w:tcBorders>
          </w:tcPr>
          <w:p w14:paraId="5A8329BD" w14:textId="77777777" w:rsidR="00111265" w:rsidRDefault="00000000">
            <w:pPr>
              <w:spacing w:line="480" w:lineRule="auto"/>
              <w:jc w:val="center"/>
              <w:rPr>
                <w:rFonts w:ascii="Times New Roman" w:hAnsi="Times New Roman"/>
                <w:sz w:val="24"/>
                <w:szCs w:val="24"/>
                <w:vertAlign w:val="superscript"/>
              </w:rPr>
            </w:pPr>
            <w:r>
              <w:rPr>
                <w:rFonts w:ascii="Times New Roman" w:hAnsi="Times New Roman"/>
                <w:sz w:val="24"/>
                <w:szCs w:val="24"/>
              </w:rPr>
              <w:t>R</w:t>
            </w:r>
            <w:r>
              <w:rPr>
                <w:rFonts w:ascii="Times New Roman" w:hAnsi="Times New Roman"/>
                <w:sz w:val="24"/>
                <w:szCs w:val="24"/>
                <w:vertAlign w:val="superscript"/>
              </w:rPr>
              <w:t>2</w:t>
            </w:r>
          </w:p>
        </w:tc>
        <w:tc>
          <w:tcPr>
            <w:tcW w:w="1560" w:type="dxa"/>
            <w:tcBorders>
              <w:top w:val="single" w:sz="4" w:space="0" w:color="auto"/>
              <w:left w:val="single" w:sz="4" w:space="0" w:color="auto"/>
              <w:bottom w:val="single" w:sz="4" w:space="0" w:color="auto"/>
              <w:right w:val="single" w:sz="4" w:space="0" w:color="auto"/>
            </w:tcBorders>
          </w:tcPr>
          <w:p w14:paraId="74E510AC"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w:t>
            </w:r>
            <w:r>
              <w:rPr>
                <w:rFonts w:ascii="Times New Roman" w:hAnsi="Times New Roman" w:hint="eastAsia"/>
                <w:sz w:val="24"/>
                <w:szCs w:val="24"/>
              </w:rPr>
              <w:t>1</w:t>
            </w:r>
          </w:p>
        </w:tc>
        <w:tc>
          <w:tcPr>
            <w:tcW w:w="1559" w:type="dxa"/>
            <w:tcBorders>
              <w:top w:val="single" w:sz="4" w:space="0" w:color="auto"/>
              <w:left w:val="single" w:sz="4" w:space="0" w:color="auto"/>
              <w:bottom w:val="single" w:sz="4" w:space="0" w:color="auto"/>
              <w:right w:val="single" w:sz="4" w:space="0" w:color="auto"/>
            </w:tcBorders>
          </w:tcPr>
          <w:p w14:paraId="12BD8E99"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w:t>
            </w:r>
            <w:r>
              <w:rPr>
                <w:rFonts w:ascii="Times New Roman" w:hAnsi="Times New Roman" w:hint="eastAsia"/>
                <w:sz w:val="24"/>
                <w:szCs w:val="24"/>
              </w:rPr>
              <w:t>1</w:t>
            </w:r>
          </w:p>
        </w:tc>
        <w:tc>
          <w:tcPr>
            <w:tcW w:w="1276" w:type="dxa"/>
            <w:tcBorders>
              <w:top w:val="single" w:sz="4" w:space="0" w:color="auto"/>
              <w:left w:val="single" w:sz="4" w:space="0" w:color="auto"/>
              <w:bottom w:val="single" w:sz="4" w:space="0" w:color="auto"/>
              <w:right w:val="single" w:sz="4" w:space="0" w:color="auto"/>
            </w:tcBorders>
          </w:tcPr>
          <w:p w14:paraId="0D143DA8"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w:t>
            </w:r>
            <w:r>
              <w:rPr>
                <w:rFonts w:ascii="Times New Roman" w:hAnsi="Times New Roman" w:hint="eastAsia"/>
                <w:sz w:val="24"/>
                <w:szCs w:val="24"/>
              </w:rPr>
              <w:t>89</w:t>
            </w:r>
          </w:p>
        </w:tc>
        <w:tc>
          <w:tcPr>
            <w:tcW w:w="1701" w:type="dxa"/>
            <w:tcBorders>
              <w:top w:val="single" w:sz="4" w:space="0" w:color="auto"/>
              <w:left w:val="single" w:sz="4" w:space="0" w:color="auto"/>
              <w:bottom w:val="single" w:sz="4" w:space="0" w:color="auto"/>
              <w:right w:val="single" w:sz="4" w:space="0" w:color="auto"/>
            </w:tcBorders>
          </w:tcPr>
          <w:p w14:paraId="5C8E00BD" w14:textId="77777777" w:rsidR="00111265" w:rsidRDefault="00000000">
            <w:pPr>
              <w:spacing w:line="480" w:lineRule="auto"/>
              <w:jc w:val="center"/>
              <w:rPr>
                <w:rFonts w:ascii="Times New Roman" w:hAnsi="Times New Roman"/>
                <w:sz w:val="24"/>
                <w:szCs w:val="24"/>
              </w:rPr>
            </w:pPr>
            <w:r>
              <w:rPr>
                <w:rFonts w:ascii="Times New Roman" w:hAnsi="Times New Roman"/>
                <w:sz w:val="24"/>
                <w:szCs w:val="24"/>
              </w:rPr>
              <w:t>0.9</w:t>
            </w:r>
            <w:r>
              <w:rPr>
                <w:rFonts w:ascii="Times New Roman" w:hAnsi="Times New Roman" w:hint="eastAsia"/>
                <w:sz w:val="24"/>
                <w:szCs w:val="24"/>
              </w:rPr>
              <w:t>1</w:t>
            </w:r>
          </w:p>
        </w:tc>
      </w:tr>
      <w:bookmarkEnd w:id="6"/>
    </w:tbl>
    <w:p w14:paraId="1A2E98BD" w14:textId="77777777" w:rsidR="00111265" w:rsidRDefault="00111265">
      <w:pPr>
        <w:widowControl/>
        <w:spacing w:line="480" w:lineRule="auto"/>
        <w:rPr>
          <w:rFonts w:ascii="Times New Roman" w:hAnsi="Times New Roman"/>
          <w:b/>
          <w:bCs/>
          <w:sz w:val="24"/>
          <w:szCs w:val="24"/>
        </w:rPr>
      </w:pPr>
    </w:p>
    <w:p w14:paraId="08A6536B" w14:textId="77777777" w:rsidR="00111265" w:rsidRDefault="00111265">
      <w:pPr>
        <w:widowControl/>
        <w:spacing w:line="480" w:lineRule="auto"/>
        <w:rPr>
          <w:rFonts w:ascii="Times New Roman" w:hAnsi="Times New Roman"/>
          <w:b/>
          <w:bCs/>
          <w:sz w:val="24"/>
          <w:szCs w:val="24"/>
        </w:rPr>
        <w:sectPr w:rsidR="00111265">
          <w:pgSz w:w="11906" w:h="16838"/>
          <w:pgMar w:top="1440" w:right="1800" w:bottom="1440" w:left="1800" w:header="851" w:footer="992" w:gutter="0"/>
          <w:cols w:space="425"/>
          <w:docGrid w:type="lines" w:linePitch="312"/>
        </w:sectPr>
      </w:pPr>
    </w:p>
    <w:p w14:paraId="6FDAF1A8" w14:textId="77777777" w:rsidR="00111265" w:rsidRDefault="00111265">
      <w:pPr>
        <w:widowControl/>
        <w:spacing w:line="480" w:lineRule="auto"/>
        <w:rPr>
          <w:rFonts w:ascii="Times New Roman" w:hAnsi="Times New Roman"/>
          <w:b/>
          <w:bCs/>
          <w:iCs/>
          <w:sz w:val="24"/>
          <w:szCs w:val="24"/>
          <w:highlight w:val="yellow"/>
        </w:rPr>
      </w:pPr>
      <w:bookmarkStart w:id="7" w:name="_Hlk173847840"/>
    </w:p>
    <w:p w14:paraId="3D75A64E" w14:textId="77777777" w:rsidR="00111265" w:rsidRDefault="00000000">
      <w:pPr>
        <w:widowControl/>
        <w:spacing w:line="480" w:lineRule="auto"/>
        <w:rPr>
          <w:rFonts w:ascii="Times New Roman" w:hAnsi="Times New Roman"/>
          <w:iCs/>
          <w:sz w:val="24"/>
        </w:rPr>
      </w:pPr>
      <w:bookmarkStart w:id="8" w:name="_Hlk173851114"/>
      <w:r>
        <w:rPr>
          <w:rFonts w:ascii="Times New Roman" w:hAnsi="Times New Roman"/>
          <w:b/>
          <w:bCs/>
          <w:iCs/>
          <w:sz w:val="24"/>
          <w:szCs w:val="24"/>
        </w:rPr>
        <w:t xml:space="preserve">Table S3. </w:t>
      </w:r>
      <w:r>
        <w:rPr>
          <w:rFonts w:ascii="Times New Roman" w:hAnsi="Times New Roman"/>
          <w:iCs/>
          <w:sz w:val="24"/>
        </w:rPr>
        <w:t>Comparison of adsorption capacity and rate of materials</w:t>
      </w:r>
      <w:r>
        <w:rPr>
          <w:rFonts w:ascii="Times New Roman" w:hAnsi="Times New Roman" w:hint="eastAsia"/>
          <w:iCs/>
          <w:sz w:val="24"/>
        </w:rPr>
        <w:t>.</w:t>
      </w:r>
    </w:p>
    <w:tbl>
      <w:tblPr>
        <w:tblStyle w:val="11"/>
        <w:tblW w:w="5000" w:type="pct"/>
        <w:tblLook w:val="04A0" w:firstRow="1" w:lastRow="0" w:firstColumn="1" w:lastColumn="0" w:noHBand="0" w:noVBand="1"/>
      </w:tblPr>
      <w:tblGrid>
        <w:gridCol w:w="2715"/>
        <w:gridCol w:w="731"/>
        <w:gridCol w:w="1439"/>
        <w:gridCol w:w="731"/>
        <w:gridCol w:w="1300"/>
        <w:gridCol w:w="1155"/>
        <w:gridCol w:w="731"/>
        <w:gridCol w:w="714"/>
        <w:gridCol w:w="1255"/>
        <w:gridCol w:w="731"/>
        <w:gridCol w:w="1018"/>
        <w:gridCol w:w="1428"/>
      </w:tblGrid>
      <w:tr w:rsidR="00111265" w14:paraId="2E883433" w14:textId="77777777" w:rsidTr="001112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 w:type="pct"/>
          </w:tcPr>
          <w:p w14:paraId="6579C3F1" w14:textId="77777777" w:rsidR="00111265" w:rsidRDefault="00000000">
            <w:pPr>
              <w:widowControl/>
              <w:snapToGrid w:val="0"/>
              <w:spacing w:after="120" w:line="480" w:lineRule="auto"/>
              <w:jc w:val="center"/>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A</w:t>
            </w:r>
            <w:r>
              <w:rPr>
                <w:rFonts w:ascii="Times New Roman" w:hAnsi="Times New Roman" w:cs="Times New Roman"/>
                <w:color w:val="000000"/>
                <w:sz w:val="18"/>
                <w:szCs w:val="18"/>
                <w:shd w:val="clear" w:color="auto" w:fill="FFFFFF"/>
              </w:rPr>
              <w:t>bsorbent</w:t>
            </w:r>
          </w:p>
        </w:tc>
        <w:tc>
          <w:tcPr>
            <w:tcW w:w="262" w:type="pct"/>
          </w:tcPr>
          <w:p w14:paraId="0B5EEAF1"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CSB</w:t>
            </w:r>
          </w:p>
          <w:p w14:paraId="5367D2BA"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&lt;EndNote&gt;&lt;Cite&gt;&lt;Author&gt;Yu&lt;/Author&gt;&lt;Year&gt;2021&lt;/Year&gt;&lt;RecNum&gt;73&lt;/RecNum&gt;&lt;DisplayText&gt;[4]&lt;/DisplayText&gt;&lt;record&gt;&lt;rec-number&gt;73&lt;/rec-number&gt;&lt;foreign-keys&gt;&lt;key app="EN" db-id="5s0ww0fvl5t5rweattnvfer0x0xre9zxse2p" timestamp="1722913638"&gt;73&lt;/key&gt;&lt;/foreign-keys&gt;&lt;ref-type name="Journal Article"&gt;17&lt;/ref-type&gt;&lt;contributors&gt;&lt;authors&gt;&lt;author&gt;Yu, Xiaolong&lt;/author&gt;&lt;author&gt;Zhang, Juan&lt;/author&gt;&lt;author&gt;Zheng, Yan&lt;/author&gt;&lt;/authors&gt;&lt;/contributors&gt;&lt;titles&gt;&lt;title&gt;Perchlorate adsorption onto epichlorohydrin crosslinked chitosan hydrogel beads&lt;/title&gt;&lt;secondary-title&gt;Science of the Total Environment&lt;/secondary-title&gt;&lt;/titles&gt;&lt;periodical&gt;&lt;full-title&gt;Science of the Total Environment&lt;/full-title&gt;&lt;/periodical&gt;&lt;pages&gt;143236&lt;/pages&gt;&lt;volume&gt;761&lt;/volume&gt;&lt;dates&gt;&lt;year&gt;2021&lt;/year&gt;&lt;/dates&gt;&lt;isbn&gt;0048-9697&lt;/isbn&gt;&lt;urls&gt;&lt;/urls&gt;&lt;/record&gt;&lt;/Cite&gt;&lt;/EndNote&gt;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[4]</w:t>
            </w:r>
            <w:r>
              <w:rPr>
                <w:rFonts w:ascii="Times New Roman" w:hAnsi="Times New Roman" w:cs="Times New Roman"/>
                <w:b w:val="0"/>
                <w:bCs w:val="0"/>
                <w:color w:val="000000"/>
                <w:sz w:val="18"/>
                <w:szCs w:val="18"/>
                <w:shd w:val="clear" w:color="auto" w:fill="FFFFFF"/>
              </w:rPr>
              <w:fldChar w:fldCharType="end"/>
            </w:r>
          </w:p>
        </w:tc>
        <w:tc>
          <w:tcPr>
            <w:tcW w:w="516" w:type="pct"/>
          </w:tcPr>
          <w:p w14:paraId="510C05BB"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CTAB-MMT</w:t>
            </w:r>
          </w:p>
          <w:p w14:paraId="5544C0CE" w14:textId="77777777" w:rsidR="00111265" w:rsidRDefault="00111265">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p>
        </w:tc>
        <w:tc>
          <w:tcPr>
            <w:tcW w:w="262" w:type="pct"/>
          </w:tcPr>
          <w:p w14:paraId="49A591ED"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C</w:t>
            </w:r>
            <w:r>
              <w:rPr>
                <w:rFonts w:ascii="Times New Roman" w:hAnsi="Times New Roman" w:cs="Times New Roman" w:hint="eastAsia"/>
                <w:color w:val="000000"/>
                <w:sz w:val="18"/>
                <w:szCs w:val="18"/>
                <w:shd w:val="clear" w:color="auto" w:fill="FFFFFF"/>
              </w:rPr>
              <w:t>LC</w:t>
            </w:r>
          </w:p>
          <w:p w14:paraId="6FDC0AEF"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&lt;EndNote&gt;&lt;Cite&gt;&lt;Author&gt;Xie&lt;/Author&gt;&lt;Year&gt;2010&lt;/Year&gt;&lt;RecNum&gt;69&lt;/RecNum&gt;&lt;DisplayText&gt;[5]&lt;/DisplayText&gt;&lt;record&gt;&lt;rec-number&gt;69&lt;/rec-number&gt;&lt;foreign-keys&gt;&lt;key app="EN" db-id="5s0ww0fvl5t5rweattnvfer0x0xre9zxse2p" timestamp="1722913574"&gt;69&lt;/key&gt;&lt;/foreign-keys&gt;&lt;ref-type name="Journal Article"&gt;17&lt;/ref-type&gt;&lt;contributors&gt;&lt;authors&gt;&lt;author&gt;Xie, Yanhua&lt;/author&gt;&lt;author&gt;Li, Shiyu&lt;/author&gt;&lt;author&gt;Wang, Fei&lt;/author&gt;&lt;author&gt;Liu, Guangli&lt;/author&gt;&lt;/authors&gt;&lt;/contributors&gt;&lt;titles&gt;&lt;title&gt;Removal of perchlorate from aqueous solution using protonated cross-linked chitosan&lt;/title&gt;&lt;secondary-title&gt;Chemical Engineering Journal&lt;/secondary-title&gt;&lt;/titles&gt;&lt;periodical&gt;&lt;full-title&gt;Chemical Engineering Journal&lt;/full-title&gt;&lt;/periodical&gt;&lt;pages&gt;56-63&lt;/pages&gt;&lt;volume&gt;156&lt;/volume&gt;&lt;number&gt;1&lt;/number&gt;&lt;dates&gt;&lt;year&gt;2010&lt;/year&gt;&lt;/dates&gt;&lt;isbn&gt;1385-8947&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[5]</w:t>
            </w:r>
            <w:r>
              <w:rPr>
                <w:rFonts w:ascii="Times New Roman" w:hAnsi="Times New Roman" w:cs="Times New Roman"/>
                <w:b w:val="0"/>
                <w:bCs w:val="0"/>
                <w:color w:val="000000"/>
                <w:sz w:val="18"/>
                <w:szCs w:val="18"/>
                <w:shd w:val="clear" w:color="auto" w:fill="FFFFFF"/>
              </w:rPr>
              <w:fldChar w:fldCharType="end"/>
            </w:r>
          </w:p>
        </w:tc>
        <w:tc>
          <w:tcPr>
            <w:tcW w:w="466" w:type="pct"/>
          </w:tcPr>
          <w:p w14:paraId="679C6ADB"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CPC-MMT</w:t>
            </w:r>
          </w:p>
        </w:tc>
        <w:tc>
          <w:tcPr>
            <w:tcW w:w="414" w:type="pct"/>
          </w:tcPr>
          <w:p w14:paraId="76BC5375"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hint="eastAsia"/>
                <w:color w:val="1F1F1F"/>
                <w:sz w:val="18"/>
                <w:szCs w:val="18"/>
              </w:rPr>
              <w:t xml:space="preserve">Fe-CC </w:t>
            </w:r>
            <w:r>
              <w:rPr>
                <w:rFonts w:ascii="Times New Roman" w:hAnsi="Times New Roman"/>
                <w:b w:val="0"/>
                <w:bCs w:val="0"/>
                <w:color w:val="1F1F1F"/>
                <w:sz w:val="18"/>
                <w:szCs w:val="18"/>
              </w:rPr>
              <w:fldChar w:fldCharType="begin"/>
            </w:r>
            <w:r>
              <w:rPr>
                <w:rFonts w:ascii="Times New Roman" w:hAnsi="Times New Roman"/>
                <w:color w:val="1F1F1F"/>
                <w:sz w:val="18"/>
                <w:szCs w:val="18"/>
              </w:rPr>
              <w:instrText xml:space="preserve"> ADDIN EN.CITE &lt;EndNote&gt;&lt;Cite&gt;&lt;Author&gt;Lv&lt;/Author&gt;&lt;Year&gt;2014&lt;/Year&gt;&lt;RecNum&gt;63&lt;/RecNum&gt;&lt;DisplayText&gt;[6]&lt;/DisplayText&gt;&lt;record&gt;&lt;rec-number&gt;63&lt;/rec-number&gt;&lt;foreign-keys&gt;&lt;key app="EN" db-id="5s0ww0fvl5t5rweattnvfer0x0xre9zxse2p" timestamp="1722913219"&gt;63&lt;/key&gt;&lt;/foreign-keys&gt;&lt;ref-type name="Journal Article"&gt;17&lt;/ref-type&gt;&lt;contributors&gt;&lt;authors&gt;&lt;author&gt;Lv, Long&lt;/author&gt;&lt;author&gt;Xie, Yanhua&lt;/author&gt;&lt;author&gt;Liu, Guoming&lt;/author&gt;&lt;author&gt;Liu, Guo&lt;/author&gt;&lt;author&gt;Yu, Jing&lt;/author&gt;&lt;/authors&gt;&lt;/contributors&gt;&lt;titles&gt;&lt;title&gt;Removal of perchlorate from aqueous solution by cross-linked Fe (III)-chitosan complex&lt;/title&gt;&lt;secondary-title&gt;Journal of Environmental Sciences&lt;/secondary-title&gt;&lt;/titles&gt;&lt;periodical&gt;&lt;full-title&gt;Journal of Environmental Sciences&lt;/full-title&gt;&lt;/periodical&gt;&lt;pages&gt;792-800&lt;/pages&gt;&lt;volume&gt;26&lt;/volume&gt;&lt;number&gt;4&lt;/number&gt;&lt;dates&gt;&lt;year&gt;2014&lt;/year&gt;&lt;/dates&gt;&lt;isbn&gt;1001-0742&lt;/isbn&gt;&lt;urls&gt;&lt;/urls&gt;&lt;/record&gt;&lt;/Cite&gt;&lt;/EndNote&gt;</w:instrText>
            </w:r>
            <w:r>
              <w:rPr>
                <w:rFonts w:ascii="Times New Roman" w:hAnsi="Times New Roman"/>
                <w:b w:val="0"/>
                <w:bCs w:val="0"/>
                <w:color w:val="1F1F1F"/>
                <w:sz w:val="18"/>
                <w:szCs w:val="18"/>
              </w:rPr>
              <w:fldChar w:fldCharType="separate"/>
            </w:r>
            <w:r>
              <w:rPr>
                <w:rFonts w:ascii="Times New Roman" w:hAnsi="Times New Roman"/>
                <w:color w:val="1F1F1F"/>
                <w:sz w:val="18"/>
                <w:szCs w:val="18"/>
              </w:rPr>
              <w:t>[6]</w:t>
            </w:r>
            <w:r>
              <w:rPr>
                <w:rFonts w:ascii="Times New Roman" w:hAnsi="Times New Roman"/>
                <w:b w:val="0"/>
                <w:bCs w:val="0"/>
                <w:color w:val="1F1F1F"/>
                <w:sz w:val="18"/>
                <w:szCs w:val="18"/>
              </w:rPr>
              <w:fldChar w:fldCharType="end"/>
            </w:r>
          </w:p>
        </w:tc>
        <w:tc>
          <w:tcPr>
            <w:tcW w:w="262" w:type="pct"/>
          </w:tcPr>
          <w:p w14:paraId="31DAB208"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F40</w:t>
            </w:r>
            <w:r>
              <w:rPr>
                <w:rFonts w:ascii="Times New Roman" w:hAnsi="Times New Roman" w:cs="Times New Roman" w:hint="eastAsia"/>
                <w:color w:val="000000"/>
                <w:sz w:val="18"/>
                <w:szCs w:val="18"/>
                <w:shd w:val="clear" w:color="auto" w:fill="FFFFFF"/>
              </w:rPr>
              <w:t>0</w:t>
            </w:r>
          </w:p>
          <w:p w14:paraId="2DECA091"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&lt;EndNote&gt;&lt;Cite&gt;&lt;Author&gt;Mahmudov&lt;/Author&gt;&lt;Year&gt;2010&lt;/Year&gt;&lt;RecNum&gt;77&lt;/RecNum&gt;&lt;DisplayText&gt;[7]&lt;/DisplayText&gt;&lt;record&gt;&lt;rec-number&gt;77&lt;/rec-number&gt;&lt;foreign-keys&gt;&lt;key app="EN" db-id="5s0ww0fvl5t5rweattnvfer0x0xre9zxse2p" timestamp="1722914843"&gt;77&lt;/key&gt;&lt;/foreign-keys&gt;&lt;ref-type name="Journal Article"&gt;17&lt;/ref-type&gt;&lt;contributors&gt;&lt;authors&gt;&lt;author&gt;Mahmudov, Rovshan&lt;/author&gt;&lt;author&gt;Huang, Chin Pao&lt;/author&gt;&lt;/authors&gt;&lt;/contributors&gt;&lt;titles&gt;&lt;title&gt;Perchlorate removal by activated carbon adsorption&lt;/title&gt;&lt;secondary-title&gt;Separation and Purification Technology&lt;/secondary-title&gt;&lt;/titles&gt;&lt;periodical&gt;&lt;full-title&gt;Separation and Purification Technology&lt;/full-title&gt;&lt;/periodical&gt;&lt;pages&gt;329-337&lt;/pages&gt;&lt;volume&gt;70&lt;/volume&gt;&lt;number&gt;3&lt;/number&gt;&lt;dates&gt;&lt;year&gt;2010&lt;/year&gt;&lt;/dates&gt;&lt;isbn&gt;1383-5866&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[7]</w:t>
            </w:r>
            <w:r>
              <w:rPr>
                <w:rFonts w:ascii="Times New Roman" w:hAnsi="Times New Roman" w:cs="Times New Roman"/>
                <w:b w:val="0"/>
                <w:bCs w:val="0"/>
                <w:color w:val="000000"/>
                <w:sz w:val="18"/>
                <w:szCs w:val="18"/>
                <w:shd w:val="clear" w:color="auto" w:fill="FFFFFF"/>
              </w:rPr>
              <w:fldChar w:fldCharType="end"/>
            </w:r>
          </w:p>
        </w:tc>
        <w:tc>
          <w:tcPr>
            <w:tcW w:w="256" w:type="pct"/>
          </w:tcPr>
          <w:p w14:paraId="69D8B556"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GFH</w:t>
            </w:r>
          </w:p>
          <w:p w14:paraId="39B19C34"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&lt;EndNote&gt;&lt;Cite&gt;&lt;Author&gt;Kumar&lt;/Author&gt;&lt;Year&gt;2010&lt;/Year&gt;&lt;RecNum&gt;75&lt;/RecNum&gt;&lt;DisplayText&gt;[8]&lt;/DisplayText&gt;&lt;record&gt;&lt;rec-number&gt;75&lt;/rec-number&gt;&lt;foreign-keys&gt;&lt;key app="EN" db-id="5s0ww0fvl5t5rweattnvfer0x0xre9zxse2p" timestamp="1722914192"&gt;75&lt;/key&gt;&lt;/foreign-keys&gt;&lt;ref-type name="Journal Article"&gt;17&lt;/ref-type&gt;&lt;contributors&gt;&lt;authors&gt;&lt;author&gt;Kumar, Eva&lt;/author&gt;&lt;author&gt;Bhatnagar, Amit&lt;/author&gt;&lt;author&gt;Choi, Jeong-A&lt;/author&gt;&lt;author&gt;Kumar, Umesh&lt;/author&gt;&lt;author&gt;Min, Booki&lt;/author&gt;&lt;author&gt;Kim, Yongje&lt;/author&gt;&lt;author&gt;Song, Hocheol&lt;/author&gt;&lt;author&gt;Paeng, Ki Jung&lt;/author&gt;&lt;author&gt;Jung, Yong Mee&lt;/author&gt;&lt;author&gt;Abou-Shanab, RAI&lt;/author&gt;&lt;/authors&gt;&lt;/contributors&gt;&lt;titles&gt;&lt;title&gt;Perchlorate removal from aqueous solutions by granular ferric hydroxide (GFH)&lt;/title&gt;&lt;secondary-title&gt;Chemical Engineering Journal&lt;/secondary-title&gt;&lt;/titles&gt;&lt;periodical&gt;&lt;full-title&gt;Chemical Engineering Journal&lt;/full-title&gt;&lt;/periodical&gt;&lt;pages&gt;84-90&lt;/pages&gt;&lt;volume&gt;159&lt;/volume&gt;&lt;number&gt;1-3&lt;/number&gt;&lt;dates&gt;&lt;year&gt;2010&lt;/year&gt;&lt;/dates&gt;&lt;isbn&gt;1385-8947&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[8]</w:t>
            </w:r>
            <w:r>
              <w:rPr>
                <w:rFonts w:ascii="Times New Roman" w:hAnsi="Times New Roman" w:cs="Times New Roman"/>
                <w:b w:val="0"/>
                <w:bCs w:val="0"/>
                <w:color w:val="000000"/>
                <w:sz w:val="18"/>
                <w:szCs w:val="18"/>
                <w:shd w:val="clear" w:color="auto" w:fill="FFFFFF"/>
              </w:rPr>
              <w:fldChar w:fldCharType="end"/>
            </w:r>
          </w:p>
        </w:tc>
        <w:tc>
          <w:tcPr>
            <w:tcW w:w="450" w:type="pct"/>
          </w:tcPr>
          <w:p w14:paraId="6DC2494F"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proofErr w:type="spellStart"/>
            <w:r>
              <w:rPr>
                <w:rFonts w:ascii="Times New Roman" w:hAnsi="Times New Roman" w:cs="Times New Roman" w:hint="eastAsia"/>
                <w:color w:val="000000"/>
                <w:sz w:val="18"/>
                <w:szCs w:val="18"/>
                <w:shd w:val="clear" w:color="auto" w:fill="FFFFFF"/>
              </w:rPr>
              <w:t>Nuchar</w:t>
            </w:r>
            <w:proofErr w:type="spellEnd"/>
            <w:r>
              <w:rPr>
                <w:rFonts w:ascii="Times New Roman" w:hAnsi="Times New Roman" w:cs="Times New Roman" w:hint="eastAsia"/>
                <w:color w:val="000000"/>
                <w:sz w:val="18"/>
                <w:szCs w:val="18"/>
                <w:shd w:val="clear" w:color="auto" w:fill="FFFFFF"/>
              </w:rPr>
              <w:t xml:space="preserve"> SN</w:t>
            </w:r>
          </w:p>
          <w:p w14:paraId="51835468"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&lt;EndNote&gt;&lt;Cite&gt;&lt;Author&gt;Mahmudov&lt;/Author&gt;&lt;Year&gt;2010&lt;/Year&gt;&lt;RecNum&gt;77&lt;/RecNum&gt;&lt;DisplayText&gt;[7]&lt;/DisplayText&gt;&lt;record&gt;&lt;rec-number&gt;77&lt;/rec-number&gt;&lt;foreign-keys&gt;&lt;key app="EN" db-id="5s0ww0fvl5t5rweattnvfer0x0xre9zxse2p" timestamp="1722914843"&gt;77&lt;/key&gt;&lt;/foreign-keys&gt;&lt;ref-type name="Journal Article"&gt;17&lt;/ref-type&gt;&lt;contributors&gt;&lt;authors&gt;&lt;author&gt;Mahmudov, Rovshan&lt;/author&gt;&lt;author&gt;Huang, Chin Pao&lt;/author&gt;&lt;/authors&gt;&lt;/contributors&gt;&lt;titles&gt;&lt;title&gt;Perchlorate removal by activated carbon adsorption&lt;/title&gt;&lt;secondary-title&gt;Separation and Purification Technology&lt;/secondary-title&gt;&lt;/titles&gt;&lt;periodical&gt;&lt;full-title&gt;Separation and Purification Technology&lt;/full-title&gt;&lt;/periodical&gt;&lt;pages&gt;329-337&lt;/pages&gt;&lt;volume&gt;70&lt;/volume&gt;&lt;number&gt;3&lt;/number&gt;&lt;dates&gt;&lt;year&gt;2010&lt;/year&gt;&lt;/dates&gt;&lt;isbn&gt;1383-5866&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[7]</w:t>
            </w:r>
            <w:r>
              <w:rPr>
                <w:rFonts w:ascii="Times New Roman" w:hAnsi="Times New Roman" w:cs="Times New Roman"/>
                <w:b w:val="0"/>
                <w:bCs w:val="0"/>
                <w:color w:val="000000"/>
                <w:sz w:val="18"/>
                <w:szCs w:val="18"/>
                <w:shd w:val="clear" w:color="auto" w:fill="FFFFFF"/>
              </w:rPr>
              <w:fldChar w:fldCharType="end"/>
            </w:r>
          </w:p>
        </w:tc>
        <w:tc>
          <w:tcPr>
            <w:tcW w:w="262" w:type="pct"/>
          </w:tcPr>
          <w:p w14:paraId="364A0B99"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SR-7</w:t>
            </w:r>
          </w:p>
          <w:p w14:paraId="51ABC30C"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&lt;EndNote&gt;&lt;Cite&gt;&lt;Author&gt;Yoon&lt;/Author&gt;&lt;Year&gt;2009&lt;/Year&gt;&lt;RecNum&gt;67&lt;/RecNum&gt;&lt;DisplayText&gt;[9]&lt;/DisplayText&gt;&lt;record&gt;&lt;rec-number&gt;67&lt;/rec-number&gt;&lt;foreign-keys&gt;&lt;key app="EN" db-id="5s0ww0fvl5t5rweattnvfer0x0xre9zxse2p" timestamp="1722913521"&gt;67&lt;/key&gt;&lt;/foreign-keys&gt;&lt;ref-type name="Journal Article"&gt;17&lt;/ref-type&gt;&lt;contributors&gt;&lt;authors&gt;&lt;author&gt;Yoon, In-Ho&lt;/author&gt;&lt;author&gt;Meng, Xiaoguang&lt;/author&gt;&lt;author&gt;Wang, Chao&lt;/author&gt;&lt;author&gt;Kim, Kyoung-Woong&lt;/author&gt;&lt;author&gt;Bang, Sunbaek&lt;/author&gt;&lt;author&gt;Choe, Eunyoung&lt;/author&gt;&lt;author&gt;Lippincott, Lee&lt;/author&gt;&lt;/authors&gt;&lt;/contributors&gt;&lt;titles&gt;&lt;title&gt;Perchlorate adsorption and desorption on activated carbon and anion exchange resin&lt;/title&gt;&lt;secondary-title&gt;Journal of hazardous materials&lt;/secondary-title&gt;&lt;/titles&gt;&lt;periodical&gt;&lt;full-title&gt;Journal of hazardous materials&lt;/full-title&gt;&lt;/periodical&gt;&lt;pages&gt;87-94&lt;/pages&gt;&lt;volume&gt;164&lt;/volume&gt;&lt;number&gt;1&lt;/number&gt;&lt;dates&gt;&lt;year&gt;2009&lt;/year&gt;&lt;/dates&gt;&lt;isbn&gt;0304-3894&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[9]</w:t>
            </w:r>
            <w:r>
              <w:rPr>
                <w:rFonts w:ascii="Times New Roman" w:hAnsi="Times New Roman" w:cs="Times New Roman"/>
                <w:b w:val="0"/>
                <w:bCs w:val="0"/>
                <w:color w:val="000000"/>
                <w:sz w:val="18"/>
                <w:szCs w:val="18"/>
                <w:shd w:val="clear" w:color="auto" w:fill="FFFFFF"/>
              </w:rPr>
              <w:fldChar w:fldCharType="end"/>
            </w:r>
          </w:p>
        </w:tc>
        <w:tc>
          <w:tcPr>
            <w:tcW w:w="365" w:type="pct"/>
          </w:tcPr>
          <w:p w14:paraId="456694BA"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1F1F1F"/>
                <w:sz w:val="18"/>
                <w:szCs w:val="18"/>
              </w:rPr>
            </w:pPr>
            <w:r>
              <w:rPr>
                <w:rFonts w:ascii="Times New Roman" w:hAnsi="Times New Roman"/>
                <w:color w:val="1F1F1F"/>
                <w:sz w:val="18"/>
                <w:szCs w:val="18"/>
              </w:rPr>
              <w:t>Fe-GAC</w:t>
            </w:r>
          </w:p>
          <w:p w14:paraId="0B647698"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&lt;EndNote&gt;&lt;Cite&gt;&lt;Author&gt;Xu&lt;/Author&gt;&lt;Year&gt;2019&lt;/Year&gt;&lt;RecNum&gt;71&lt;/RecNum&gt;&lt;DisplayText&gt;[10]&lt;/DisplayText&gt;&lt;record&gt;&lt;rec-number&gt;71&lt;/rec-number&gt;&lt;foreign-keys&gt;&lt;key app="EN" db-id="5s0ww0fvl5t5rweattnvfer0x0xre9zxse2p" timestamp="1722913607"&gt;71&lt;/key&gt;&lt;/foreign-keys&gt;&lt;ref-type name="Journal Article"&gt;17&lt;/ref-type&gt;&lt;contributors&gt;&lt;authors&gt;&lt;author&gt;Xu, Jianhong&lt;/author&gt;&lt;author&gt;Gao, Naiyun&lt;/author&gt;&lt;author&gt;Zhao, Dongye&lt;/author&gt;&lt;author&gt;An, Na&lt;/author&gt;&lt;author&gt;Li, Lei&lt;/author&gt;&lt;author&gt;Xiao, Jing&lt;/author&gt;&lt;/authors&gt;&lt;/contributors&gt;&lt;titles&gt;&lt;title&gt;Bromate reduction and reaction-enhanced perchlorate adsorption by FeCl3-impregnated granular activated carbon&lt;/title&gt;&lt;secondary-title&gt;Water research&lt;/secondary-title&gt;&lt;/titles&gt;&lt;periodical&gt;&lt;full-title&gt;Water research&lt;/full-title&gt;&lt;/periodical&gt;&lt;pages&gt;149-158&lt;/pages&gt;&lt;volume&gt;149&lt;/volume&gt;&lt;dates&gt;&lt;year&gt;2019&lt;/year&gt;&lt;/dates&gt;&lt;isbn&gt;0043-1354&lt;/isbn&gt;&lt;urls&gt;&lt;/urls&gt;&lt;/record&gt;&lt;/Cite&gt;&lt;/EndNote&gt;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[10]</w:t>
            </w:r>
            <w:r>
              <w:rPr>
                <w:rFonts w:ascii="Times New Roman" w:hAnsi="Times New Roman" w:cs="Times New Roman"/>
                <w:b w:val="0"/>
                <w:bCs w:val="0"/>
                <w:color w:val="000000"/>
                <w:sz w:val="18"/>
                <w:szCs w:val="18"/>
                <w:shd w:val="clear" w:color="auto" w:fill="FFFFFF"/>
              </w:rPr>
              <w:fldChar w:fldCharType="end"/>
            </w:r>
          </w:p>
        </w:tc>
        <w:tc>
          <w:tcPr>
            <w:tcW w:w="513" w:type="pct"/>
          </w:tcPr>
          <w:p w14:paraId="28266296"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SAI-800-60</w:t>
            </w:r>
            <w:r>
              <w:rPr>
                <w:rFonts w:ascii="Times New Roman" w:hAnsi="Times New Roman" w:cs="Times New Roman" w:hint="eastAsia"/>
                <w:color w:val="000000"/>
                <w:sz w:val="18"/>
                <w:szCs w:val="18"/>
                <w:shd w:val="clear" w:color="auto" w:fill="FFFFFF"/>
              </w:rPr>
              <w:t>C</w:t>
            </w:r>
          </w:p>
          <w:p w14:paraId="63A0E543" w14:textId="77777777" w:rsidR="00111265" w:rsidRDefault="00000000">
            <w:pPr>
              <w:widowControl/>
              <w:snapToGrid w:val="0"/>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b w:val="0"/>
                <w:bCs w:val="0"/>
                <w:color w:val="000000"/>
                <w:sz w:val="18"/>
                <w:szCs w:val="18"/>
                <w:shd w:val="clear" w:color="auto" w:fill="FFFFFF"/>
              </w:rPr>
              <w:fldChar w:fldCharType="begin"/>
            </w:r>
            <w:r>
              <w:rPr>
                <w:rFonts w:ascii="Times New Roman" w:hAnsi="Times New Roman" w:cs="Times New Roman"/>
                <w:color w:val="000000"/>
                <w:sz w:val="18"/>
                <w:szCs w:val="18"/>
                <w:shd w:val="clear" w:color="auto" w:fill="FFFFFF"/>
              </w:rPr>
              <w:instrText xml:space="preserve"> ADDIN EN.CITE &lt;EndNote&gt;&lt;Cite&gt;&lt;Author&gt;Chen&lt;/Author&gt;&lt;Year&gt;2005&lt;/Year&gt;&lt;RecNum&gt;65&lt;/RecNum&gt;&lt;DisplayText&gt;[11]&lt;/DisplayText&gt;&lt;record&gt;&lt;rec-number&gt;65&lt;/rec-number&gt;&lt;foreign-keys&gt;&lt;key app="EN" db-id="5s0ww0fvl5t5rweattnvfer0x0xre9zxse2p" timestamp="1722913379"&gt;65&lt;/key&gt;&lt;/foreign-keys&gt;&lt;ref-type name="Journal Article"&gt;17&lt;/ref-type&gt;&lt;contributors&gt;&lt;authors&gt;&lt;author&gt;Chen, Weifang&lt;/author&gt;&lt;author&gt;Cannon, Fred S&lt;/author&gt;&lt;author&gt;Rangel-Mendez, Jose R&lt;/author&gt;&lt;/authors&gt;&lt;/contributors&gt;&lt;titles&gt;&lt;title&gt;Ammonia-tailoring of GAC to enhance perchlorate removal. II: Perchlorate adsorption&lt;/title&gt;&lt;secondary-title&gt;Carbon&lt;/secondary-title&gt;&lt;/titles&gt;&lt;periodical&gt;&lt;full-title&gt;Carbon&lt;/full-title&gt;&lt;/periodical&gt;&lt;pages&gt;581-590&lt;/pages&gt;&lt;volume&gt;43&lt;/volume&gt;&lt;number&gt;3&lt;/number&gt;&lt;dates&gt;&lt;year&gt;2005&lt;/year&gt;&lt;/dates&gt;&lt;isbn&gt;0008-6223&lt;/isbn&gt;&lt;urls&gt;&lt;/urls&gt;&lt;/record&gt;&lt;/Cite&gt;&lt;/EndNote&gt;</w:instrText>
            </w:r>
            <w:r>
              <w:rPr>
                <w:rFonts w:ascii="Times New Roman" w:hAnsi="Times New Roman" w:cs="Times New Roman"/>
                <w:b w:val="0"/>
                <w:bCs w:val="0"/>
                <w:color w:val="000000"/>
                <w:sz w:val="18"/>
                <w:szCs w:val="18"/>
                <w:shd w:val="clear" w:color="auto" w:fill="FFFFFF"/>
              </w:rPr>
              <w:fldChar w:fldCharType="separate"/>
            </w:r>
            <w:r>
              <w:rPr>
                <w:rFonts w:ascii="Times New Roman" w:hAnsi="Times New Roman" w:cs="Times New Roman"/>
                <w:color w:val="000000"/>
                <w:sz w:val="18"/>
                <w:szCs w:val="18"/>
                <w:shd w:val="clear" w:color="auto" w:fill="FFFFFF"/>
              </w:rPr>
              <w:t>[11]</w:t>
            </w:r>
            <w:r>
              <w:rPr>
                <w:rFonts w:ascii="Times New Roman" w:hAnsi="Times New Roman" w:cs="Times New Roman"/>
                <w:b w:val="0"/>
                <w:bCs w:val="0"/>
                <w:color w:val="000000"/>
                <w:sz w:val="18"/>
                <w:szCs w:val="18"/>
                <w:shd w:val="clear" w:color="auto" w:fill="FFFFFF"/>
              </w:rPr>
              <w:fldChar w:fldCharType="end"/>
            </w:r>
          </w:p>
        </w:tc>
      </w:tr>
      <w:tr w:rsidR="00111265" w14:paraId="270BF16B" w14:textId="77777777" w:rsidTr="00111265">
        <w:trPr>
          <w:trHeight w:val="1006"/>
        </w:trPr>
        <w:tc>
          <w:tcPr>
            <w:cnfStyle w:val="001000000000" w:firstRow="0" w:lastRow="0" w:firstColumn="1" w:lastColumn="0" w:oddVBand="0" w:evenVBand="0" w:oddHBand="0" w:evenHBand="0" w:firstRowFirstColumn="0" w:firstRowLastColumn="0" w:lastRowFirstColumn="0" w:lastRowLastColumn="0"/>
            <w:tcW w:w="973" w:type="pct"/>
          </w:tcPr>
          <w:p w14:paraId="3A4761D8" w14:textId="77777777" w:rsidR="00111265" w:rsidRDefault="00000000">
            <w:pPr>
              <w:widowControl/>
              <w:snapToGrid w:val="0"/>
              <w:spacing w:after="120"/>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Adsorption capacity</w:t>
            </w:r>
          </w:p>
          <w:p w14:paraId="5F8162B9" w14:textId="77777777" w:rsidR="00111265" w:rsidRDefault="00000000">
            <w:pPr>
              <w:widowControl/>
              <w:snapToGrid w:val="0"/>
              <w:spacing w:after="120"/>
              <w:jc w:val="center"/>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(mg g</w:t>
            </w:r>
            <w:r>
              <w:rPr>
                <w:rFonts w:ascii="Times New Roman" w:hAnsi="Times New Roman" w:cs="Times New Roman" w:hint="eastAsia"/>
                <w:color w:val="000000"/>
                <w:sz w:val="18"/>
                <w:szCs w:val="18"/>
                <w:shd w:val="clear" w:color="auto" w:fill="FFFFFF"/>
                <w:vertAlign w:val="superscript"/>
              </w:rPr>
              <w:t>-1</w:t>
            </w:r>
            <w:r>
              <w:rPr>
                <w:rFonts w:ascii="Times New Roman" w:hAnsi="Times New Roman" w:cs="Times New Roman" w:hint="eastAsia"/>
                <w:color w:val="000000"/>
                <w:sz w:val="18"/>
                <w:szCs w:val="18"/>
                <w:shd w:val="clear" w:color="auto" w:fill="FFFFFF"/>
              </w:rPr>
              <w:t>)</w:t>
            </w:r>
          </w:p>
        </w:tc>
        <w:tc>
          <w:tcPr>
            <w:tcW w:w="262" w:type="pct"/>
          </w:tcPr>
          <w:p w14:paraId="01B54973"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79.81</w:t>
            </w:r>
          </w:p>
        </w:tc>
        <w:tc>
          <w:tcPr>
            <w:tcW w:w="516" w:type="pct"/>
          </w:tcPr>
          <w:p w14:paraId="22CF6605"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48.32</w:t>
            </w:r>
          </w:p>
        </w:tc>
        <w:tc>
          <w:tcPr>
            <w:tcW w:w="262" w:type="pct"/>
          </w:tcPr>
          <w:p w14:paraId="09898BDD"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45.45</w:t>
            </w:r>
          </w:p>
        </w:tc>
        <w:tc>
          <w:tcPr>
            <w:tcW w:w="466" w:type="pct"/>
          </w:tcPr>
          <w:p w14:paraId="7CC750AF"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39.54</w:t>
            </w:r>
          </w:p>
        </w:tc>
        <w:tc>
          <w:tcPr>
            <w:tcW w:w="414" w:type="pct"/>
          </w:tcPr>
          <w:p w14:paraId="056F3AA5"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26.53</w:t>
            </w:r>
          </w:p>
        </w:tc>
        <w:tc>
          <w:tcPr>
            <w:tcW w:w="262" w:type="pct"/>
          </w:tcPr>
          <w:p w14:paraId="1729832B"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24.00</w:t>
            </w:r>
          </w:p>
        </w:tc>
        <w:tc>
          <w:tcPr>
            <w:tcW w:w="256" w:type="pct"/>
          </w:tcPr>
          <w:p w14:paraId="2E99B714"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20.0</w:t>
            </w:r>
          </w:p>
        </w:tc>
        <w:tc>
          <w:tcPr>
            <w:tcW w:w="450" w:type="pct"/>
          </w:tcPr>
          <w:p w14:paraId="5A11456B"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14.25</w:t>
            </w:r>
          </w:p>
        </w:tc>
        <w:tc>
          <w:tcPr>
            <w:tcW w:w="262" w:type="pct"/>
          </w:tcPr>
          <w:p w14:paraId="63A0FAD4"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12.60</w:t>
            </w:r>
          </w:p>
        </w:tc>
        <w:tc>
          <w:tcPr>
            <w:tcW w:w="365" w:type="pct"/>
          </w:tcPr>
          <w:p w14:paraId="31C37281"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11.51</w:t>
            </w:r>
          </w:p>
        </w:tc>
        <w:tc>
          <w:tcPr>
            <w:tcW w:w="513" w:type="pct"/>
          </w:tcPr>
          <w:p w14:paraId="320C9063"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8.96</w:t>
            </w:r>
          </w:p>
        </w:tc>
      </w:tr>
      <w:tr w:rsidR="00111265" w14:paraId="60EFC60B" w14:textId="77777777" w:rsidTr="00111265">
        <w:trPr>
          <w:trHeight w:val="1006"/>
        </w:trPr>
        <w:tc>
          <w:tcPr>
            <w:cnfStyle w:val="001000000000" w:firstRow="0" w:lastRow="0" w:firstColumn="1" w:lastColumn="0" w:oddVBand="0" w:evenVBand="0" w:oddHBand="0" w:evenHBand="0" w:firstRowFirstColumn="0" w:firstRowLastColumn="0" w:lastRowFirstColumn="0" w:lastRowLastColumn="0"/>
            <w:tcW w:w="973" w:type="pct"/>
          </w:tcPr>
          <w:p w14:paraId="10396C57" w14:textId="77777777" w:rsidR="00111265" w:rsidRDefault="00000000">
            <w:pPr>
              <w:widowControl/>
              <w:snapToGrid w:val="0"/>
              <w:spacing w:after="120"/>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Adsorption saturation time</w:t>
            </w:r>
          </w:p>
          <w:p w14:paraId="05FE109D" w14:textId="77777777" w:rsidR="00111265" w:rsidRDefault="00000000">
            <w:pPr>
              <w:widowControl/>
              <w:snapToGrid w:val="0"/>
              <w:spacing w:after="120"/>
              <w:jc w:val="center"/>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(h)</w:t>
            </w:r>
          </w:p>
        </w:tc>
        <w:tc>
          <w:tcPr>
            <w:tcW w:w="262" w:type="pct"/>
          </w:tcPr>
          <w:p w14:paraId="7ED003B0"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12</w:t>
            </w:r>
          </w:p>
        </w:tc>
        <w:tc>
          <w:tcPr>
            <w:tcW w:w="516" w:type="pct"/>
          </w:tcPr>
          <w:p w14:paraId="0D2A8109"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0.18</w:t>
            </w:r>
          </w:p>
        </w:tc>
        <w:tc>
          <w:tcPr>
            <w:tcW w:w="262" w:type="pct"/>
          </w:tcPr>
          <w:p w14:paraId="32A4E0C1"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0.09</w:t>
            </w:r>
          </w:p>
        </w:tc>
        <w:tc>
          <w:tcPr>
            <w:tcW w:w="466" w:type="pct"/>
          </w:tcPr>
          <w:p w14:paraId="7A4F2593"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0.19</w:t>
            </w:r>
          </w:p>
        </w:tc>
        <w:tc>
          <w:tcPr>
            <w:tcW w:w="414" w:type="pct"/>
          </w:tcPr>
          <w:p w14:paraId="496173F5"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0.02</w:t>
            </w:r>
          </w:p>
        </w:tc>
        <w:tc>
          <w:tcPr>
            <w:tcW w:w="262" w:type="pct"/>
          </w:tcPr>
          <w:p w14:paraId="3AAA6C13"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w:t>
            </w:r>
          </w:p>
        </w:tc>
        <w:tc>
          <w:tcPr>
            <w:tcW w:w="256" w:type="pct"/>
          </w:tcPr>
          <w:p w14:paraId="3700E839"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1</w:t>
            </w:r>
          </w:p>
        </w:tc>
        <w:tc>
          <w:tcPr>
            <w:tcW w:w="450" w:type="pct"/>
          </w:tcPr>
          <w:p w14:paraId="38D9ABF3"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w:t>
            </w:r>
          </w:p>
        </w:tc>
        <w:tc>
          <w:tcPr>
            <w:tcW w:w="262" w:type="pct"/>
          </w:tcPr>
          <w:p w14:paraId="11A64992"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0.21</w:t>
            </w:r>
          </w:p>
        </w:tc>
        <w:tc>
          <w:tcPr>
            <w:tcW w:w="365" w:type="pct"/>
          </w:tcPr>
          <w:p w14:paraId="336113AC"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0.1</w:t>
            </w:r>
          </w:p>
        </w:tc>
        <w:tc>
          <w:tcPr>
            <w:tcW w:w="513" w:type="pct"/>
          </w:tcPr>
          <w:p w14:paraId="2E3C78B7" w14:textId="77777777" w:rsidR="00111265" w:rsidRDefault="00000000">
            <w:pPr>
              <w:widowControl/>
              <w:snapToGrid w:val="0"/>
              <w:spacing w:after="120"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shd w:val="clear" w:color="auto" w:fill="FFFFFF"/>
              </w:rPr>
            </w:pPr>
            <w:r>
              <w:rPr>
                <w:rFonts w:ascii="Times New Roman" w:hAnsi="Times New Roman" w:cs="Times New Roman" w:hint="eastAsia"/>
                <w:color w:val="000000"/>
                <w:sz w:val="18"/>
                <w:szCs w:val="18"/>
                <w:shd w:val="clear" w:color="auto" w:fill="FFFFFF"/>
              </w:rPr>
              <w:t>4</w:t>
            </w:r>
          </w:p>
        </w:tc>
      </w:tr>
      <w:bookmarkEnd w:id="7"/>
      <w:bookmarkEnd w:id="8"/>
    </w:tbl>
    <w:p w14:paraId="698D6B5C" w14:textId="77777777" w:rsidR="00111265" w:rsidRDefault="00111265">
      <w:pPr>
        <w:widowControl/>
        <w:spacing w:line="480" w:lineRule="auto"/>
        <w:jc w:val="left"/>
        <w:outlineLvl w:val="0"/>
        <w:rPr>
          <w:rFonts w:ascii="Times New Roman" w:hAnsi="Times New Roman"/>
          <w:b/>
          <w:bCs/>
          <w:sz w:val="24"/>
          <w:szCs w:val="24"/>
        </w:rPr>
        <w:sectPr w:rsidR="00111265">
          <w:pgSz w:w="16838" w:h="11906" w:orient="landscape"/>
          <w:pgMar w:top="1800" w:right="1440" w:bottom="1800" w:left="1440" w:header="851" w:footer="992" w:gutter="0"/>
          <w:cols w:space="425"/>
          <w:docGrid w:type="lines" w:linePitch="312"/>
        </w:sectPr>
      </w:pPr>
    </w:p>
    <w:p w14:paraId="715CA0AE" w14:textId="77777777" w:rsidR="00111265" w:rsidRDefault="00000000">
      <w:pPr>
        <w:widowControl/>
        <w:spacing w:line="480" w:lineRule="auto"/>
        <w:rPr>
          <w:rFonts w:ascii="Times New Roman" w:hAnsi="Times New Roman"/>
          <w:iCs/>
          <w:sz w:val="24"/>
        </w:rPr>
      </w:pPr>
      <w:r>
        <w:rPr>
          <w:rFonts w:ascii="Times New Roman" w:hAnsi="Times New Roman"/>
          <w:b/>
          <w:bCs/>
          <w:iCs/>
          <w:sz w:val="24"/>
          <w:szCs w:val="24"/>
        </w:rPr>
        <w:lastRenderedPageBreak/>
        <w:t>Table S</w:t>
      </w:r>
      <w:r>
        <w:rPr>
          <w:rFonts w:ascii="Times New Roman" w:hAnsi="Times New Roman" w:hint="eastAsia"/>
          <w:b/>
          <w:bCs/>
          <w:iCs/>
          <w:sz w:val="24"/>
          <w:szCs w:val="24"/>
        </w:rPr>
        <w:t>4</w:t>
      </w:r>
      <w:r>
        <w:rPr>
          <w:rFonts w:ascii="Times New Roman" w:hAnsi="Times New Roman"/>
          <w:b/>
          <w:bCs/>
          <w:iCs/>
          <w:sz w:val="24"/>
          <w:szCs w:val="24"/>
        </w:rPr>
        <w:t xml:space="preserve">. </w:t>
      </w:r>
      <w:r>
        <w:rPr>
          <w:rFonts w:ascii="Times New Roman" w:hAnsi="Times New Roman"/>
          <w:iCs/>
          <w:sz w:val="24"/>
        </w:rPr>
        <w:t>Concentrations of typical anions and DOC in the real water samples (mg L</w:t>
      </w:r>
      <w:r>
        <w:rPr>
          <w:rFonts w:ascii="Times New Roman" w:hAnsi="Times New Roman" w:cs="Times New Roman"/>
          <w:sz w:val="24"/>
          <w:szCs w:val="24"/>
          <w:vertAlign w:val="superscript"/>
        </w:rPr>
        <w:t>−1</w:t>
      </w:r>
      <w:r>
        <w:rPr>
          <w:rFonts w:ascii="Times New Roman" w:hAnsi="Times New Roman"/>
          <w:iCs/>
          <w:sz w:val="24"/>
        </w:rPr>
        <w:t>)</w:t>
      </w:r>
      <w:r>
        <w:rPr>
          <w:rFonts w:ascii="Times New Roman" w:hAnsi="Times New Roman" w:hint="eastAsia"/>
          <w:iCs/>
          <w:sz w:val="24"/>
        </w:rPr>
        <w:t>.</w:t>
      </w:r>
    </w:p>
    <w:tbl>
      <w:tblPr>
        <w:tblStyle w:val="a7"/>
        <w:tblW w:w="0" w:type="auto"/>
        <w:tblLook w:val="04A0" w:firstRow="1" w:lastRow="0" w:firstColumn="1" w:lastColumn="0" w:noHBand="0" w:noVBand="1"/>
      </w:tblPr>
      <w:tblGrid>
        <w:gridCol w:w="1611"/>
        <w:gridCol w:w="715"/>
        <w:gridCol w:w="895"/>
        <w:gridCol w:w="968"/>
        <w:gridCol w:w="715"/>
        <w:gridCol w:w="947"/>
        <w:gridCol w:w="820"/>
        <w:gridCol w:w="846"/>
        <w:gridCol w:w="779"/>
      </w:tblGrid>
      <w:tr w:rsidR="00111265" w14:paraId="137179D0" w14:textId="77777777">
        <w:tc>
          <w:tcPr>
            <w:tcW w:w="1619" w:type="dxa"/>
          </w:tcPr>
          <w:p w14:paraId="098D2182"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Compositions</w:t>
            </w:r>
          </w:p>
        </w:tc>
        <w:tc>
          <w:tcPr>
            <w:tcW w:w="708" w:type="dxa"/>
          </w:tcPr>
          <w:p w14:paraId="064B3A18"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SO</w:t>
            </w:r>
            <w:r>
              <w:rPr>
                <w:rFonts w:ascii="Times New Roman" w:hAnsi="Times New Roman" w:cs="Times New Roman"/>
                <w:vertAlign w:val="subscript"/>
              </w:rPr>
              <w:t>4</w:t>
            </w:r>
            <w:r>
              <w:rPr>
                <w:rFonts w:ascii="Times New Roman" w:hAnsi="Times New Roman" w:cs="Times New Roman"/>
                <w:vertAlign w:val="superscript"/>
              </w:rPr>
              <w:t>2</w:t>
            </w:r>
            <w:r>
              <w:rPr>
                <w:rFonts w:ascii="Times New Roman" w:hAnsi="Times New Roman" w:cs="Times New Roman"/>
                <w:bCs/>
                <w:sz w:val="24"/>
                <w:vertAlign w:val="superscript"/>
              </w:rPr>
              <w:t>−</w:t>
            </w:r>
          </w:p>
        </w:tc>
        <w:tc>
          <w:tcPr>
            <w:tcW w:w="902" w:type="dxa"/>
          </w:tcPr>
          <w:p w14:paraId="0F00513C"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Cl</w:t>
            </w:r>
            <w:r>
              <w:rPr>
                <w:rFonts w:ascii="Times New Roman" w:hAnsi="Times New Roman" w:cs="Times New Roman"/>
                <w:bCs/>
                <w:sz w:val="24"/>
                <w:vertAlign w:val="superscript"/>
              </w:rPr>
              <w:t>−</w:t>
            </w:r>
          </w:p>
        </w:tc>
        <w:tc>
          <w:tcPr>
            <w:tcW w:w="978" w:type="dxa"/>
          </w:tcPr>
          <w:p w14:paraId="1A392C36"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NO</w:t>
            </w:r>
            <w:r>
              <w:rPr>
                <w:rFonts w:ascii="Times New Roman" w:hAnsi="Times New Roman" w:cs="Times New Roman"/>
                <w:vertAlign w:val="subscript"/>
              </w:rPr>
              <w:t>3</w:t>
            </w:r>
            <w:r>
              <w:rPr>
                <w:rFonts w:ascii="Times New Roman" w:hAnsi="Times New Roman" w:cs="Times New Roman"/>
                <w:bCs/>
                <w:sz w:val="24"/>
                <w:vertAlign w:val="superscript"/>
              </w:rPr>
              <w:t>−</w:t>
            </w:r>
          </w:p>
        </w:tc>
        <w:tc>
          <w:tcPr>
            <w:tcW w:w="672" w:type="dxa"/>
          </w:tcPr>
          <w:p w14:paraId="1E61DD0D"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PO</w:t>
            </w:r>
            <w:r>
              <w:rPr>
                <w:rFonts w:ascii="Times New Roman" w:hAnsi="Times New Roman" w:cs="Times New Roman"/>
                <w:vertAlign w:val="subscript"/>
              </w:rPr>
              <w:t>4</w:t>
            </w:r>
            <w:r>
              <w:rPr>
                <w:rFonts w:ascii="Times New Roman" w:hAnsi="Times New Roman" w:cs="Times New Roman"/>
                <w:vertAlign w:val="superscript"/>
              </w:rPr>
              <w:t>3</w:t>
            </w:r>
            <w:r>
              <w:rPr>
                <w:rFonts w:ascii="Times New Roman" w:hAnsi="Times New Roman" w:cs="Times New Roman"/>
                <w:bCs/>
                <w:sz w:val="24"/>
                <w:vertAlign w:val="superscript"/>
              </w:rPr>
              <w:t>−</w:t>
            </w:r>
          </w:p>
        </w:tc>
        <w:tc>
          <w:tcPr>
            <w:tcW w:w="951" w:type="dxa"/>
          </w:tcPr>
          <w:p w14:paraId="2B69EF80"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HCO</w:t>
            </w:r>
            <w:r>
              <w:rPr>
                <w:rFonts w:ascii="Times New Roman" w:hAnsi="Times New Roman" w:cs="Times New Roman"/>
                <w:vertAlign w:val="subscript"/>
              </w:rPr>
              <w:t>3</w:t>
            </w:r>
            <w:r>
              <w:rPr>
                <w:rFonts w:ascii="Times New Roman" w:hAnsi="Times New Roman" w:cs="Times New Roman"/>
                <w:bCs/>
                <w:sz w:val="24"/>
                <w:vertAlign w:val="superscript"/>
              </w:rPr>
              <w:t>−</w:t>
            </w:r>
          </w:p>
        </w:tc>
        <w:tc>
          <w:tcPr>
            <w:tcW w:w="828" w:type="dxa"/>
          </w:tcPr>
          <w:p w14:paraId="1A15C8AF"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F</w:t>
            </w:r>
            <w:r>
              <w:rPr>
                <w:rFonts w:ascii="Times New Roman" w:hAnsi="Times New Roman" w:cs="Times New Roman"/>
                <w:bCs/>
                <w:sz w:val="24"/>
                <w:vertAlign w:val="superscript"/>
              </w:rPr>
              <w:t>−</w:t>
            </w:r>
          </w:p>
        </w:tc>
        <w:tc>
          <w:tcPr>
            <w:tcW w:w="855" w:type="dxa"/>
          </w:tcPr>
          <w:p w14:paraId="50C0AA7B" w14:textId="77777777" w:rsidR="00111265" w:rsidRDefault="00000000">
            <w:pPr>
              <w:spacing w:line="480" w:lineRule="auto"/>
              <w:jc w:val="center"/>
              <w:rPr>
                <w:rFonts w:ascii="Times New Roman" w:hAnsi="Times New Roman" w:cs="Times New Roman"/>
                <w:vertAlign w:val="superscript"/>
              </w:rPr>
            </w:pPr>
            <w:r>
              <w:rPr>
                <w:rFonts w:ascii="Times New Roman" w:hAnsi="Times New Roman" w:cs="Times New Roman"/>
              </w:rPr>
              <w:t>Br</w:t>
            </w:r>
            <w:r>
              <w:rPr>
                <w:rFonts w:ascii="Times New Roman" w:hAnsi="Times New Roman" w:cs="Times New Roman"/>
                <w:bCs/>
                <w:sz w:val="24"/>
                <w:vertAlign w:val="superscript"/>
              </w:rPr>
              <w:t>−</w:t>
            </w:r>
          </w:p>
        </w:tc>
        <w:tc>
          <w:tcPr>
            <w:tcW w:w="783" w:type="dxa"/>
          </w:tcPr>
          <w:p w14:paraId="0A590069"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DOC</w:t>
            </w:r>
          </w:p>
        </w:tc>
      </w:tr>
      <w:tr w:rsidR="00111265" w14:paraId="45CD48E3" w14:textId="77777777">
        <w:tc>
          <w:tcPr>
            <w:tcW w:w="1619" w:type="dxa"/>
          </w:tcPr>
          <w:p w14:paraId="035AE6D9"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Xiangjiang river</w:t>
            </w:r>
          </w:p>
        </w:tc>
        <w:tc>
          <w:tcPr>
            <w:tcW w:w="708" w:type="dxa"/>
          </w:tcPr>
          <w:p w14:paraId="5156D4D8"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8.32</w:t>
            </w:r>
          </w:p>
        </w:tc>
        <w:tc>
          <w:tcPr>
            <w:tcW w:w="902" w:type="dxa"/>
          </w:tcPr>
          <w:p w14:paraId="0B303D49"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2.12</w:t>
            </w:r>
          </w:p>
        </w:tc>
        <w:tc>
          <w:tcPr>
            <w:tcW w:w="978" w:type="dxa"/>
          </w:tcPr>
          <w:p w14:paraId="54ABD2B0"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.52</w:t>
            </w:r>
          </w:p>
        </w:tc>
        <w:tc>
          <w:tcPr>
            <w:tcW w:w="672" w:type="dxa"/>
          </w:tcPr>
          <w:p w14:paraId="5EBE9A7A"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.15</w:t>
            </w:r>
          </w:p>
        </w:tc>
        <w:tc>
          <w:tcPr>
            <w:tcW w:w="951" w:type="dxa"/>
          </w:tcPr>
          <w:p w14:paraId="513933C7"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32.52</w:t>
            </w:r>
          </w:p>
        </w:tc>
        <w:tc>
          <w:tcPr>
            <w:tcW w:w="828" w:type="dxa"/>
          </w:tcPr>
          <w:p w14:paraId="1A8443FE"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.03</w:t>
            </w:r>
          </w:p>
        </w:tc>
        <w:tc>
          <w:tcPr>
            <w:tcW w:w="855" w:type="dxa"/>
          </w:tcPr>
          <w:p w14:paraId="5F3133EC"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.01</w:t>
            </w:r>
          </w:p>
        </w:tc>
        <w:tc>
          <w:tcPr>
            <w:tcW w:w="783" w:type="dxa"/>
          </w:tcPr>
          <w:p w14:paraId="7DA1DDF7"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3.5</w:t>
            </w:r>
          </w:p>
        </w:tc>
      </w:tr>
      <w:tr w:rsidR="00111265" w14:paraId="5B32E24D" w14:textId="77777777">
        <w:tc>
          <w:tcPr>
            <w:tcW w:w="1619" w:type="dxa"/>
          </w:tcPr>
          <w:p w14:paraId="6F72058D"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Tap water</w:t>
            </w:r>
          </w:p>
        </w:tc>
        <w:tc>
          <w:tcPr>
            <w:tcW w:w="708" w:type="dxa"/>
          </w:tcPr>
          <w:p w14:paraId="044BF14E"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6.59</w:t>
            </w:r>
          </w:p>
        </w:tc>
        <w:tc>
          <w:tcPr>
            <w:tcW w:w="902" w:type="dxa"/>
          </w:tcPr>
          <w:p w14:paraId="7074F335"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0.54</w:t>
            </w:r>
          </w:p>
        </w:tc>
        <w:tc>
          <w:tcPr>
            <w:tcW w:w="978" w:type="dxa"/>
          </w:tcPr>
          <w:p w14:paraId="51A32918"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.12</w:t>
            </w:r>
          </w:p>
        </w:tc>
        <w:tc>
          <w:tcPr>
            <w:tcW w:w="672" w:type="dxa"/>
          </w:tcPr>
          <w:p w14:paraId="7B6C6CD6"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0.02</w:t>
            </w:r>
          </w:p>
        </w:tc>
        <w:tc>
          <w:tcPr>
            <w:tcW w:w="951" w:type="dxa"/>
          </w:tcPr>
          <w:p w14:paraId="099835E5"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50.22</w:t>
            </w:r>
          </w:p>
        </w:tc>
        <w:tc>
          <w:tcPr>
            <w:tcW w:w="828" w:type="dxa"/>
          </w:tcPr>
          <w:p w14:paraId="2F585840"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0.01</w:t>
            </w:r>
          </w:p>
        </w:tc>
        <w:tc>
          <w:tcPr>
            <w:tcW w:w="855" w:type="dxa"/>
          </w:tcPr>
          <w:p w14:paraId="6B3E62B8" w14:textId="77777777" w:rsidR="00111265" w:rsidRDefault="00000000">
            <w:pPr>
              <w:spacing w:line="480" w:lineRule="auto"/>
              <w:jc w:val="center"/>
              <w:rPr>
                <w:rFonts w:ascii="Times New Roman" w:hAnsi="Times New Roman" w:cs="Times New Roman"/>
              </w:rPr>
            </w:pPr>
            <w:r>
              <w:rPr>
                <w:rFonts w:ascii="Times New Roman" w:hAnsi="Times New Roman" w:cs="Times New Roman"/>
              </w:rPr>
              <w:t>0.00</w:t>
            </w:r>
          </w:p>
        </w:tc>
        <w:tc>
          <w:tcPr>
            <w:tcW w:w="783" w:type="dxa"/>
          </w:tcPr>
          <w:p w14:paraId="535E1405" w14:textId="77777777" w:rsidR="00111265" w:rsidRDefault="00000000">
            <w:pPr>
              <w:spacing w:line="480" w:lineRule="auto"/>
              <w:jc w:val="center"/>
              <w:rPr>
                <w:rFonts w:ascii="Times New Roman" w:hAnsi="Times New Roman" w:cs="Times New Roman"/>
              </w:rPr>
            </w:pPr>
            <w:r>
              <w:rPr>
                <w:rFonts w:ascii="Times New Roman" w:hAnsi="Times New Roman" w:cs="Times New Roman" w:hint="eastAsia"/>
              </w:rPr>
              <w:t>8</w:t>
            </w:r>
            <w:r>
              <w:rPr>
                <w:rFonts w:ascii="Times New Roman" w:hAnsi="Times New Roman" w:cs="Times New Roman"/>
              </w:rPr>
              <w:t>.6</w:t>
            </w:r>
          </w:p>
        </w:tc>
      </w:tr>
    </w:tbl>
    <w:p w14:paraId="4A207FAF" w14:textId="77777777" w:rsidR="00111265" w:rsidRDefault="00000000">
      <w:pPr>
        <w:widowControl/>
        <w:spacing w:line="480" w:lineRule="auto"/>
        <w:jc w:val="left"/>
        <w:outlineLvl w:val="0"/>
        <w:rPr>
          <w:rFonts w:ascii="Times New Roman" w:hAnsi="Times New Roman"/>
          <w:b/>
          <w:bCs/>
          <w:sz w:val="24"/>
          <w:szCs w:val="24"/>
        </w:rPr>
      </w:pPr>
      <w:r>
        <w:rPr>
          <w:rFonts w:ascii="Times New Roman" w:hAnsi="Times New Roman"/>
          <w:b/>
          <w:bCs/>
          <w:sz w:val="24"/>
          <w:szCs w:val="24"/>
        </w:rPr>
        <w:br w:type="page"/>
      </w:r>
    </w:p>
    <w:p w14:paraId="5BCF4300"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b/>
          <w:bCs/>
          <w:iCs/>
          <w:sz w:val="24"/>
          <w:szCs w:val="24"/>
        </w:rPr>
        <w:lastRenderedPageBreak/>
        <w:t>Table S</w:t>
      </w:r>
      <w:r>
        <w:rPr>
          <w:rFonts w:ascii="Times New Roman" w:hAnsi="Times New Roman" w:hint="eastAsia"/>
          <w:b/>
          <w:bCs/>
          <w:iCs/>
          <w:sz w:val="24"/>
          <w:szCs w:val="24"/>
        </w:rPr>
        <w:t>5</w:t>
      </w:r>
      <w:r>
        <w:rPr>
          <w:rFonts w:ascii="Times New Roman" w:hAnsi="Times New Roman"/>
          <w:b/>
          <w:bCs/>
          <w:iCs/>
          <w:sz w:val="24"/>
          <w:szCs w:val="24"/>
        </w:rPr>
        <w:t xml:space="preserve"> </w:t>
      </w:r>
      <w:r>
        <w:rPr>
          <w:rFonts w:ascii="Times New Roman" w:hAnsi="Times New Roman"/>
          <w:iCs/>
          <w:sz w:val="24"/>
        </w:rPr>
        <w:t>Parameters of the designed fixed-bed column</w:t>
      </w:r>
    </w:p>
    <w:tbl>
      <w:tblPr>
        <w:tblStyle w:val="a7"/>
        <w:tblW w:w="0" w:type="auto"/>
        <w:tblLook w:val="04A0" w:firstRow="1" w:lastRow="0" w:firstColumn="1" w:lastColumn="0" w:noHBand="0" w:noVBand="1"/>
      </w:tblPr>
      <w:tblGrid>
        <w:gridCol w:w="4148"/>
        <w:gridCol w:w="4148"/>
      </w:tblGrid>
      <w:tr w:rsidR="00111265" w14:paraId="7F2EBDBB" w14:textId="77777777">
        <w:tc>
          <w:tcPr>
            <w:tcW w:w="4148" w:type="dxa"/>
          </w:tcPr>
          <w:p w14:paraId="394A3C74" w14:textId="77777777" w:rsidR="00111265" w:rsidRDefault="00000000">
            <w:pPr>
              <w:jc w:val="center"/>
              <w:rPr>
                <w:rFonts w:ascii="Times New Roman" w:hAnsi="Times New Roman" w:cs="Times New Roman"/>
              </w:rPr>
            </w:pPr>
            <w:r>
              <w:rPr>
                <w:rFonts w:ascii="Times New Roman" w:hAnsi="Times New Roman" w:cs="Times New Roman"/>
              </w:rPr>
              <w:t>Parameter</w:t>
            </w:r>
          </w:p>
        </w:tc>
        <w:tc>
          <w:tcPr>
            <w:tcW w:w="4148" w:type="dxa"/>
          </w:tcPr>
          <w:p w14:paraId="6FFE05BB" w14:textId="77777777" w:rsidR="00111265" w:rsidRDefault="00000000">
            <w:pPr>
              <w:jc w:val="center"/>
              <w:rPr>
                <w:rFonts w:ascii="Times New Roman" w:hAnsi="Times New Roman" w:cs="Times New Roman"/>
              </w:rPr>
            </w:pPr>
            <w:r>
              <w:rPr>
                <w:rFonts w:ascii="Times New Roman" w:hAnsi="Times New Roman" w:cs="Times New Roman"/>
              </w:rPr>
              <w:t>Column</w:t>
            </w:r>
          </w:p>
        </w:tc>
      </w:tr>
      <w:tr w:rsidR="00111265" w14:paraId="01F8726C" w14:textId="77777777">
        <w:tc>
          <w:tcPr>
            <w:tcW w:w="4148" w:type="dxa"/>
          </w:tcPr>
          <w:p w14:paraId="3F31B73B" w14:textId="77777777" w:rsidR="00111265" w:rsidRDefault="00000000">
            <w:pPr>
              <w:jc w:val="center"/>
              <w:rPr>
                <w:rFonts w:ascii="Times New Roman" w:hAnsi="Times New Roman" w:cs="Times New Roman"/>
              </w:rPr>
            </w:pPr>
            <w:r>
              <w:rPr>
                <w:rFonts w:ascii="Times New Roman" w:hAnsi="Times New Roman" w:cs="Times New Roman"/>
              </w:rPr>
              <w:t>Mass of the adsorbent (g)</w:t>
            </w:r>
          </w:p>
        </w:tc>
        <w:tc>
          <w:tcPr>
            <w:tcW w:w="4148" w:type="dxa"/>
          </w:tcPr>
          <w:p w14:paraId="714F157E" w14:textId="77777777" w:rsidR="00111265" w:rsidRDefault="00000000">
            <w:pPr>
              <w:jc w:val="center"/>
              <w:rPr>
                <w:rFonts w:ascii="Times New Roman" w:hAnsi="Times New Roman" w:cs="Times New Roman"/>
              </w:rPr>
            </w:pPr>
            <w:r>
              <w:rPr>
                <w:rFonts w:ascii="Times New Roman" w:hAnsi="Times New Roman" w:cs="Times New Roman"/>
              </w:rPr>
              <w:t>40</w:t>
            </w:r>
          </w:p>
        </w:tc>
      </w:tr>
      <w:tr w:rsidR="00111265" w14:paraId="3614C875" w14:textId="77777777">
        <w:tc>
          <w:tcPr>
            <w:tcW w:w="4148" w:type="dxa"/>
          </w:tcPr>
          <w:p w14:paraId="334A3F39" w14:textId="77777777" w:rsidR="00111265" w:rsidRDefault="00000000">
            <w:pPr>
              <w:jc w:val="center"/>
              <w:rPr>
                <w:rFonts w:ascii="Times New Roman" w:hAnsi="Times New Roman" w:cs="Times New Roman"/>
              </w:rPr>
            </w:pPr>
            <w:r>
              <w:rPr>
                <w:rFonts w:ascii="Times New Roman" w:hAnsi="Times New Roman" w:cs="Times New Roman"/>
              </w:rPr>
              <w:t>Column diameter (mm)</w:t>
            </w:r>
          </w:p>
        </w:tc>
        <w:tc>
          <w:tcPr>
            <w:tcW w:w="4148" w:type="dxa"/>
          </w:tcPr>
          <w:p w14:paraId="42684B12" w14:textId="77777777" w:rsidR="00111265" w:rsidRDefault="00000000">
            <w:pPr>
              <w:jc w:val="center"/>
              <w:rPr>
                <w:rFonts w:ascii="Times New Roman" w:hAnsi="Times New Roman" w:cs="Times New Roman"/>
              </w:rPr>
            </w:pPr>
            <w:r>
              <w:rPr>
                <w:rFonts w:ascii="Times New Roman" w:hAnsi="Times New Roman" w:cs="Times New Roman"/>
              </w:rPr>
              <w:t>20</w:t>
            </w:r>
          </w:p>
        </w:tc>
      </w:tr>
      <w:tr w:rsidR="00111265" w14:paraId="4FCBC496" w14:textId="77777777">
        <w:tc>
          <w:tcPr>
            <w:tcW w:w="4148" w:type="dxa"/>
          </w:tcPr>
          <w:p w14:paraId="565AFEF4" w14:textId="77777777" w:rsidR="00111265" w:rsidRDefault="00000000">
            <w:pPr>
              <w:jc w:val="center"/>
              <w:rPr>
                <w:rFonts w:ascii="Times New Roman" w:hAnsi="Times New Roman" w:cs="Times New Roman"/>
              </w:rPr>
            </w:pPr>
            <w:r>
              <w:rPr>
                <w:rFonts w:ascii="Times New Roman" w:hAnsi="Times New Roman" w:cs="Times New Roman"/>
              </w:rPr>
              <w:t>Red depth (mm)</w:t>
            </w:r>
          </w:p>
        </w:tc>
        <w:tc>
          <w:tcPr>
            <w:tcW w:w="4148" w:type="dxa"/>
          </w:tcPr>
          <w:p w14:paraId="7BF3B74B" w14:textId="77777777" w:rsidR="00111265" w:rsidRDefault="00000000">
            <w:pPr>
              <w:jc w:val="center"/>
              <w:rPr>
                <w:rFonts w:ascii="Times New Roman" w:hAnsi="Times New Roman" w:cs="Times New Roman"/>
              </w:rPr>
            </w:pPr>
            <w:r>
              <w:rPr>
                <w:rFonts w:ascii="Times New Roman" w:hAnsi="Times New Roman" w:cs="Times New Roman"/>
              </w:rPr>
              <w:t>275</w:t>
            </w:r>
          </w:p>
        </w:tc>
      </w:tr>
      <w:tr w:rsidR="00111265" w14:paraId="7C9BD895" w14:textId="77777777">
        <w:tc>
          <w:tcPr>
            <w:tcW w:w="4148" w:type="dxa"/>
          </w:tcPr>
          <w:p w14:paraId="57419092" w14:textId="77777777" w:rsidR="00111265" w:rsidRDefault="00000000">
            <w:pPr>
              <w:jc w:val="center"/>
              <w:rPr>
                <w:rFonts w:ascii="Times New Roman" w:hAnsi="Times New Roman" w:cs="Times New Roman"/>
              </w:rPr>
            </w:pPr>
            <w:r>
              <w:rPr>
                <w:rFonts w:ascii="Times New Roman" w:hAnsi="Times New Roman" w:cs="Times New Roman"/>
              </w:rPr>
              <w:t>Flow rate (mL min</w:t>
            </w:r>
            <w:r>
              <w:rPr>
                <w:rFonts w:ascii="Times New Roman" w:hAnsi="Times New Roman" w:cs="Times New Roman"/>
                <w:vertAlign w:val="superscript"/>
              </w:rPr>
              <w:t>−1</w:t>
            </w:r>
            <w:r>
              <w:rPr>
                <w:rFonts w:ascii="Times New Roman" w:hAnsi="Times New Roman" w:cs="Times New Roman"/>
              </w:rPr>
              <w:t>)</w:t>
            </w:r>
          </w:p>
        </w:tc>
        <w:tc>
          <w:tcPr>
            <w:tcW w:w="4148" w:type="dxa"/>
          </w:tcPr>
          <w:p w14:paraId="09542854" w14:textId="77777777" w:rsidR="00111265" w:rsidRDefault="00000000">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5</w:t>
            </w:r>
          </w:p>
        </w:tc>
      </w:tr>
      <w:tr w:rsidR="00111265" w14:paraId="1FE21727" w14:textId="77777777">
        <w:tc>
          <w:tcPr>
            <w:tcW w:w="4148" w:type="dxa"/>
          </w:tcPr>
          <w:p w14:paraId="01D0C392" w14:textId="77777777" w:rsidR="00111265" w:rsidRDefault="00000000">
            <w:pPr>
              <w:jc w:val="center"/>
              <w:rPr>
                <w:rFonts w:ascii="Times New Roman" w:hAnsi="Times New Roman" w:cs="Times New Roman"/>
              </w:rPr>
            </w:pPr>
            <w:r>
              <w:rPr>
                <w:rFonts w:ascii="Times New Roman" w:hAnsi="Times New Roman" w:cs="Times New Roman"/>
              </w:rPr>
              <w:t>Hydraulic loading rate (mm min</w:t>
            </w:r>
            <w:r>
              <w:rPr>
                <w:rFonts w:ascii="Times New Roman" w:hAnsi="Times New Roman" w:cs="Times New Roman"/>
                <w:vertAlign w:val="superscript"/>
              </w:rPr>
              <w:t>−1</w:t>
            </w:r>
            <w:r>
              <w:rPr>
                <w:rFonts w:ascii="Times New Roman" w:hAnsi="Times New Roman" w:cs="Times New Roman"/>
              </w:rPr>
              <w:t>)</w:t>
            </w:r>
          </w:p>
        </w:tc>
        <w:tc>
          <w:tcPr>
            <w:tcW w:w="4148" w:type="dxa"/>
          </w:tcPr>
          <w:p w14:paraId="40EB59D5" w14:textId="77777777" w:rsidR="00111265" w:rsidRDefault="00000000">
            <w:pPr>
              <w:jc w:val="center"/>
              <w:rPr>
                <w:rFonts w:ascii="Times New Roman" w:hAnsi="Times New Roman" w:cs="Times New Roman"/>
              </w:rPr>
            </w:pPr>
            <w:r>
              <w:rPr>
                <w:rFonts w:ascii="Times New Roman" w:hAnsi="Times New Roman" w:cs="Times New Roman" w:hint="eastAsia"/>
              </w:rPr>
              <w:t>6</w:t>
            </w:r>
            <w:r>
              <w:rPr>
                <w:rFonts w:ascii="Times New Roman" w:hAnsi="Times New Roman" w:cs="Times New Roman"/>
              </w:rPr>
              <w:t>8.75</w:t>
            </w:r>
          </w:p>
        </w:tc>
      </w:tr>
      <w:tr w:rsidR="00111265" w14:paraId="0D73A2D1" w14:textId="77777777">
        <w:tc>
          <w:tcPr>
            <w:tcW w:w="4148" w:type="dxa"/>
          </w:tcPr>
          <w:p w14:paraId="3F9EE452" w14:textId="77777777" w:rsidR="00111265" w:rsidRDefault="00000000">
            <w:pPr>
              <w:jc w:val="center"/>
              <w:rPr>
                <w:rFonts w:ascii="Times New Roman" w:hAnsi="Times New Roman" w:cs="Times New Roman"/>
              </w:rPr>
            </w:pPr>
            <w:r>
              <w:rPr>
                <w:rFonts w:ascii="Times New Roman" w:hAnsi="Times New Roman" w:cs="Times New Roman"/>
              </w:rPr>
              <w:t>Red volume (BV) (mL)</w:t>
            </w:r>
          </w:p>
        </w:tc>
        <w:tc>
          <w:tcPr>
            <w:tcW w:w="4148" w:type="dxa"/>
          </w:tcPr>
          <w:p w14:paraId="4DA9FD9F" w14:textId="77777777" w:rsidR="00111265" w:rsidRDefault="00000000">
            <w:pPr>
              <w:jc w:val="center"/>
              <w:rPr>
                <w:rFonts w:ascii="Times New Roman" w:hAnsi="Times New Roman" w:cs="Times New Roman"/>
              </w:rPr>
            </w:pPr>
            <w:r>
              <w:rPr>
                <w:rFonts w:ascii="Times New Roman" w:hAnsi="Times New Roman" w:cs="Times New Roman"/>
              </w:rPr>
              <w:t>100</w:t>
            </w:r>
          </w:p>
        </w:tc>
      </w:tr>
      <w:tr w:rsidR="00111265" w14:paraId="599C8DA8" w14:textId="77777777">
        <w:tc>
          <w:tcPr>
            <w:tcW w:w="4148" w:type="dxa"/>
          </w:tcPr>
          <w:p w14:paraId="2839EE8A" w14:textId="77777777" w:rsidR="00111265" w:rsidRDefault="00000000">
            <w:pPr>
              <w:jc w:val="center"/>
              <w:rPr>
                <w:rFonts w:ascii="Times New Roman" w:hAnsi="Times New Roman" w:cs="Times New Roman"/>
              </w:rPr>
            </w:pPr>
            <w:r>
              <w:rPr>
                <w:rFonts w:ascii="Times New Roman" w:hAnsi="Times New Roman" w:cs="Times New Roman"/>
              </w:rPr>
              <w:t>Empty bed contact time (EBCT) (min)</w:t>
            </w:r>
          </w:p>
        </w:tc>
        <w:tc>
          <w:tcPr>
            <w:tcW w:w="4148" w:type="dxa"/>
          </w:tcPr>
          <w:p w14:paraId="5180E9F7" w14:textId="77777777" w:rsidR="00111265" w:rsidRDefault="00000000">
            <w:pPr>
              <w:jc w:val="center"/>
              <w:rPr>
                <w:rFonts w:ascii="Times New Roman" w:hAnsi="Times New Roman" w:cs="Times New Roman"/>
              </w:rPr>
            </w:pPr>
            <w:r>
              <w:rPr>
                <w:rFonts w:ascii="Times New Roman" w:hAnsi="Times New Roman" w:cs="Times New Roman" w:hint="eastAsia"/>
              </w:rPr>
              <w:t>4</w:t>
            </w:r>
          </w:p>
        </w:tc>
      </w:tr>
    </w:tbl>
    <w:p w14:paraId="65F35992"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43C01353"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b/>
          <w:bCs/>
          <w:iCs/>
          <w:sz w:val="24"/>
          <w:szCs w:val="24"/>
        </w:rPr>
        <w:lastRenderedPageBreak/>
        <w:t>Table S</w:t>
      </w:r>
      <w:r>
        <w:rPr>
          <w:rFonts w:ascii="Times New Roman" w:hAnsi="Times New Roman" w:hint="eastAsia"/>
          <w:b/>
          <w:bCs/>
          <w:iCs/>
          <w:sz w:val="24"/>
          <w:szCs w:val="24"/>
        </w:rPr>
        <w:t>6</w:t>
      </w:r>
      <w:r>
        <w:rPr>
          <w:rFonts w:ascii="Times New Roman" w:hAnsi="Times New Roman"/>
          <w:b/>
          <w:bCs/>
          <w:iCs/>
          <w:sz w:val="24"/>
          <w:szCs w:val="24"/>
        </w:rPr>
        <w:t xml:space="preserve"> </w:t>
      </w:r>
      <w:r>
        <w:rPr>
          <w:rFonts w:ascii="Times New Roman" w:hAnsi="Times New Roman"/>
          <w:iCs/>
          <w:sz w:val="24"/>
        </w:rPr>
        <w:t xml:space="preserve">Fitting parameters of breakthrough curves from fixed-bed chromatography experiments using the </w:t>
      </w:r>
      <w:r>
        <w:rPr>
          <w:rFonts w:ascii="Times New Roman" w:hAnsi="Times New Roman" w:cs="Times New Roman"/>
          <w:sz w:val="24"/>
          <w:szCs w:val="24"/>
        </w:rPr>
        <w:t>Boltzmann</w:t>
      </w:r>
      <w:r>
        <w:rPr>
          <w:rFonts w:ascii="Times New Roman" w:hAnsi="Times New Roman"/>
          <w:iCs/>
          <w:sz w:val="24"/>
        </w:rPr>
        <w:t xml:space="preserve"> model (CTAB-MMT).</w:t>
      </w:r>
    </w:p>
    <w:tbl>
      <w:tblPr>
        <w:tblStyle w:val="a7"/>
        <w:tblW w:w="0" w:type="auto"/>
        <w:tblLook w:val="04A0" w:firstRow="1" w:lastRow="0" w:firstColumn="1" w:lastColumn="0" w:noHBand="0" w:noVBand="1"/>
      </w:tblPr>
      <w:tblGrid>
        <w:gridCol w:w="2765"/>
        <w:gridCol w:w="2765"/>
        <w:gridCol w:w="2766"/>
      </w:tblGrid>
      <w:tr w:rsidR="00111265" w14:paraId="6C0B7F5C" w14:textId="77777777">
        <w:tc>
          <w:tcPr>
            <w:tcW w:w="2765" w:type="dxa"/>
          </w:tcPr>
          <w:p w14:paraId="3AB23676"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Model</w:t>
            </w:r>
          </w:p>
        </w:tc>
        <w:tc>
          <w:tcPr>
            <w:tcW w:w="2765" w:type="dxa"/>
          </w:tcPr>
          <w:p w14:paraId="61E02881"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Parameter</w:t>
            </w:r>
          </w:p>
        </w:tc>
        <w:tc>
          <w:tcPr>
            <w:tcW w:w="2766" w:type="dxa"/>
          </w:tcPr>
          <w:p w14:paraId="6F7EBC52"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Value</w:t>
            </w:r>
          </w:p>
        </w:tc>
      </w:tr>
      <w:tr w:rsidR="00111265" w14:paraId="2DB79DBA" w14:textId="77777777">
        <w:tc>
          <w:tcPr>
            <w:tcW w:w="2765" w:type="dxa"/>
            <w:vMerge w:val="restart"/>
          </w:tcPr>
          <w:p w14:paraId="1021EA14"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Boltzmann</w:t>
            </w:r>
          </w:p>
        </w:tc>
        <w:tc>
          <w:tcPr>
            <w:tcW w:w="2765" w:type="dxa"/>
          </w:tcPr>
          <w:p w14:paraId="001DCC46"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A1</w:t>
            </w:r>
          </w:p>
        </w:tc>
        <w:tc>
          <w:tcPr>
            <w:tcW w:w="2766" w:type="dxa"/>
          </w:tcPr>
          <w:p w14:paraId="12324617"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-7.62</w:t>
            </w:r>
          </w:p>
        </w:tc>
      </w:tr>
      <w:tr w:rsidR="00111265" w14:paraId="0BBE2C66" w14:textId="77777777">
        <w:tc>
          <w:tcPr>
            <w:tcW w:w="2765" w:type="dxa"/>
            <w:vMerge/>
          </w:tcPr>
          <w:p w14:paraId="782AA158"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167CA8E7"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A2</w:t>
            </w:r>
          </w:p>
        </w:tc>
        <w:tc>
          <w:tcPr>
            <w:tcW w:w="2766" w:type="dxa"/>
          </w:tcPr>
          <w:p w14:paraId="47686A2D"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512.72</w:t>
            </w:r>
          </w:p>
        </w:tc>
      </w:tr>
      <w:tr w:rsidR="00111265" w14:paraId="5BBD6E8D" w14:textId="77777777">
        <w:tc>
          <w:tcPr>
            <w:tcW w:w="2765" w:type="dxa"/>
            <w:vMerge/>
          </w:tcPr>
          <w:p w14:paraId="19B9F5B0"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0E130FFF"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X0</w:t>
            </w:r>
          </w:p>
        </w:tc>
        <w:tc>
          <w:tcPr>
            <w:tcW w:w="2766" w:type="dxa"/>
          </w:tcPr>
          <w:p w14:paraId="0C595FD0"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4095.59</w:t>
            </w:r>
          </w:p>
        </w:tc>
      </w:tr>
      <w:tr w:rsidR="00111265" w14:paraId="418FDD8F" w14:textId="77777777">
        <w:tc>
          <w:tcPr>
            <w:tcW w:w="2765" w:type="dxa"/>
            <w:vMerge/>
          </w:tcPr>
          <w:p w14:paraId="0D46F5B6"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764CFC77" w14:textId="77777777" w:rsidR="00111265" w:rsidRDefault="00000000">
            <w:pPr>
              <w:widowControl/>
              <w:spacing w:line="360" w:lineRule="auto"/>
              <w:jc w:val="center"/>
              <w:outlineLvl w:val="0"/>
              <w:rPr>
                <w:rFonts w:ascii="Times New Roman" w:hAnsi="Times New Roman" w:cs="Times New Roman"/>
                <w:iCs/>
                <w:sz w:val="24"/>
                <w:szCs w:val="24"/>
              </w:rPr>
            </w:pPr>
            <w:proofErr w:type="spellStart"/>
            <w:r>
              <w:rPr>
                <w:rFonts w:ascii="Times New Roman" w:hAnsi="Times New Roman" w:cs="Times New Roman"/>
                <w:iCs/>
                <w:sz w:val="24"/>
                <w:szCs w:val="24"/>
              </w:rPr>
              <w:t>dBV</w:t>
            </w:r>
            <w:proofErr w:type="spellEnd"/>
          </w:p>
        </w:tc>
        <w:tc>
          <w:tcPr>
            <w:tcW w:w="2766" w:type="dxa"/>
          </w:tcPr>
          <w:p w14:paraId="027E47A9"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607.65</w:t>
            </w:r>
          </w:p>
        </w:tc>
      </w:tr>
      <w:tr w:rsidR="00111265" w14:paraId="600398C0" w14:textId="77777777">
        <w:tc>
          <w:tcPr>
            <w:tcW w:w="2765" w:type="dxa"/>
            <w:vMerge/>
          </w:tcPr>
          <w:p w14:paraId="47339583"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20FB95EA" w14:textId="77777777" w:rsidR="00111265" w:rsidRDefault="00000000">
            <w:pPr>
              <w:widowControl/>
              <w:spacing w:line="360" w:lineRule="auto"/>
              <w:jc w:val="center"/>
              <w:outlineLvl w:val="0"/>
              <w:rPr>
                <w:rFonts w:ascii="Times New Roman" w:hAnsi="Times New Roman" w:cs="Times New Roman"/>
                <w:iCs/>
                <w:sz w:val="24"/>
                <w:szCs w:val="24"/>
                <w:vertAlign w:val="superscript"/>
              </w:rPr>
            </w:pPr>
            <w:r>
              <w:rPr>
                <w:rFonts w:ascii="Times New Roman" w:hAnsi="Times New Roman" w:cs="Times New Roman"/>
                <w:iCs/>
                <w:sz w:val="24"/>
                <w:szCs w:val="24"/>
              </w:rPr>
              <w:t>R</w:t>
            </w:r>
            <w:r>
              <w:rPr>
                <w:rFonts w:ascii="Times New Roman" w:hAnsi="Times New Roman" w:cs="Times New Roman"/>
                <w:iCs/>
                <w:sz w:val="24"/>
                <w:szCs w:val="24"/>
                <w:vertAlign w:val="superscript"/>
              </w:rPr>
              <w:t>2</w:t>
            </w:r>
          </w:p>
        </w:tc>
        <w:tc>
          <w:tcPr>
            <w:tcW w:w="2766" w:type="dxa"/>
          </w:tcPr>
          <w:p w14:paraId="6EB2E4E2"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99.7%</w:t>
            </w:r>
          </w:p>
        </w:tc>
      </w:tr>
    </w:tbl>
    <w:p w14:paraId="0507F843"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1DCBD525"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b/>
          <w:bCs/>
          <w:iCs/>
          <w:sz w:val="24"/>
          <w:szCs w:val="24"/>
        </w:rPr>
        <w:lastRenderedPageBreak/>
        <w:t>Table S</w:t>
      </w:r>
      <w:r>
        <w:rPr>
          <w:rFonts w:ascii="Times New Roman" w:hAnsi="Times New Roman" w:hint="eastAsia"/>
          <w:b/>
          <w:bCs/>
          <w:iCs/>
          <w:sz w:val="24"/>
          <w:szCs w:val="24"/>
        </w:rPr>
        <w:t>7</w:t>
      </w:r>
      <w:r>
        <w:rPr>
          <w:rFonts w:ascii="Times New Roman" w:hAnsi="Times New Roman"/>
          <w:b/>
          <w:bCs/>
          <w:iCs/>
          <w:sz w:val="24"/>
          <w:szCs w:val="24"/>
        </w:rPr>
        <w:t xml:space="preserve"> </w:t>
      </w:r>
      <w:r>
        <w:rPr>
          <w:rFonts w:ascii="Times New Roman" w:hAnsi="Times New Roman"/>
          <w:iCs/>
          <w:sz w:val="24"/>
        </w:rPr>
        <w:t xml:space="preserve">Fitting parameters of breakthrough curves from fixed-bed chromatography experiments using the </w:t>
      </w:r>
      <w:r>
        <w:rPr>
          <w:rFonts w:ascii="Times New Roman" w:hAnsi="Times New Roman" w:cs="Times New Roman"/>
          <w:sz w:val="24"/>
          <w:szCs w:val="24"/>
        </w:rPr>
        <w:t>Boltzmann</w:t>
      </w:r>
      <w:r>
        <w:rPr>
          <w:rFonts w:ascii="Times New Roman" w:hAnsi="Times New Roman"/>
          <w:iCs/>
          <w:sz w:val="24"/>
        </w:rPr>
        <w:t xml:space="preserve"> model (CPC-MMT).</w:t>
      </w:r>
    </w:p>
    <w:tbl>
      <w:tblPr>
        <w:tblStyle w:val="a7"/>
        <w:tblW w:w="0" w:type="auto"/>
        <w:tblLook w:val="04A0" w:firstRow="1" w:lastRow="0" w:firstColumn="1" w:lastColumn="0" w:noHBand="0" w:noVBand="1"/>
      </w:tblPr>
      <w:tblGrid>
        <w:gridCol w:w="2765"/>
        <w:gridCol w:w="2765"/>
        <w:gridCol w:w="2766"/>
      </w:tblGrid>
      <w:tr w:rsidR="00111265" w14:paraId="75BD6314" w14:textId="77777777">
        <w:tc>
          <w:tcPr>
            <w:tcW w:w="2765" w:type="dxa"/>
          </w:tcPr>
          <w:p w14:paraId="2FBCA5C3"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Model</w:t>
            </w:r>
          </w:p>
        </w:tc>
        <w:tc>
          <w:tcPr>
            <w:tcW w:w="2765" w:type="dxa"/>
          </w:tcPr>
          <w:p w14:paraId="733001F4"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Parameter</w:t>
            </w:r>
          </w:p>
        </w:tc>
        <w:tc>
          <w:tcPr>
            <w:tcW w:w="2766" w:type="dxa"/>
          </w:tcPr>
          <w:p w14:paraId="13C7DEDC"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Value</w:t>
            </w:r>
          </w:p>
        </w:tc>
      </w:tr>
      <w:tr w:rsidR="00111265" w14:paraId="543A0BC8" w14:textId="77777777">
        <w:tc>
          <w:tcPr>
            <w:tcW w:w="2765" w:type="dxa"/>
            <w:vMerge w:val="restart"/>
          </w:tcPr>
          <w:p w14:paraId="7D8EE934"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sz w:val="24"/>
                <w:szCs w:val="24"/>
              </w:rPr>
              <w:t>Boltzmann</w:t>
            </w:r>
          </w:p>
        </w:tc>
        <w:tc>
          <w:tcPr>
            <w:tcW w:w="2765" w:type="dxa"/>
          </w:tcPr>
          <w:p w14:paraId="6E95624E"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A1</w:t>
            </w:r>
          </w:p>
        </w:tc>
        <w:tc>
          <w:tcPr>
            <w:tcW w:w="2766" w:type="dxa"/>
          </w:tcPr>
          <w:p w14:paraId="73E93242"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-8.43</w:t>
            </w:r>
          </w:p>
        </w:tc>
      </w:tr>
      <w:tr w:rsidR="00111265" w14:paraId="1B5FC8A6" w14:textId="77777777">
        <w:tc>
          <w:tcPr>
            <w:tcW w:w="2765" w:type="dxa"/>
            <w:vMerge/>
          </w:tcPr>
          <w:p w14:paraId="51E2D098"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0569485D"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A2</w:t>
            </w:r>
          </w:p>
        </w:tc>
        <w:tc>
          <w:tcPr>
            <w:tcW w:w="2766" w:type="dxa"/>
          </w:tcPr>
          <w:p w14:paraId="3309D5E7"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572.92</w:t>
            </w:r>
          </w:p>
        </w:tc>
      </w:tr>
      <w:tr w:rsidR="00111265" w14:paraId="21F572D3" w14:textId="77777777">
        <w:tc>
          <w:tcPr>
            <w:tcW w:w="2765" w:type="dxa"/>
            <w:vMerge/>
          </w:tcPr>
          <w:p w14:paraId="44A157F4"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7CB808B3"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X0</w:t>
            </w:r>
          </w:p>
        </w:tc>
        <w:tc>
          <w:tcPr>
            <w:tcW w:w="2766" w:type="dxa"/>
          </w:tcPr>
          <w:p w14:paraId="3B32ABCC"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hint="eastAsia"/>
                <w:iCs/>
                <w:sz w:val="24"/>
                <w:szCs w:val="24"/>
              </w:rPr>
              <w:t>4</w:t>
            </w:r>
            <w:r>
              <w:rPr>
                <w:rFonts w:ascii="Times New Roman" w:hAnsi="Times New Roman" w:cs="Times New Roman"/>
                <w:iCs/>
                <w:sz w:val="24"/>
                <w:szCs w:val="24"/>
              </w:rPr>
              <w:t>267.89</w:t>
            </w:r>
          </w:p>
        </w:tc>
      </w:tr>
      <w:tr w:rsidR="00111265" w14:paraId="6E439F6A" w14:textId="77777777">
        <w:tc>
          <w:tcPr>
            <w:tcW w:w="2765" w:type="dxa"/>
            <w:vMerge/>
          </w:tcPr>
          <w:p w14:paraId="6042C797"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7CEFDBDF" w14:textId="77777777" w:rsidR="00111265" w:rsidRDefault="00000000">
            <w:pPr>
              <w:widowControl/>
              <w:spacing w:line="360" w:lineRule="auto"/>
              <w:jc w:val="center"/>
              <w:outlineLvl w:val="0"/>
              <w:rPr>
                <w:rFonts w:ascii="Times New Roman" w:hAnsi="Times New Roman" w:cs="Times New Roman"/>
                <w:iCs/>
                <w:sz w:val="24"/>
                <w:szCs w:val="24"/>
              </w:rPr>
            </w:pPr>
            <w:proofErr w:type="spellStart"/>
            <w:r>
              <w:rPr>
                <w:rFonts w:ascii="Times New Roman" w:hAnsi="Times New Roman" w:cs="Times New Roman"/>
                <w:iCs/>
                <w:sz w:val="24"/>
                <w:szCs w:val="24"/>
              </w:rPr>
              <w:t>dBV</w:t>
            </w:r>
            <w:proofErr w:type="spellEnd"/>
          </w:p>
        </w:tc>
        <w:tc>
          <w:tcPr>
            <w:tcW w:w="2766" w:type="dxa"/>
          </w:tcPr>
          <w:p w14:paraId="18D2E90F"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hint="eastAsia"/>
                <w:iCs/>
                <w:sz w:val="24"/>
                <w:szCs w:val="24"/>
              </w:rPr>
              <w:t>8</w:t>
            </w:r>
            <w:r>
              <w:rPr>
                <w:rFonts w:ascii="Times New Roman" w:hAnsi="Times New Roman" w:cs="Times New Roman"/>
                <w:iCs/>
                <w:sz w:val="24"/>
                <w:szCs w:val="24"/>
              </w:rPr>
              <w:t>25.30</w:t>
            </w:r>
          </w:p>
        </w:tc>
      </w:tr>
      <w:tr w:rsidR="00111265" w14:paraId="7724A6DD" w14:textId="77777777">
        <w:tc>
          <w:tcPr>
            <w:tcW w:w="2765" w:type="dxa"/>
            <w:vMerge/>
          </w:tcPr>
          <w:p w14:paraId="3347A3D7" w14:textId="77777777" w:rsidR="00111265" w:rsidRDefault="00111265">
            <w:pPr>
              <w:widowControl/>
              <w:spacing w:line="360" w:lineRule="auto"/>
              <w:jc w:val="center"/>
              <w:outlineLvl w:val="0"/>
              <w:rPr>
                <w:rFonts w:ascii="Times New Roman" w:hAnsi="Times New Roman" w:cs="Times New Roman"/>
                <w:iCs/>
                <w:sz w:val="24"/>
                <w:szCs w:val="24"/>
              </w:rPr>
            </w:pPr>
          </w:p>
        </w:tc>
        <w:tc>
          <w:tcPr>
            <w:tcW w:w="2765" w:type="dxa"/>
          </w:tcPr>
          <w:p w14:paraId="5E652C2C" w14:textId="77777777" w:rsidR="00111265" w:rsidRDefault="00000000">
            <w:pPr>
              <w:widowControl/>
              <w:spacing w:line="360" w:lineRule="auto"/>
              <w:jc w:val="center"/>
              <w:outlineLvl w:val="0"/>
              <w:rPr>
                <w:rFonts w:ascii="Times New Roman" w:hAnsi="Times New Roman" w:cs="Times New Roman"/>
                <w:iCs/>
                <w:sz w:val="24"/>
                <w:szCs w:val="24"/>
                <w:vertAlign w:val="superscript"/>
              </w:rPr>
            </w:pPr>
            <w:r>
              <w:rPr>
                <w:rFonts w:ascii="Times New Roman" w:hAnsi="Times New Roman" w:cs="Times New Roman"/>
                <w:iCs/>
                <w:sz w:val="24"/>
                <w:szCs w:val="24"/>
              </w:rPr>
              <w:t>R</w:t>
            </w:r>
            <w:r>
              <w:rPr>
                <w:rFonts w:ascii="Times New Roman" w:hAnsi="Times New Roman" w:cs="Times New Roman"/>
                <w:iCs/>
                <w:sz w:val="24"/>
                <w:szCs w:val="24"/>
                <w:vertAlign w:val="superscript"/>
              </w:rPr>
              <w:t>2</w:t>
            </w:r>
          </w:p>
        </w:tc>
        <w:tc>
          <w:tcPr>
            <w:tcW w:w="2766" w:type="dxa"/>
          </w:tcPr>
          <w:p w14:paraId="6A5C6F3F" w14:textId="77777777" w:rsidR="00111265" w:rsidRDefault="00000000">
            <w:pPr>
              <w:widowControl/>
              <w:spacing w:line="360" w:lineRule="auto"/>
              <w:jc w:val="center"/>
              <w:outlineLvl w:val="0"/>
              <w:rPr>
                <w:rFonts w:ascii="Times New Roman" w:hAnsi="Times New Roman" w:cs="Times New Roman"/>
                <w:iCs/>
                <w:sz w:val="24"/>
                <w:szCs w:val="24"/>
              </w:rPr>
            </w:pPr>
            <w:r>
              <w:rPr>
                <w:rFonts w:ascii="Times New Roman" w:hAnsi="Times New Roman" w:cs="Times New Roman"/>
                <w:iCs/>
                <w:sz w:val="24"/>
                <w:szCs w:val="24"/>
              </w:rPr>
              <w:t>99.7%</w:t>
            </w:r>
          </w:p>
        </w:tc>
      </w:tr>
    </w:tbl>
    <w:p w14:paraId="54226A77"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475B2C93" w14:textId="77777777" w:rsidR="00111265" w:rsidRDefault="00000000">
      <w:pPr>
        <w:widowControl/>
        <w:jc w:val="center"/>
        <w:rPr>
          <w:rFonts w:ascii="Times New Roman" w:hAnsi="Times New Roman"/>
          <w:b/>
          <w:bCs/>
          <w:sz w:val="24"/>
          <w:szCs w:val="24"/>
        </w:rPr>
      </w:pPr>
      <w:r>
        <w:rPr>
          <w:noProof/>
        </w:rPr>
        <w:lastRenderedPageBreak/>
        <w:drawing>
          <wp:inline distT="0" distB="0" distL="0" distR="0" wp14:anchorId="5172187C" wp14:editId="21223DD1">
            <wp:extent cx="3599815" cy="2911475"/>
            <wp:effectExtent l="0" t="0" r="635" b="3175"/>
            <wp:docPr id="3001936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3632"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600000" cy="2911539"/>
                    </a:xfrm>
                    <a:prstGeom prst="rect">
                      <a:avLst/>
                    </a:prstGeom>
                    <a:noFill/>
                    <a:ln>
                      <a:noFill/>
                    </a:ln>
                  </pic:spPr>
                </pic:pic>
              </a:graphicData>
            </a:graphic>
          </wp:inline>
        </w:drawing>
      </w:r>
    </w:p>
    <w:p w14:paraId="0FC9D8F9" w14:textId="77777777" w:rsidR="00111265" w:rsidRDefault="00000000">
      <w:pPr>
        <w:spacing w:line="480" w:lineRule="auto"/>
        <w:rPr>
          <w:rFonts w:ascii="Times New Roman" w:hAnsi="Times New Roman" w:cs="Times New Roman"/>
          <w:bCs/>
          <w:sz w:val="24"/>
        </w:rPr>
      </w:pPr>
      <w:bookmarkStart w:id="9" w:name="_Hlk169249109"/>
      <w:r>
        <w:rPr>
          <w:rFonts w:ascii="Times New Roman" w:hAnsi="Times New Roman"/>
          <w:b/>
          <w:bCs/>
          <w:iCs/>
          <w:sz w:val="24"/>
          <w:szCs w:val="24"/>
        </w:rPr>
        <w:t>Figure S1.</w:t>
      </w:r>
      <w:r>
        <w:rPr>
          <w:rFonts w:ascii="Times New Roman" w:hAnsi="Times New Roman" w:cs="Times New Roman"/>
          <w:bCs/>
          <w:sz w:val="24"/>
        </w:rPr>
        <w:t xml:space="preserve"> Adsorption kinetics of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onto CTAB-MMT, CPC-MMT, MMT, PAC, and kaolin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concentration = 100 mg L</w:t>
      </w:r>
      <w:r>
        <w:rPr>
          <w:rFonts w:ascii="Times New Roman" w:hAnsi="Times New Roman" w:cs="Times New Roman"/>
          <w:bCs/>
          <w:sz w:val="24"/>
          <w:vertAlign w:val="superscript"/>
        </w:rPr>
        <w:t>−1</w:t>
      </w:r>
      <w:r>
        <w:rPr>
          <w:rFonts w:ascii="Times New Roman" w:hAnsi="Times New Roman" w:cs="Times New Roman" w:hint="eastAsia"/>
          <w:bCs/>
          <w:sz w:val="24"/>
        </w:rPr>
        <w:t>,</w:t>
      </w:r>
      <w:r>
        <w:rPr>
          <w:rFonts w:ascii="Times New Roman" w:hAnsi="Times New Roman" w:cs="Times New Roman"/>
          <w:bCs/>
          <w:sz w:val="24"/>
        </w:rPr>
        <w:t xml:space="preserve"> adsorbent dosage = 0.4 g L</w:t>
      </w:r>
      <w:r>
        <w:rPr>
          <w:rFonts w:ascii="Times New Roman" w:hAnsi="Times New Roman" w:cs="Times New Roman"/>
          <w:bCs/>
          <w:sz w:val="24"/>
          <w:vertAlign w:val="superscript"/>
        </w:rPr>
        <w:t>−1</w:t>
      </w:r>
      <w:r>
        <w:rPr>
          <w:rFonts w:ascii="Times New Roman" w:hAnsi="Times New Roman" w:cs="Times New Roman"/>
          <w:bCs/>
          <w:sz w:val="24"/>
        </w:rPr>
        <w:t>).</w:t>
      </w:r>
      <w:bookmarkEnd w:id="9"/>
    </w:p>
    <w:p w14:paraId="4D958C91" w14:textId="77777777" w:rsidR="00111265" w:rsidRDefault="00000000">
      <w:pPr>
        <w:spacing w:line="480" w:lineRule="auto"/>
        <w:rPr>
          <w:rFonts w:ascii="Times New Roman" w:hAnsi="Times New Roman"/>
          <w:b/>
          <w:bCs/>
          <w:sz w:val="24"/>
          <w:szCs w:val="24"/>
        </w:rPr>
      </w:pPr>
      <w:r>
        <w:rPr>
          <w:rFonts w:ascii="Times New Roman" w:hAnsi="Times New Roman" w:cs="Times New Roman"/>
          <w:bCs/>
          <w:sz w:val="24"/>
        </w:rPr>
        <w:t xml:space="preserve"> </w:t>
      </w:r>
      <w:r>
        <w:rPr>
          <w:rFonts w:ascii="Times New Roman" w:hAnsi="Times New Roman"/>
          <w:b/>
          <w:bCs/>
          <w:sz w:val="24"/>
          <w:szCs w:val="24"/>
        </w:rPr>
        <w:br w:type="page"/>
      </w:r>
    </w:p>
    <w:p w14:paraId="7D3E74C8" w14:textId="77777777" w:rsidR="00111265" w:rsidRDefault="00000000">
      <w:pPr>
        <w:spacing w:line="480" w:lineRule="auto"/>
        <w:jc w:val="center"/>
        <w:rPr>
          <w:rFonts w:ascii="Times New Roman" w:hAnsi="Times New Roman"/>
          <w:b/>
          <w:bCs/>
          <w:sz w:val="24"/>
          <w:szCs w:val="24"/>
        </w:rPr>
      </w:pPr>
      <w:r>
        <w:rPr>
          <w:noProof/>
        </w:rPr>
        <w:lastRenderedPageBreak/>
        <w:drawing>
          <wp:inline distT="0" distB="0" distL="0" distR="0" wp14:anchorId="39AA3C90" wp14:editId="52E23EA5">
            <wp:extent cx="3599815" cy="2992755"/>
            <wp:effectExtent l="0" t="0" r="635" b="0"/>
            <wp:docPr id="11680457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45723" name="图片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00000" cy="2993032"/>
                    </a:xfrm>
                    <a:prstGeom prst="rect">
                      <a:avLst/>
                    </a:prstGeom>
                    <a:noFill/>
                    <a:ln>
                      <a:noFill/>
                    </a:ln>
                  </pic:spPr>
                </pic:pic>
              </a:graphicData>
            </a:graphic>
          </wp:inline>
        </w:drawing>
      </w:r>
    </w:p>
    <w:p w14:paraId="60132240" w14:textId="77777777" w:rsidR="00111265" w:rsidRDefault="00000000">
      <w:pPr>
        <w:spacing w:line="480" w:lineRule="auto"/>
        <w:rPr>
          <w:rFonts w:ascii="Times New Roman" w:hAnsi="Times New Roman"/>
          <w:b/>
          <w:bCs/>
          <w:sz w:val="24"/>
          <w:szCs w:val="24"/>
        </w:rPr>
      </w:pPr>
      <w:bookmarkStart w:id="10" w:name="_Hlk169249150"/>
      <w:r>
        <w:rPr>
          <w:rFonts w:ascii="Times New Roman" w:hAnsi="Times New Roman"/>
          <w:b/>
          <w:bCs/>
          <w:iCs/>
          <w:sz w:val="24"/>
          <w:szCs w:val="24"/>
        </w:rPr>
        <w:t>Figure S</w:t>
      </w:r>
      <w:r>
        <w:rPr>
          <w:rFonts w:ascii="Times New Roman" w:hAnsi="Times New Roman" w:hint="eastAsia"/>
          <w:b/>
          <w:bCs/>
          <w:iCs/>
          <w:sz w:val="24"/>
          <w:szCs w:val="24"/>
        </w:rPr>
        <w:t>2</w:t>
      </w:r>
      <w:r>
        <w:rPr>
          <w:rFonts w:ascii="Times New Roman" w:hAnsi="Times New Roman"/>
          <w:b/>
          <w:bCs/>
          <w:iCs/>
          <w:sz w:val="24"/>
          <w:szCs w:val="24"/>
        </w:rPr>
        <w:t>.</w:t>
      </w:r>
      <w:r>
        <w:rPr>
          <w:rFonts w:ascii="Times New Roman" w:hAnsi="Times New Roman" w:cs="Times New Roman"/>
          <w:bCs/>
          <w:sz w:val="24"/>
        </w:rPr>
        <w:t xml:space="preserve"> Isotherms of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adsorption onto CTAB-MMT, CPC-MMT, MMT and PAC</w:t>
      </w:r>
      <w:r>
        <w:rPr>
          <w:rFonts w:ascii="Times New Roman" w:hAnsi="Times New Roman" w:cs="Times New Roman" w:hint="eastAsia"/>
          <w:bCs/>
          <w:sz w:val="24"/>
        </w:rPr>
        <w:t xml:space="preserve"> </w:t>
      </w:r>
      <w:r>
        <w:rPr>
          <w:rFonts w:ascii="Times New Roman" w:hAnsi="Times New Roman" w:cs="Times New Roman"/>
          <w:bCs/>
          <w:sz w:val="24"/>
        </w:rPr>
        <w:t>(ClO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concentration = 100 mg L</w:t>
      </w:r>
      <w:r>
        <w:rPr>
          <w:rFonts w:ascii="Times New Roman" w:hAnsi="Times New Roman" w:cs="Times New Roman"/>
          <w:bCs/>
          <w:sz w:val="24"/>
          <w:vertAlign w:val="superscript"/>
        </w:rPr>
        <w:t>−1</w:t>
      </w:r>
      <w:r>
        <w:rPr>
          <w:rFonts w:ascii="Times New Roman" w:hAnsi="Times New Roman" w:cs="Times New Roman" w:hint="eastAsia"/>
          <w:bCs/>
          <w:sz w:val="24"/>
        </w:rPr>
        <w:t xml:space="preserve">, </w:t>
      </w:r>
      <w:r>
        <w:rPr>
          <w:rFonts w:ascii="Times New Roman" w:hAnsi="Times New Roman" w:cs="Times New Roman"/>
          <w:bCs/>
          <w:sz w:val="24"/>
        </w:rPr>
        <w:t>adsorbent dosage = 0.4 g L</w:t>
      </w:r>
      <w:r>
        <w:rPr>
          <w:rFonts w:ascii="Times New Roman" w:hAnsi="Times New Roman" w:cs="Times New Roman"/>
          <w:bCs/>
          <w:sz w:val="24"/>
          <w:vertAlign w:val="superscript"/>
        </w:rPr>
        <w:t>−1</w:t>
      </w:r>
      <w:r>
        <w:rPr>
          <w:rFonts w:ascii="Times New Roman" w:hAnsi="Times New Roman" w:cs="Times New Roman"/>
          <w:bCs/>
          <w:sz w:val="24"/>
        </w:rPr>
        <w:t>).</w:t>
      </w:r>
      <w:bookmarkEnd w:id="10"/>
      <w:r>
        <w:rPr>
          <w:rFonts w:ascii="Times New Roman" w:hAnsi="Times New Roman"/>
          <w:b/>
          <w:bCs/>
          <w:sz w:val="24"/>
          <w:szCs w:val="24"/>
        </w:rPr>
        <w:t xml:space="preserve"> </w:t>
      </w:r>
    </w:p>
    <w:p w14:paraId="5915EC5B" w14:textId="77777777" w:rsidR="00111265" w:rsidRDefault="00000000">
      <w:pPr>
        <w:spacing w:line="480" w:lineRule="auto"/>
        <w:rPr>
          <w:rFonts w:ascii="Times New Roman" w:hAnsi="Times New Roman"/>
          <w:b/>
          <w:bCs/>
          <w:sz w:val="24"/>
          <w:szCs w:val="24"/>
        </w:rPr>
      </w:pPr>
      <w:r>
        <w:rPr>
          <w:rFonts w:ascii="Times New Roman" w:hAnsi="Times New Roman"/>
          <w:b/>
          <w:bCs/>
          <w:sz w:val="24"/>
          <w:szCs w:val="24"/>
        </w:rPr>
        <w:br w:type="page"/>
      </w:r>
    </w:p>
    <w:p w14:paraId="3919499B" w14:textId="77777777" w:rsidR="00111265" w:rsidRDefault="00000000">
      <w:pPr>
        <w:widowControl/>
        <w:spacing w:line="480" w:lineRule="auto"/>
        <w:jc w:val="center"/>
        <w:rPr>
          <w:rFonts w:ascii="Times New Roman" w:hAnsi="Times New Roman"/>
          <w:b/>
          <w:bCs/>
          <w:sz w:val="24"/>
          <w:szCs w:val="24"/>
        </w:rPr>
      </w:pPr>
      <w:r>
        <w:rPr>
          <w:noProof/>
        </w:rPr>
        <w:lastRenderedPageBreak/>
        <w:drawing>
          <wp:inline distT="0" distB="0" distL="0" distR="0" wp14:anchorId="4C8A3414" wp14:editId="6CFCD1EF">
            <wp:extent cx="3599815" cy="2825115"/>
            <wp:effectExtent l="0" t="0" r="635" b="0"/>
            <wp:docPr id="12773092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09253" name="图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600000" cy="2825283"/>
                    </a:xfrm>
                    <a:prstGeom prst="rect">
                      <a:avLst/>
                    </a:prstGeom>
                    <a:noFill/>
                    <a:ln>
                      <a:noFill/>
                    </a:ln>
                  </pic:spPr>
                </pic:pic>
              </a:graphicData>
            </a:graphic>
          </wp:inline>
        </w:drawing>
      </w:r>
    </w:p>
    <w:p w14:paraId="1A29A464" w14:textId="77777777" w:rsidR="00111265" w:rsidRDefault="00000000">
      <w:pPr>
        <w:spacing w:line="480" w:lineRule="auto"/>
        <w:rPr>
          <w:rFonts w:ascii="Times New Roman" w:hAnsi="Times New Roman"/>
          <w:b/>
          <w:bCs/>
          <w:sz w:val="24"/>
          <w:szCs w:val="24"/>
        </w:rPr>
      </w:pPr>
      <w:r>
        <w:rPr>
          <w:rFonts w:ascii="Times New Roman" w:hAnsi="Times New Roman"/>
          <w:b/>
          <w:bCs/>
          <w:iCs/>
          <w:sz w:val="24"/>
          <w:szCs w:val="24"/>
        </w:rPr>
        <w:t>Figure S</w:t>
      </w:r>
      <w:r>
        <w:rPr>
          <w:rFonts w:ascii="Times New Roman" w:hAnsi="Times New Roman" w:hint="eastAsia"/>
          <w:b/>
          <w:bCs/>
          <w:iCs/>
          <w:sz w:val="24"/>
          <w:szCs w:val="24"/>
        </w:rPr>
        <w:t>3</w:t>
      </w:r>
      <w:r>
        <w:rPr>
          <w:rFonts w:ascii="Times New Roman" w:hAnsi="Times New Roman"/>
          <w:b/>
          <w:bCs/>
          <w:iCs/>
          <w:sz w:val="24"/>
          <w:szCs w:val="24"/>
        </w:rPr>
        <w:t xml:space="preserve">. </w:t>
      </w:r>
      <w:r>
        <w:rPr>
          <w:rFonts w:ascii="Times New Roman" w:hAnsi="Times New Roman" w:cs="Times New Roman"/>
          <w:bCs/>
          <w:sz w:val="24"/>
        </w:rPr>
        <w:t>Removal of various oxygenated anions by CPC-MMT from individual and mixed solutions. Experimental condition: anion concentration = 10 mg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bCs/>
          <w:sz w:val="24"/>
        </w:rPr>
        <w:t>adsorbent dosage = 0.4 g L</w:t>
      </w:r>
      <w:r>
        <w:rPr>
          <w:rFonts w:ascii="Times New Roman" w:hAnsi="Times New Roman" w:cs="Times New Roman"/>
          <w:sz w:val="24"/>
          <w:szCs w:val="24"/>
          <w:vertAlign w:val="superscript"/>
        </w:rPr>
        <w:t>−1</w:t>
      </w:r>
      <w:r>
        <w:rPr>
          <w:rFonts w:ascii="Times New Roman" w:hAnsi="Times New Roman" w:cs="Times New Roman"/>
          <w:sz w:val="24"/>
          <w:szCs w:val="24"/>
        </w:rPr>
        <w:t>.</w:t>
      </w:r>
      <w:r>
        <w:rPr>
          <w:rFonts w:ascii="Times New Roman" w:hAnsi="Times New Roman"/>
          <w:b/>
          <w:bCs/>
          <w:sz w:val="24"/>
          <w:szCs w:val="24"/>
        </w:rPr>
        <w:t xml:space="preserve"> </w:t>
      </w:r>
    </w:p>
    <w:p w14:paraId="4A944514" w14:textId="77777777" w:rsidR="00111265" w:rsidRDefault="00000000">
      <w:pPr>
        <w:spacing w:line="480" w:lineRule="auto"/>
        <w:rPr>
          <w:rFonts w:ascii="Times New Roman" w:hAnsi="Times New Roman"/>
          <w:b/>
          <w:bCs/>
          <w:sz w:val="24"/>
          <w:szCs w:val="24"/>
        </w:rPr>
      </w:pPr>
      <w:r>
        <w:rPr>
          <w:rFonts w:ascii="Times New Roman" w:hAnsi="Times New Roman"/>
          <w:b/>
          <w:bCs/>
          <w:sz w:val="24"/>
          <w:szCs w:val="24"/>
        </w:rPr>
        <w:br w:type="page"/>
      </w:r>
    </w:p>
    <w:p w14:paraId="352AE54F" w14:textId="77777777" w:rsidR="00111265" w:rsidRDefault="00000000">
      <w:pPr>
        <w:spacing w:line="48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A0EA287" wp14:editId="1D457AE5">
            <wp:extent cx="5039995" cy="2001520"/>
            <wp:effectExtent l="0" t="0" r="8255" b="0"/>
            <wp:docPr id="159590029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00293" name="图片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040000" cy="2001851"/>
                    </a:xfrm>
                    <a:prstGeom prst="rect">
                      <a:avLst/>
                    </a:prstGeom>
                    <a:noFill/>
                  </pic:spPr>
                </pic:pic>
              </a:graphicData>
            </a:graphic>
          </wp:inline>
        </w:drawing>
      </w:r>
    </w:p>
    <w:p w14:paraId="49ABE7C2" w14:textId="77777777" w:rsidR="00111265" w:rsidRDefault="00000000">
      <w:pPr>
        <w:spacing w:line="480" w:lineRule="auto"/>
        <w:rPr>
          <w:rFonts w:ascii="Times New Roman" w:hAnsi="Times New Roman"/>
          <w:b/>
          <w:bCs/>
          <w:sz w:val="24"/>
          <w:szCs w:val="24"/>
        </w:rPr>
      </w:pPr>
      <w:r>
        <w:rPr>
          <w:rFonts w:ascii="Times New Roman" w:hAnsi="Times New Roman"/>
          <w:b/>
          <w:bCs/>
          <w:iCs/>
          <w:sz w:val="24"/>
          <w:szCs w:val="24"/>
        </w:rPr>
        <w:t>Figure S</w:t>
      </w:r>
      <w:r>
        <w:rPr>
          <w:rFonts w:ascii="Times New Roman" w:hAnsi="Times New Roman" w:hint="eastAsia"/>
          <w:b/>
          <w:bCs/>
          <w:iCs/>
          <w:sz w:val="24"/>
          <w:szCs w:val="24"/>
        </w:rPr>
        <w:t>4</w:t>
      </w:r>
      <w:r>
        <w:rPr>
          <w:rFonts w:ascii="Times New Roman" w:hAnsi="Times New Roman"/>
          <w:b/>
          <w:bCs/>
          <w:iCs/>
          <w:sz w:val="24"/>
          <w:szCs w:val="24"/>
        </w:rPr>
        <w:t xml:space="preserve">. </w:t>
      </w:r>
      <w:r>
        <w:rPr>
          <w:rFonts w:ascii="Times New Roman" w:hAnsi="Times New Roman" w:cs="Times New Roman"/>
          <w:bCs/>
          <w:sz w:val="24"/>
        </w:rPr>
        <w:t>Selectivity coefficients of ClO</w:t>
      </w:r>
      <w:r>
        <w:rPr>
          <w:rFonts w:ascii="Times New Roman" w:hAnsi="Times New Roman" w:cs="Times New Roman"/>
          <w:bCs/>
          <w:sz w:val="24"/>
          <w:vertAlign w:val="subscript"/>
        </w:rPr>
        <w:t>4</w:t>
      </w:r>
      <w:r>
        <w:rPr>
          <w:rFonts w:ascii="Times New Roman" w:hAnsi="Times New Roman" w:cs="Times New Roman"/>
          <w:sz w:val="24"/>
          <w:szCs w:val="24"/>
          <w:vertAlign w:val="superscript"/>
        </w:rPr>
        <w:t>−</w:t>
      </w:r>
      <w:r>
        <w:rPr>
          <w:rFonts w:ascii="Times New Roman" w:hAnsi="Times New Roman" w:cs="Times New Roman"/>
          <w:bCs/>
          <w:sz w:val="24"/>
        </w:rPr>
        <w:t xml:space="preserve"> for various oxygenated anions. Experimental condition: anion concentration = 10 mg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bCs/>
          <w:sz w:val="24"/>
        </w:rPr>
        <w:t>adsorbent dosage = 0.4 g L</w:t>
      </w:r>
      <w:r>
        <w:rPr>
          <w:rFonts w:ascii="Times New Roman" w:hAnsi="Times New Roman" w:cs="Times New Roman"/>
          <w:sz w:val="24"/>
          <w:szCs w:val="24"/>
          <w:vertAlign w:val="superscript"/>
        </w:rPr>
        <w:t>−1</w:t>
      </w:r>
      <w:r>
        <w:rPr>
          <w:rFonts w:ascii="Times New Roman" w:hAnsi="Times New Roman" w:cs="Times New Roman"/>
          <w:sz w:val="24"/>
          <w:szCs w:val="24"/>
        </w:rPr>
        <w:t>.</w:t>
      </w:r>
      <w:r>
        <w:rPr>
          <w:rFonts w:ascii="Times New Roman" w:hAnsi="Times New Roman"/>
          <w:b/>
          <w:bCs/>
          <w:sz w:val="24"/>
          <w:szCs w:val="24"/>
        </w:rPr>
        <w:t xml:space="preserve"> </w:t>
      </w:r>
    </w:p>
    <w:p w14:paraId="62E6D212" w14:textId="77777777" w:rsidR="00111265" w:rsidRDefault="00000000">
      <w:pPr>
        <w:spacing w:line="480" w:lineRule="auto"/>
        <w:rPr>
          <w:rFonts w:ascii="Times New Roman" w:hAnsi="Times New Roman"/>
          <w:b/>
          <w:bCs/>
          <w:sz w:val="24"/>
          <w:szCs w:val="24"/>
        </w:rPr>
      </w:pPr>
      <w:r>
        <w:rPr>
          <w:rFonts w:ascii="Times New Roman" w:hAnsi="Times New Roman"/>
          <w:b/>
          <w:bCs/>
          <w:sz w:val="24"/>
          <w:szCs w:val="24"/>
        </w:rPr>
        <w:br w:type="page"/>
      </w:r>
    </w:p>
    <w:p w14:paraId="4C15D926" w14:textId="77777777" w:rsidR="00111265" w:rsidRDefault="00000000">
      <w:pPr>
        <w:spacing w:line="48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0FA1D80" wp14:editId="01AE7830">
            <wp:extent cx="5039995" cy="4550410"/>
            <wp:effectExtent l="0" t="0" r="8255" b="2540"/>
            <wp:docPr id="4500173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17320" name="图片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040000" cy="4550737"/>
                    </a:xfrm>
                    <a:prstGeom prst="rect">
                      <a:avLst/>
                    </a:prstGeom>
                    <a:noFill/>
                  </pic:spPr>
                </pic:pic>
              </a:graphicData>
            </a:graphic>
          </wp:inline>
        </w:drawing>
      </w:r>
    </w:p>
    <w:p w14:paraId="7D38741F" w14:textId="77777777" w:rsidR="00111265" w:rsidRDefault="00000000">
      <w:pPr>
        <w:widowControl/>
        <w:spacing w:line="480" w:lineRule="auto"/>
        <w:jc w:val="left"/>
        <w:outlineLvl w:val="0"/>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5</w:t>
      </w:r>
      <w:r>
        <w:rPr>
          <w:rFonts w:ascii="Times New Roman" w:hAnsi="Times New Roman"/>
          <w:b/>
          <w:bCs/>
          <w:iCs/>
          <w:sz w:val="24"/>
          <w:szCs w:val="24"/>
        </w:rPr>
        <w:t xml:space="preserve">. </w:t>
      </w:r>
      <w:r>
        <w:rPr>
          <w:rFonts w:ascii="Times New Roman" w:hAnsi="Times New Roman"/>
          <w:iCs/>
          <w:sz w:val="24"/>
        </w:rPr>
        <w:t>Measurement of (a) CTAB-MMT, (b) CPC-MMT, (c) PAC and (d) kaolin isoelectric points.</w:t>
      </w:r>
    </w:p>
    <w:p w14:paraId="79CBC9FC"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1A10CB26" w14:textId="77777777" w:rsidR="00111265" w:rsidRDefault="00000000">
      <w:pPr>
        <w:widowControl/>
        <w:jc w:val="center"/>
        <w:rPr>
          <w:rFonts w:ascii="Times New Roman" w:hAnsi="Times New Roman"/>
          <w:b/>
          <w:bCs/>
          <w:sz w:val="24"/>
          <w:szCs w:val="24"/>
        </w:rPr>
      </w:pPr>
      <w:r>
        <w:rPr>
          <w:noProof/>
        </w:rPr>
        <w:lastRenderedPageBreak/>
        <w:drawing>
          <wp:inline distT="0" distB="0" distL="0" distR="0" wp14:anchorId="609D82FD" wp14:editId="15B71AD3">
            <wp:extent cx="3599815" cy="2603500"/>
            <wp:effectExtent l="0" t="0" r="635" b="0"/>
            <wp:docPr id="50757703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577038" name="图片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600000" cy="2603557"/>
                    </a:xfrm>
                    <a:prstGeom prst="rect">
                      <a:avLst/>
                    </a:prstGeom>
                    <a:noFill/>
                    <a:ln>
                      <a:noFill/>
                    </a:ln>
                  </pic:spPr>
                </pic:pic>
              </a:graphicData>
            </a:graphic>
          </wp:inline>
        </w:drawing>
      </w:r>
    </w:p>
    <w:p w14:paraId="114E3B5D"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b/>
          <w:bCs/>
          <w:iCs/>
          <w:sz w:val="24"/>
          <w:szCs w:val="24"/>
        </w:rPr>
        <w:t>Figure S</w:t>
      </w:r>
      <w:r>
        <w:rPr>
          <w:rFonts w:ascii="Times New Roman" w:hAnsi="Times New Roman" w:hint="eastAsia"/>
          <w:b/>
          <w:bCs/>
          <w:iCs/>
          <w:sz w:val="24"/>
          <w:szCs w:val="24"/>
        </w:rPr>
        <w:t>6</w:t>
      </w:r>
      <w:r>
        <w:rPr>
          <w:rFonts w:ascii="Times New Roman" w:hAnsi="Times New Roman"/>
          <w:b/>
          <w:bCs/>
          <w:iCs/>
          <w:sz w:val="24"/>
          <w:szCs w:val="24"/>
        </w:rPr>
        <w:t xml:space="preserve">. </w:t>
      </w:r>
      <w:r>
        <w:rPr>
          <w:rFonts w:ascii="Times New Roman" w:hAnsi="Times New Roman"/>
          <w:iCs/>
          <w:sz w:val="24"/>
        </w:rPr>
        <w:t>Examination of the isoelectric points of (a) CTAB-MMT, (b) CPC-MMT, (c) PAC, and (d) kaolin.</w:t>
      </w:r>
      <w:r>
        <w:rPr>
          <w:rFonts w:ascii="Times New Roman" w:hAnsi="Times New Roman"/>
          <w:b/>
          <w:bCs/>
          <w:sz w:val="24"/>
          <w:szCs w:val="24"/>
        </w:rPr>
        <w:t xml:space="preserve"> </w:t>
      </w:r>
    </w:p>
    <w:p w14:paraId="01480800" w14:textId="77777777" w:rsidR="00111265" w:rsidRDefault="00000000">
      <w:pPr>
        <w:widowControl/>
        <w:spacing w:line="480" w:lineRule="auto"/>
        <w:jc w:val="left"/>
        <w:rPr>
          <w:rFonts w:ascii="Times New Roman" w:hAnsi="Times New Roman"/>
          <w:b/>
          <w:bCs/>
          <w:sz w:val="24"/>
          <w:szCs w:val="24"/>
        </w:rPr>
      </w:pPr>
      <w:r>
        <w:rPr>
          <w:rFonts w:ascii="Times New Roman" w:hAnsi="Times New Roman"/>
          <w:b/>
          <w:bCs/>
          <w:sz w:val="24"/>
          <w:szCs w:val="24"/>
        </w:rPr>
        <w:br w:type="page"/>
      </w:r>
    </w:p>
    <w:p w14:paraId="436797BB" w14:textId="77777777" w:rsidR="00111265" w:rsidRDefault="00000000">
      <w:pPr>
        <w:widowControl/>
        <w:jc w:val="center"/>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2C8CCE3F" wp14:editId="30D10634">
            <wp:extent cx="5039995" cy="2774315"/>
            <wp:effectExtent l="0" t="0" r="8255" b="6985"/>
            <wp:docPr id="161942880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28801" name="图片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040000" cy="2774672"/>
                    </a:xfrm>
                    <a:prstGeom prst="rect">
                      <a:avLst/>
                    </a:prstGeom>
                    <a:noFill/>
                  </pic:spPr>
                </pic:pic>
              </a:graphicData>
            </a:graphic>
          </wp:inline>
        </w:drawing>
      </w:r>
    </w:p>
    <w:p w14:paraId="7834AF75" w14:textId="77777777" w:rsidR="00111265" w:rsidRDefault="00000000">
      <w:pPr>
        <w:widowControl/>
        <w:spacing w:line="480" w:lineRule="auto"/>
        <w:jc w:val="left"/>
        <w:outlineLvl w:val="0"/>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7</w:t>
      </w:r>
      <w:r>
        <w:rPr>
          <w:rFonts w:ascii="Times New Roman" w:hAnsi="Times New Roman"/>
          <w:b/>
          <w:bCs/>
          <w:iCs/>
          <w:sz w:val="24"/>
          <w:szCs w:val="24"/>
        </w:rPr>
        <w:t xml:space="preserve">. </w:t>
      </w:r>
      <w:bookmarkStart w:id="11" w:name="_Hlk153041392"/>
      <w:r>
        <w:rPr>
          <w:rFonts w:ascii="Times New Roman" w:hAnsi="Times New Roman" w:cs="Times New Roman"/>
          <w:bCs/>
          <w:sz w:val="24"/>
        </w:rPr>
        <w:t>(a) Molecular electrostatic potential map of CPC calculated at the B3LYP-D3/6-31G(</w:t>
      </w:r>
      <w:proofErr w:type="spellStart"/>
      <w:proofErr w:type="gramStart"/>
      <w:r>
        <w:rPr>
          <w:rFonts w:ascii="Times New Roman" w:hAnsi="Times New Roman" w:cs="Times New Roman"/>
          <w:bCs/>
          <w:sz w:val="24"/>
        </w:rPr>
        <w:t>d,p</w:t>
      </w:r>
      <w:proofErr w:type="spellEnd"/>
      <w:proofErr w:type="gramEnd"/>
      <w:r>
        <w:rPr>
          <w:rFonts w:ascii="Times New Roman" w:hAnsi="Times New Roman" w:cs="Times New Roman"/>
          <w:bCs/>
          <w:sz w:val="24"/>
        </w:rPr>
        <w:t>) level of theory. (b) Visual representation of weak interactions between CPC and ClO</w:t>
      </w:r>
      <w:r>
        <w:rPr>
          <w:rFonts w:ascii="Times New Roman" w:hAnsi="Times New Roman" w:cs="Times New Roman"/>
          <w:bCs/>
          <w:sz w:val="24"/>
          <w:vertAlign w:val="subscript"/>
        </w:rPr>
        <w:t>4</w:t>
      </w:r>
      <w:r>
        <w:rPr>
          <w:rFonts w:ascii="Times New Roman" w:hAnsi="Times New Roman" w:cs="Times New Roman"/>
          <w:sz w:val="24"/>
          <w:szCs w:val="24"/>
          <w:vertAlign w:val="superscript"/>
        </w:rPr>
        <w:t>−</w:t>
      </w:r>
      <w:r>
        <w:rPr>
          <w:rFonts w:ascii="Times New Roman" w:hAnsi="Times New Roman" w:cs="Times New Roman"/>
          <w:bCs/>
          <w:sz w:val="24"/>
        </w:rPr>
        <w:t>.</w:t>
      </w:r>
      <w:bookmarkEnd w:id="11"/>
    </w:p>
    <w:p w14:paraId="183C0E99"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5308B70F" w14:textId="77777777" w:rsidR="00111265" w:rsidRDefault="00000000">
      <w:pPr>
        <w:spacing w:line="480" w:lineRule="auto"/>
        <w:jc w:val="center"/>
        <w:rPr>
          <w:rFonts w:ascii="Times New Roman" w:hAnsi="Times New Roman" w:cs="Times New Roman"/>
          <w:b/>
          <w:bCs/>
          <w:sz w:val="24"/>
          <w:szCs w:val="24"/>
        </w:rPr>
      </w:pPr>
      <w:r>
        <w:rPr>
          <w:noProof/>
        </w:rPr>
        <w:lastRenderedPageBreak/>
        <w:drawing>
          <wp:inline distT="0" distB="0" distL="0" distR="0" wp14:anchorId="5DE7BF06" wp14:editId="1E98239F">
            <wp:extent cx="3599815" cy="2894965"/>
            <wp:effectExtent l="0" t="0" r="635" b="635"/>
            <wp:docPr id="37643179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31792" name="图片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600000" cy="2895134"/>
                    </a:xfrm>
                    <a:prstGeom prst="rect">
                      <a:avLst/>
                    </a:prstGeom>
                    <a:noFill/>
                    <a:ln>
                      <a:noFill/>
                    </a:ln>
                  </pic:spPr>
                </pic:pic>
              </a:graphicData>
            </a:graphic>
          </wp:inline>
        </w:drawing>
      </w:r>
    </w:p>
    <w:p w14:paraId="10638C20" w14:textId="77777777" w:rsidR="00111265" w:rsidRDefault="00000000">
      <w:pPr>
        <w:widowControl/>
        <w:spacing w:line="480" w:lineRule="auto"/>
        <w:jc w:val="left"/>
        <w:outlineLvl w:val="0"/>
        <w:rPr>
          <w:rFonts w:ascii="Times New Roman" w:hAnsi="Times New Roman" w:cs="Times New Roman"/>
          <w:sz w:val="24"/>
          <w:szCs w:val="24"/>
        </w:rPr>
      </w:pPr>
      <w:r>
        <w:rPr>
          <w:rFonts w:ascii="Times New Roman" w:hAnsi="Times New Roman"/>
          <w:b/>
          <w:bCs/>
          <w:iCs/>
          <w:sz w:val="24"/>
          <w:szCs w:val="24"/>
        </w:rPr>
        <w:t>Figure S</w:t>
      </w:r>
      <w:r>
        <w:rPr>
          <w:rFonts w:ascii="Times New Roman" w:hAnsi="Times New Roman" w:hint="eastAsia"/>
          <w:b/>
          <w:bCs/>
          <w:iCs/>
          <w:sz w:val="24"/>
          <w:szCs w:val="24"/>
        </w:rPr>
        <w:t>8</w:t>
      </w:r>
      <w:r>
        <w:rPr>
          <w:rFonts w:ascii="Times New Roman" w:hAnsi="Times New Roman"/>
          <w:b/>
          <w:bCs/>
          <w:iCs/>
          <w:sz w:val="24"/>
          <w:szCs w:val="24"/>
        </w:rPr>
        <w:t>.</w:t>
      </w:r>
      <w:r>
        <w:rPr>
          <w:rFonts w:ascii="Times New Roman" w:hAnsi="Times New Roman" w:cs="Times New Roman"/>
          <w:sz w:val="24"/>
        </w:rPr>
        <w:t xml:space="preserve"> Removal efficiency of </w:t>
      </w:r>
      <w:r>
        <w:rPr>
          <w:rFonts w:ascii="Times New Roman" w:hAnsi="Times New Roman" w:cs="Times New Roman"/>
          <w:bCs/>
          <w:sz w:val="24"/>
        </w:rPr>
        <w:t>ClO</w:t>
      </w:r>
      <w:r>
        <w:rPr>
          <w:rFonts w:ascii="Times New Roman" w:hAnsi="Times New Roman" w:cs="Times New Roman"/>
          <w:bCs/>
          <w:sz w:val="24"/>
          <w:vertAlign w:val="subscript"/>
        </w:rPr>
        <w:t>4</w:t>
      </w:r>
      <w:r>
        <w:rPr>
          <w:rFonts w:ascii="Times New Roman" w:hAnsi="Times New Roman" w:cs="Times New Roman"/>
          <w:sz w:val="24"/>
          <w:szCs w:val="24"/>
          <w:vertAlign w:val="superscript"/>
        </w:rPr>
        <w:t>−</w:t>
      </w:r>
      <w:r>
        <w:rPr>
          <w:rFonts w:ascii="Times New Roman" w:hAnsi="Times New Roman" w:cs="Times New Roman"/>
          <w:sz w:val="24"/>
        </w:rPr>
        <w:t xml:space="preserve"> by CTAB and CPC. </w:t>
      </w:r>
      <w:r>
        <w:rPr>
          <w:rFonts w:ascii="Times New Roman" w:hAnsi="Times New Roman" w:cs="Times New Roman"/>
          <w:bCs/>
          <w:sz w:val="24"/>
        </w:rPr>
        <w:t>Experimental condition: ClO</w:t>
      </w:r>
      <w:r>
        <w:rPr>
          <w:rFonts w:ascii="Times New Roman" w:hAnsi="Times New Roman" w:cs="Times New Roman"/>
          <w:bCs/>
          <w:sz w:val="24"/>
          <w:vertAlign w:val="subscript"/>
        </w:rPr>
        <w:t>4</w:t>
      </w:r>
      <w:r>
        <w:rPr>
          <w:rFonts w:ascii="Times New Roman" w:hAnsi="Times New Roman" w:cs="Times New Roman"/>
          <w:sz w:val="24"/>
          <w:szCs w:val="24"/>
          <w:vertAlign w:val="superscript"/>
        </w:rPr>
        <w:t>−</w:t>
      </w:r>
      <w:r>
        <w:rPr>
          <w:rFonts w:ascii="Times New Roman" w:hAnsi="Times New Roman" w:cs="Times New Roman"/>
          <w:bCs/>
          <w:sz w:val="24"/>
        </w:rPr>
        <w:t xml:space="preserve"> concentration = 10 mg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bCs/>
          <w:sz w:val="24"/>
        </w:rPr>
        <w:t>adsorbent dosage = 0.4 g L</w:t>
      </w:r>
      <w:r>
        <w:rPr>
          <w:rFonts w:ascii="Times New Roman" w:hAnsi="Times New Roman" w:cs="Times New Roman"/>
          <w:sz w:val="24"/>
          <w:szCs w:val="24"/>
          <w:vertAlign w:val="superscript"/>
        </w:rPr>
        <w:t>−1</w:t>
      </w:r>
      <w:r>
        <w:rPr>
          <w:rFonts w:ascii="Times New Roman" w:hAnsi="Times New Roman" w:cs="Times New Roman"/>
          <w:sz w:val="24"/>
          <w:szCs w:val="24"/>
        </w:rPr>
        <w:t>.</w:t>
      </w:r>
    </w:p>
    <w:p w14:paraId="56035AA6" w14:textId="77777777" w:rsidR="00111265" w:rsidRDefault="00000000">
      <w:pPr>
        <w:widowControl/>
        <w:spacing w:line="480" w:lineRule="auto"/>
        <w:jc w:val="left"/>
        <w:outlineLvl w:val="0"/>
        <w:rPr>
          <w:rFonts w:ascii="Times New Roman" w:hAnsi="Times New Roman"/>
          <w:b/>
          <w:bCs/>
          <w:sz w:val="24"/>
          <w:szCs w:val="24"/>
        </w:rPr>
      </w:pPr>
      <w:r>
        <w:rPr>
          <w:rFonts w:ascii="Times New Roman" w:hAnsi="Times New Roman"/>
          <w:b/>
          <w:bCs/>
          <w:sz w:val="24"/>
          <w:szCs w:val="24"/>
        </w:rPr>
        <w:br w:type="page"/>
      </w:r>
    </w:p>
    <w:p w14:paraId="59B986E4" w14:textId="77777777" w:rsidR="00111265" w:rsidRDefault="00000000">
      <w:pPr>
        <w:jc w:val="center"/>
        <w:rPr>
          <w:rFonts w:hint="eastAsia"/>
        </w:rPr>
      </w:pPr>
      <w:r>
        <w:rPr>
          <w:rFonts w:hint="eastAsia"/>
          <w:noProof/>
        </w:rPr>
        <w:lastRenderedPageBreak/>
        <w:drawing>
          <wp:inline distT="0" distB="0" distL="0" distR="0" wp14:anchorId="4D9B4774" wp14:editId="59110BEC">
            <wp:extent cx="5039995" cy="2803525"/>
            <wp:effectExtent l="0" t="0" r="8255" b="0"/>
            <wp:docPr id="187182003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20035" name="图片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040000" cy="2803556"/>
                    </a:xfrm>
                    <a:prstGeom prst="rect">
                      <a:avLst/>
                    </a:prstGeom>
                    <a:noFill/>
                  </pic:spPr>
                </pic:pic>
              </a:graphicData>
            </a:graphic>
          </wp:inline>
        </w:drawing>
      </w:r>
    </w:p>
    <w:p w14:paraId="3D78CAF2" w14:textId="77777777" w:rsidR="00111265" w:rsidRDefault="00000000">
      <w:pPr>
        <w:widowControl/>
        <w:jc w:val="left"/>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9</w:t>
      </w:r>
      <w:r>
        <w:rPr>
          <w:rFonts w:ascii="Times New Roman" w:hAnsi="Times New Roman"/>
          <w:b/>
          <w:bCs/>
          <w:iCs/>
          <w:sz w:val="24"/>
          <w:szCs w:val="24"/>
        </w:rPr>
        <w:t xml:space="preserve">. </w:t>
      </w:r>
      <w:r>
        <w:rPr>
          <w:rFonts w:ascii="Times New Roman" w:hAnsi="Times New Roman"/>
          <w:iCs/>
          <w:sz w:val="24"/>
        </w:rPr>
        <w:t>TEM image of (a) MMT and (b) modified MMT.</w:t>
      </w:r>
    </w:p>
    <w:p w14:paraId="5E0E71E4"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6B3418B5" w14:textId="77777777" w:rsidR="00111265" w:rsidRDefault="00000000">
      <w:pPr>
        <w:jc w:val="center"/>
        <w:rPr>
          <w:rFonts w:hint="eastAsia"/>
        </w:rPr>
      </w:pPr>
      <w:r>
        <w:rPr>
          <w:rFonts w:hint="eastAsia"/>
          <w:noProof/>
        </w:rPr>
        <w:lastRenderedPageBreak/>
        <w:drawing>
          <wp:inline distT="0" distB="0" distL="0" distR="0" wp14:anchorId="7E035451" wp14:editId="60C6A3BB">
            <wp:extent cx="4319905" cy="5412105"/>
            <wp:effectExtent l="0" t="0" r="4445" b="0"/>
            <wp:docPr id="68237657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76571" name="图片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320000" cy="5412496"/>
                    </a:xfrm>
                    <a:prstGeom prst="rect">
                      <a:avLst/>
                    </a:prstGeom>
                    <a:noFill/>
                  </pic:spPr>
                </pic:pic>
              </a:graphicData>
            </a:graphic>
          </wp:inline>
        </w:drawing>
      </w:r>
    </w:p>
    <w:p w14:paraId="48A4D2A3" w14:textId="77777777" w:rsidR="00111265" w:rsidRDefault="00000000">
      <w:pPr>
        <w:widowControl/>
        <w:jc w:val="left"/>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10</w:t>
      </w:r>
      <w:r>
        <w:rPr>
          <w:rFonts w:ascii="Times New Roman" w:hAnsi="Times New Roman"/>
          <w:b/>
          <w:bCs/>
          <w:iCs/>
          <w:sz w:val="24"/>
          <w:szCs w:val="24"/>
        </w:rPr>
        <w:t>.</w:t>
      </w:r>
      <w:r>
        <w:rPr>
          <w:rFonts w:ascii="Times New Roman" w:hAnsi="Times New Roman"/>
          <w:iCs/>
          <w:sz w:val="24"/>
        </w:rPr>
        <w:t xml:space="preserve"> SEM images of (a) (b) MMT, (c) CTAB-MMT and (d) CPC-MMT.</w:t>
      </w:r>
    </w:p>
    <w:p w14:paraId="76318CDB"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br w:type="page"/>
      </w:r>
    </w:p>
    <w:p w14:paraId="65F59F00" w14:textId="77777777" w:rsidR="00111265" w:rsidRDefault="00000000">
      <w:pPr>
        <w:widowControl/>
        <w:jc w:val="center"/>
        <w:rPr>
          <w:rFonts w:ascii="Times New Roman" w:hAnsi="Times New Roman"/>
          <w:b/>
          <w:bCs/>
          <w:iCs/>
          <w:sz w:val="24"/>
          <w:szCs w:val="24"/>
        </w:rPr>
      </w:pPr>
      <w:r>
        <w:rPr>
          <w:rFonts w:ascii="Times New Roman" w:hAnsi="Times New Roman"/>
          <w:b/>
          <w:bCs/>
          <w:iCs/>
          <w:noProof/>
          <w:sz w:val="24"/>
          <w:szCs w:val="24"/>
        </w:rPr>
        <w:lastRenderedPageBreak/>
        <w:drawing>
          <wp:inline distT="0" distB="0" distL="0" distR="0" wp14:anchorId="3F8423F6" wp14:editId="4B6464D7">
            <wp:extent cx="5039995" cy="2880360"/>
            <wp:effectExtent l="0" t="0" r="8255" b="0"/>
            <wp:docPr id="52793319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33192" name="图片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040000" cy="2880749"/>
                    </a:xfrm>
                    <a:prstGeom prst="rect">
                      <a:avLst/>
                    </a:prstGeom>
                    <a:noFill/>
                  </pic:spPr>
                </pic:pic>
              </a:graphicData>
            </a:graphic>
          </wp:inline>
        </w:drawing>
      </w:r>
    </w:p>
    <w:p w14:paraId="1AE19D24" w14:textId="77777777" w:rsidR="00111265" w:rsidRDefault="00000000">
      <w:pPr>
        <w:widowControl/>
        <w:jc w:val="left"/>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11</w:t>
      </w:r>
      <w:r>
        <w:rPr>
          <w:rFonts w:ascii="Times New Roman" w:hAnsi="Times New Roman"/>
          <w:b/>
          <w:bCs/>
          <w:iCs/>
          <w:sz w:val="24"/>
          <w:szCs w:val="24"/>
        </w:rPr>
        <w:t xml:space="preserve">. </w:t>
      </w:r>
      <w:r>
        <w:rPr>
          <w:rFonts w:ascii="Times New Roman" w:hAnsi="Times New Roman"/>
          <w:iCs/>
          <w:sz w:val="24"/>
        </w:rPr>
        <w:t>N-element EDS plots of (a) CTAB-MMT and (b) CPC-MMT.</w:t>
      </w:r>
    </w:p>
    <w:p w14:paraId="5C563542" w14:textId="77777777" w:rsidR="00111265" w:rsidRDefault="00000000">
      <w:pPr>
        <w:widowControl/>
        <w:jc w:val="left"/>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br w:type="page"/>
      </w:r>
    </w:p>
    <w:p w14:paraId="7246143E" w14:textId="77777777" w:rsidR="00111265" w:rsidRDefault="00000000">
      <w:pPr>
        <w:widowControl/>
        <w:jc w:val="center"/>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657D6917" wp14:editId="17358128">
            <wp:extent cx="5039995" cy="1851660"/>
            <wp:effectExtent l="0" t="0" r="0" b="0"/>
            <wp:docPr id="168807559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75595" name="图片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040000" cy="1852167"/>
                    </a:xfrm>
                    <a:prstGeom prst="rect">
                      <a:avLst/>
                    </a:prstGeom>
                    <a:noFill/>
                  </pic:spPr>
                </pic:pic>
              </a:graphicData>
            </a:graphic>
          </wp:inline>
        </w:drawing>
      </w:r>
    </w:p>
    <w:p w14:paraId="0583849D" w14:textId="77777777" w:rsidR="00111265" w:rsidRDefault="00000000">
      <w:pPr>
        <w:widowControl/>
        <w:spacing w:line="480" w:lineRule="auto"/>
        <w:jc w:val="left"/>
        <w:rPr>
          <w:rFonts w:ascii="Times New Roman" w:hAnsi="Times New Roman"/>
          <w:iCs/>
          <w:sz w:val="24"/>
        </w:rPr>
      </w:pPr>
      <w:r>
        <w:rPr>
          <w:rFonts w:ascii="Times New Roman" w:hAnsi="Times New Roman"/>
          <w:b/>
          <w:bCs/>
          <w:iCs/>
          <w:sz w:val="24"/>
          <w:szCs w:val="24"/>
        </w:rPr>
        <w:t>Figure S</w:t>
      </w:r>
      <w:r>
        <w:rPr>
          <w:rFonts w:ascii="Times New Roman" w:hAnsi="Times New Roman" w:hint="eastAsia"/>
          <w:b/>
          <w:bCs/>
          <w:iCs/>
          <w:sz w:val="24"/>
          <w:szCs w:val="24"/>
        </w:rPr>
        <w:t>12</w:t>
      </w:r>
      <w:r>
        <w:rPr>
          <w:rFonts w:ascii="Times New Roman" w:hAnsi="Times New Roman"/>
          <w:b/>
          <w:bCs/>
          <w:iCs/>
          <w:sz w:val="24"/>
          <w:szCs w:val="24"/>
        </w:rPr>
        <w:t>.</w:t>
      </w:r>
      <w:r>
        <w:rPr>
          <w:rFonts w:ascii="Times New Roman" w:hAnsi="Times New Roman"/>
          <w:b/>
          <w:bCs/>
          <w:sz w:val="24"/>
          <w:szCs w:val="24"/>
        </w:rPr>
        <w:t xml:space="preserve"> </w:t>
      </w:r>
      <w:r>
        <w:rPr>
          <w:rFonts w:ascii="Times New Roman" w:hAnsi="Times New Roman"/>
          <w:iCs/>
          <w:sz w:val="24"/>
        </w:rPr>
        <w:t>Contact angle tests of samples (</w:t>
      </w:r>
      <w:r>
        <w:rPr>
          <w:rFonts w:ascii="Times New Roman" w:hAnsi="Times New Roman" w:hint="eastAsia"/>
          <w:iCs/>
          <w:sz w:val="24"/>
        </w:rPr>
        <w:t>a</w:t>
      </w:r>
      <w:r>
        <w:rPr>
          <w:rFonts w:ascii="Times New Roman" w:hAnsi="Times New Roman"/>
          <w:iCs/>
          <w:sz w:val="24"/>
        </w:rPr>
        <w:t>) MMT, (b) CTAB-MMT and (c) CPC-MMT.</w:t>
      </w:r>
    </w:p>
    <w:p w14:paraId="218338B4" w14:textId="77777777" w:rsidR="00111265" w:rsidRDefault="00000000">
      <w:pPr>
        <w:pStyle w:val="1"/>
        <w:rPr>
          <w:rFonts w:ascii="Times New Roman" w:hAnsi="Times New Roman"/>
          <w:b/>
          <w:bCs/>
          <w:sz w:val="24"/>
          <w:szCs w:val="24"/>
        </w:rPr>
      </w:pPr>
      <w:r>
        <w:rPr>
          <w:rFonts w:ascii="Times New Roman" w:hAnsi="Times New Roman"/>
          <w:b/>
          <w:bCs/>
          <w:sz w:val="24"/>
          <w:szCs w:val="24"/>
        </w:rPr>
        <w:br w:type="page"/>
      </w:r>
    </w:p>
    <w:p w14:paraId="422317AC" w14:textId="77777777" w:rsidR="00111265" w:rsidRDefault="00000000">
      <w:pPr>
        <w:pStyle w:val="1"/>
        <w:jc w:val="center"/>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7AA8A149" wp14:editId="3525AEC4">
            <wp:extent cx="5039995" cy="2271395"/>
            <wp:effectExtent l="0" t="0" r="8255" b="0"/>
            <wp:docPr id="12744197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19717" name="图片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040000" cy="2271938"/>
                    </a:xfrm>
                    <a:prstGeom prst="rect">
                      <a:avLst/>
                    </a:prstGeom>
                    <a:noFill/>
                  </pic:spPr>
                </pic:pic>
              </a:graphicData>
            </a:graphic>
          </wp:inline>
        </w:drawing>
      </w:r>
    </w:p>
    <w:p w14:paraId="575009DC" w14:textId="77777777" w:rsidR="00111265" w:rsidRDefault="00000000">
      <w:pPr>
        <w:widowControl/>
        <w:spacing w:line="480" w:lineRule="auto"/>
        <w:jc w:val="left"/>
        <w:rPr>
          <w:rFonts w:ascii="Times New Roman" w:hAnsi="Times New Roman"/>
          <w:iCs/>
          <w:sz w:val="24"/>
        </w:rPr>
      </w:pPr>
      <w:bookmarkStart w:id="12" w:name="_Hlk169254341"/>
      <w:r>
        <w:rPr>
          <w:rFonts w:ascii="Times New Roman" w:hAnsi="Times New Roman"/>
          <w:b/>
          <w:bCs/>
          <w:iCs/>
          <w:sz w:val="24"/>
          <w:szCs w:val="24"/>
        </w:rPr>
        <w:t>Figure S</w:t>
      </w:r>
      <w:r>
        <w:rPr>
          <w:rFonts w:ascii="Times New Roman" w:hAnsi="Times New Roman" w:hint="eastAsia"/>
          <w:b/>
          <w:bCs/>
          <w:iCs/>
          <w:sz w:val="24"/>
          <w:szCs w:val="24"/>
        </w:rPr>
        <w:t>13</w:t>
      </w:r>
      <w:r>
        <w:rPr>
          <w:rFonts w:ascii="Times New Roman" w:hAnsi="Times New Roman"/>
          <w:b/>
          <w:bCs/>
          <w:iCs/>
          <w:sz w:val="24"/>
          <w:szCs w:val="24"/>
        </w:rPr>
        <w:t>.</w:t>
      </w:r>
      <w:r>
        <w:t xml:space="preserve"> </w:t>
      </w:r>
      <w:r>
        <w:rPr>
          <w:rFonts w:ascii="Times New Roman" w:hAnsi="Times New Roman"/>
          <w:iCs/>
          <w:sz w:val="24"/>
        </w:rPr>
        <w:t xml:space="preserve">(a) </w:t>
      </w:r>
      <w:r>
        <w:rPr>
          <w:rFonts w:ascii="Times New Roman" w:hAnsi="Times New Roman" w:hint="eastAsia"/>
          <w:iCs/>
          <w:sz w:val="24"/>
        </w:rPr>
        <w:t>M</w:t>
      </w:r>
      <w:r>
        <w:rPr>
          <w:rFonts w:ascii="Times New Roman" w:hAnsi="Times New Roman"/>
          <w:iCs/>
          <w:sz w:val="24"/>
        </w:rPr>
        <w:t>ass change and (b) derivative thermogravimetric (DTG) curves of the material.</w:t>
      </w:r>
    </w:p>
    <w:bookmarkEnd w:id="12"/>
    <w:p w14:paraId="349717BC" w14:textId="77777777" w:rsidR="00111265" w:rsidRDefault="00000000">
      <w:pPr>
        <w:pStyle w:val="1"/>
        <w:rPr>
          <w:rFonts w:ascii="Times New Roman" w:hAnsi="Times New Roman"/>
          <w:b/>
          <w:bCs/>
          <w:sz w:val="24"/>
          <w:szCs w:val="24"/>
        </w:rPr>
      </w:pPr>
      <w:r>
        <w:rPr>
          <w:rFonts w:ascii="Times New Roman" w:hAnsi="Times New Roman"/>
          <w:b/>
          <w:bCs/>
          <w:sz w:val="24"/>
          <w:szCs w:val="24"/>
        </w:rPr>
        <w:br w:type="page"/>
      </w:r>
    </w:p>
    <w:p w14:paraId="237666D5" w14:textId="77777777" w:rsidR="00111265" w:rsidRDefault="00000000">
      <w:pPr>
        <w:pStyle w:val="1"/>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5C3CEA" wp14:editId="0699C7DC">
            <wp:extent cx="3602990" cy="3121660"/>
            <wp:effectExtent l="0" t="0" r="0" b="2540"/>
            <wp:docPr id="18010087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008764" name="图片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602990" cy="3121660"/>
                    </a:xfrm>
                    <a:prstGeom prst="rect">
                      <a:avLst/>
                    </a:prstGeom>
                    <a:noFill/>
                  </pic:spPr>
                </pic:pic>
              </a:graphicData>
            </a:graphic>
          </wp:inline>
        </w:drawing>
      </w:r>
    </w:p>
    <w:p w14:paraId="1053C390" w14:textId="77777777" w:rsidR="00111265" w:rsidRDefault="00000000">
      <w:pPr>
        <w:pStyle w:val="1"/>
        <w:spacing w:line="480" w:lineRule="auto"/>
        <w:rPr>
          <w:rFonts w:ascii="Times New Roman" w:hAnsi="Times New Roman" w:cs="Times New Roman"/>
          <w:sz w:val="24"/>
          <w:szCs w:val="24"/>
        </w:rPr>
      </w:pPr>
      <w:r>
        <w:rPr>
          <w:rFonts w:ascii="Times New Roman" w:hAnsi="Times New Roman"/>
          <w:b/>
          <w:bCs/>
          <w:iCs/>
          <w:sz w:val="24"/>
          <w:szCs w:val="24"/>
        </w:rPr>
        <w:t>Figure S1</w:t>
      </w:r>
      <w:r>
        <w:rPr>
          <w:rFonts w:ascii="Times New Roman" w:hAnsi="Times New Roman" w:hint="eastAsia"/>
          <w:b/>
          <w:bCs/>
          <w:iCs/>
          <w:sz w:val="24"/>
          <w:szCs w:val="24"/>
        </w:rPr>
        <w:t>4</w:t>
      </w:r>
      <w:r>
        <w:rPr>
          <w:rFonts w:ascii="Times New Roman" w:hAnsi="Times New Roman"/>
          <w:b/>
          <w:bCs/>
          <w:iCs/>
          <w:sz w:val="24"/>
          <w:szCs w:val="24"/>
        </w:rPr>
        <w:t xml:space="preserve">. </w:t>
      </w:r>
      <w:r>
        <w:rPr>
          <w:rFonts w:ascii="Times New Roman" w:hAnsi="Times New Roman" w:cs="Times New Roman"/>
          <w:sz w:val="24"/>
          <w:szCs w:val="24"/>
        </w:rPr>
        <w:t xml:space="preserve">XRD analysis of MMT, CTAB-MMT and CPC-MMT. </w:t>
      </w:r>
      <w:r>
        <w:rPr>
          <w:rFonts w:ascii="Times New Roman" w:hAnsi="Times New Roman" w:cs="Times New Roman"/>
          <w:bCs/>
          <w:sz w:val="24"/>
        </w:rPr>
        <w:t>Experimental condition:</w:t>
      </w:r>
      <w:r>
        <w:rPr>
          <w:rFonts w:ascii="Times New Roman" w:hAnsi="Times New Roman" w:cs="Times New Roman"/>
          <w:sz w:val="24"/>
          <w:szCs w:val="24"/>
        </w:rPr>
        <w:t xml:space="preserve"> Range = 0-90 </w:t>
      </w:r>
      <w:r>
        <w:rPr>
          <w:rFonts w:ascii="Times New Roman" w:hAnsi="Times New Roman" w:cs="Times New Roman"/>
          <w:sz w:val="24"/>
          <w:szCs w:val="24"/>
          <w:vertAlign w:val="superscript"/>
        </w:rPr>
        <w:t>o</w:t>
      </w:r>
      <w:r>
        <w:rPr>
          <w:rFonts w:ascii="Times New Roman" w:hAnsi="Times New Roman" w:cs="Times New Roman"/>
          <w:sz w:val="24"/>
          <w:szCs w:val="24"/>
        </w:rPr>
        <w:t xml:space="preserve">, Rate = 5 </w:t>
      </w:r>
      <w:r>
        <w:rPr>
          <w:rFonts w:ascii="Times New Roman" w:hAnsi="Times New Roman" w:cs="Times New Roman"/>
          <w:sz w:val="24"/>
          <w:szCs w:val="24"/>
          <w:vertAlign w:val="superscript"/>
        </w:rPr>
        <w:t>o</w:t>
      </w:r>
      <w:r>
        <w:rPr>
          <w:rFonts w:ascii="Times New Roman" w:hAnsi="Times New Roman" w:cs="Times New Roman"/>
          <w:sz w:val="24"/>
          <w:szCs w:val="24"/>
        </w:rPr>
        <w:t xml:space="preserve"> min</w:t>
      </w:r>
      <w:bookmarkStart w:id="13" w:name="_Hlk153278987"/>
      <w:r>
        <w:rPr>
          <w:rFonts w:ascii="Times New Roman" w:hAnsi="Times New Roman" w:cs="Times New Roman"/>
          <w:bCs/>
          <w:sz w:val="24"/>
          <w:vertAlign w:val="superscript"/>
        </w:rPr>
        <w:t>−1</w:t>
      </w:r>
      <w:bookmarkEnd w:id="13"/>
      <w:r>
        <w:rPr>
          <w:rFonts w:ascii="Times New Roman" w:hAnsi="Times New Roman" w:cs="Times New Roman"/>
          <w:bCs/>
          <w:sz w:val="24"/>
        </w:rPr>
        <w:t>.</w:t>
      </w:r>
    </w:p>
    <w:p w14:paraId="7882180B" w14:textId="77777777" w:rsidR="00111265" w:rsidRDefault="00000000">
      <w:pPr>
        <w:pStyle w:val="1"/>
        <w:rPr>
          <w:rFonts w:ascii="Times New Roman" w:hAnsi="Times New Roman"/>
          <w:b/>
          <w:bCs/>
          <w:sz w:val="24"/>
          <w:szCs w:val="24"/>
        </w:rPr>
      </w:pPr>
      <w:r>
        <w:rPr>
          <w:rFonts w:ascii="Times New Roman" w:hAnsi="Times New Roman"/>
          <w:b/>
          <w:bCs/>
          <w:sz w:val="24"/>
          <w:szCs w:val="24"/>
        </w:rPr>
        <w:br w:type="page"/>
      </w:r>
    </w:p>
    <w:p w14:paraId="31E148B2" w14:textId="77777777" w:rsidR="00111265" w:rsidRDefault="00000000">
      <w:pPr>
        <w:pStyle w:val="1"/>
        <w:jc w:val="center"/>
        <w:rPr>
          <w:rFonts w:hint="eastAsia"/>
        </w:rPr>
      </w:pPr>
      <w:r>
        <w:rPr>
          <w:rFonts w:hint="eastAsia"/>
          <w:noProof/>
        </w:rPr>
        <w:lastRenderedPageBreak/>
        <w:drawing>
          <wp:inline distT="0" distB="0" distL="0" distR="0" wp14:anchorId="5494F74C" wp14:editId="71DFF72C">
            <wp:extent cx="5039995" cy="1969135"/>
            <wp:effectExtent l="0" t="0" r="8255" b="0"/>
            <wp:docPr id="47977197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71975" name="图片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040000" cy="1969171"/>
                    </a:xfrm>
                    <a:prstGeom prst="rect">
                      <a:avLst/>
                    </a:prstGeom>
                    <a:noFill/>
                  </pic:spPr>
                </pic:pic>
              </a:graphicData>
            </a:graphic>
          </wp:inline>
        </w:drawing>
      </w:r>
    </w:p>
    <w:p w14:paraId="2AAEA151" w14:textId="77777777" w:rsidR="00111265" w:rsidRDefault="00000000">
      <w:pPr>
        <w:pStyle w:val="1"/>
        <w:spacing w:line="480" w:lineRule="auto"/>
        <w:rPr>
          <w:rFonts w:ascii="Times New Roman" w:hAnsi="Times New Roman"/>
          <w:b/>
          <w:bCs/>
          <w:sz w:val="24"/>
          <w:szCs w:val="24"/>
        </w:rPr>
      </w:pPr>
      <w:r>
        <w:rPr>
          <w:rFonts w:ascii="Times New Roman" w:hAnsi="Times New Roman" w:cs="Times New Roman"/>
          <w:b/>
          <w:sz w:val="24"/>
        </w:rPr>
        <w:t>Figure S1</w:t>
      </w:r>
      <w:r>
        <w:rPr>
          <w:rFonts w:ascii="Times New Roman" w:hAnsi="Times New Roman" w:cs="Times New Roman" w:hint="eastAsia"/>
          <w:b/>
          <w:sz w:val="24"/>
        </w:rPr>
        <w:t>5</w:t>
      </w:r>
      <w:r>
        <w:rPr>
          <w:rFonts w:ascii="Times New Roman" w:hAnsi="Times New Roman" w:cs="Times New Roman"/>
          <w:b/>
          <w:sz w:val="24"/>
        </w:rPr>
        <w:t>.</w:t>
      </w:r>
      <w:r>
        <w:rPr>
          <w:rFonts w:ascii="Times New Roman" w:hAnsi="Times New Roman" w:cs="Times New Roman"/>
          <w:bCs/>
          <w:sz w:val="24"/>
        </w:rPr>
        <w:t xml:space="preserve"> (a)</w:t>
      </w:r>
      <w:r>
        <w:rPr>
          <w:rFonts w:ascii="Times New Roman" w:hAnsi="Times New Roman" w:cs="Times New Roman"/>
          <w:b/>
          <w:sz w:val="24"/>
        </w:rPr>
        <w:t xml:space="preserve"> </w:t>
      </w:r>
      <w:r>
        <w:rPr>
          <w:rFonts w:ascii="Times New Roman" w:hAnsi="Times New Roman" w:cs="Times New Roman"/>
          <w:bCs/>
          <w:sz w:val="24"/>
        </w:rPr>
        <w:t>Regeneration adsorption of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with CPC-MMT over 20 cycles, including the concurrent mass loss of CPC-MMT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concentration = 500 </w:t>
      </w:r>
      <w:proofErr w:type="spellStart"/>
      <w:r>
        <w:rPr>
          <w:rFonts w:ascii="Times New Roman" w:hAnsi="Times New Roman" w:cs="Times New Roman"/>
          <w:bCs/>
          <w:sz w:val="24"/>
        </w:rPr>
        <w:t>μg</w:t>
      </w:r>
      <w:proofErr w:type="spellEnd"/>
      <w:r>
        <w:rPr>
          <w:rFonts w:ascii="Times New Roman" w:hAnsi="Times New Roman" w:cs="Times New Roman"/>
          <w:bCs/>
          <w:sz w:val="24"/>
        </w:rPr>
        <w:t xml:space="preserve"> L</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Pr>
          <w:rFonts w:ascii="Times New Roman" w:hAnsi="Times New Roman" w:cs="Times New Roman"/>
          <w:bCs/>
          <w:sz w:val="24"/>
        </w:rPr>
        <w:t>adsorbent dosage = 0.1 g L</w:t>
      </w:r>
      <w:r>
        <w:rPr>
          <w:rFonts w:ascii="Times New Roman" w:hAnsi="Times New Roman" w:cs="Times New Roman"/>
          <w:sz w:val="24"/>
          <w:szCs w:val="24"/>
          <w:vertAlign w:val="superscript"/>
        </w:rPr>
        <w:t>−1</w:t>
      </w:r>
      <w:r>
        <w:rPr>
          <w:rFonts w:ascii="Times New Roman" w:hAnsi="Times New Roman" w:cs="Times New Roman"/>
          <w:bCs/>
          <w:sz w:val="24"/>
        </w:rPr>
        <w:t>). (b)</w:t>
      </w:r>
      <w:r>
        <w:t xml:space="preserve"> </w:t>
      </w:r>
      <w:r>
        <w:rPr>
          <w:rFonts w:ascii="Times New Roman" w:hAnsi="Times New Roman" w:cs="Times New Roman"/>
          <w:bCs/>
          <w:sz w:val="24"/>
        </w:rPr>
        <w:t>Breakthrough curve for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adsorption on a CPC-MMT packed column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concentration = 500 </w:t>
      </w:r>
      <w:proofErr w:type="spellStart"/>
      <w:r>
        <w:rPr>
          <w:rFonts w:ascii="Times New Roman" w:hAnsi="Times New Roman" w:cs="Times New Roman"/>
          <w:bCs/>
          <w:sz w:val="24"/>
        </w:rPr>
        <w:t>μg</w:t>
      </w:r>
      <w:proofErr w:type="spellEnd"/>
      <w:r>
        <w:rPr>
          <w:rFonts w:ascii="Times New Roman" w:hAnsi="Times New Roman" w:cs="Times New Roman"/>
          <w:bCs/>
          <w:sz w:val="24"/>
        </w:rPr>
        <w:t xml:space="preserve"> L</w:t>
      </w:r>
      <w:r>
        <w:rPr>
          <w:rFonts w:ascii="Times New Roman" w:hAnsi="Times New Roman" w:cs="Times New Roman"/>
          <w:sz w:val="24"/>
          <w:szCs w:val="24"/>
          <w:vertAlign w:val="superscript"/>
        </w:rPr>
        <w:t>−1</w:t>
      </w:r>
      <w:r>
        <w:rPr>
          <w:rFonts w:ascii="Times New Roman" w:hAnsi="Times New Roman" w:cs="Times New Roman"/>
          <w:bCs/>
          <w:sz w:val="24"/>
        </w:rPr>
        <w:t>), with a subgraph illustrating ClO</w:t>
      </w:r>
      <w:r>
        <w:rPr>
          <w:rFonts w:ascii="Times New Roman" w:hAnsi="Times New Roman" w:cs="Times New Roman"/>
          <w:bCs/>
          <w:sz w:val="24"/>
          <w:vertAlign w:val="subscript"/>
        </w:rPr>
        <w:t>4</w:t>
      </w:r>
      <w:r>
        <w:rPr>
          <w:rFonts w:ascii="Times New Roman" w:hAnsi="Times New Roman" w:cs="Times New Roman"/>
          <w:bCs/>
          <w:sz w:val="24"/>
          <w:vertAlign w:val="superscript"/>
        </w:rPr>
        <w:t>−</w:t>
      </w:r>
      <w:r>
        <w:rPr>
          <w:rFonts w:ascii="Times New Roman" w:hAnsi="Times New Roman" w:cs="Times New Roman"/>
          <w:bCs/>
          <w:sz w:val="24"/>
        </w:rPr>
        <w:t xml:space="preserve"> desorption using 0.1 M NaOH thiourea eluent in saturated CPC-MMT.</w:t>
      </w:r>
      <w:r>
        <w:rPr>
          <w:rFonts w:ascii="Times New Roman" w:hAnsi="Times New Roman"/>
          <w:b/>
          <w:bCs/>
          <w:sz w:val="24"/>
          <w:szCs w:val="24"/>
        </w:rPr>
        <w:t xml:space="preserve"> </w:t>
      </w:r>
      <w:bookmarkEnd w:id="0"/>
    </w:p>
    <w:p w14:paraId="086F734D" w14:textId="77777777" w:rsidR="00111265" w:rsidRDefault="00000000">
      <w:pPr>
        <w:pStyle w:val="1"/>
        <w:rPr>
          <w:rFonts w:ascii="Times New Roman" w:hAnsi="Times New Roman"/>
          <w:b/>
          <w:bCs/>
          <w:sz w:val="24"/>
          <w:szCs w:val="24"/>
        </w:rPr>
      </w:pPr>
      <w:r>
        <w:rPr>
          <w:rFonts w:ascii="Times New Roman" w:hAnsi="Times New Roman"/>
          <w:b/>
          <w:bCs/>
          <w:sz w:val="24"/>
          <w:szCs w:val="24"/>
        </w:rPr>
        <w:br w:type="page"/>
      </w:r>
    </w:p>
    <w:p w14:paraId="36A70067" w14:textId="77777777" w:rsidR="00111265" w:rsidRDefault="00000000">
      <w:pPr>
        <w:pStyle w:val="1"/>
        <w:spacing w:line="480" w:lineRule="auto"/>
        <w:jc w:val="center"/>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381A47A6" wp14:editId="633B7E19">
            <wp:extent cx="2879725" cy="3218180"/>
            <wp:effectExtent l="0" t="0" r="0" b="1270"/>
            <wp:docPr id="19856947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94714" name="图片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80000" cy="3218416"/>
                    </a:xfrm>
                    <a:prstGeom prst="rect">
                      <a:avLst/>
                    </a:prstGeom>
                    <a:noFill/>
                    <a:ln>
                      <a:noFill/>
                    </a:ln>
                  </pic:spPr>
                </pic:pic>
              </a:graphicData>
            </a:graphic>
          </wp:inline>
        </w:drawing>
      </w:r>
    </w:p>
    <w:p w14:paraId="3FC7486F" w14:textId="77777777" w:rsidR="00111265" w:rsidRDefault="00111265">
      <w:pPr>
        <w:pStyle w:val="1"/>
        <w:spacing w:line="480" w:lineRule="auto"/>
        <w:jc w:val="center"/>
        <w:rPr>
          <w:rFonts w:ascii="Times New Roman" w:hAnsi="Times New Roman"/>
          <w:b/>
          <w:bCs/>
          <w:sz w:val="24"/>
          <w:szCs w:val="24"/>
        </w:rPr>
      </w:pPr>
    </w:p>
    <w:p w14:paraId="5B329C12" w14:textId="77777777" w:rsidR="00111265" w:rsidRDefault="00000000">
      <w:pPr>
        <w:widowControl/>
        <w:jc w:val="left"/>
        <w:rPr>
          <w:rFonts w:ascii="Times New Roman" w:hAnsi="Times New Roman"/>
          <w:iCs/>
          <w:sz w:val="24"/>
        </w:rPr>
      </w:pPr>
      <w:bookmarkStart w:id="14" w:name="_Hlk169254844"/>
      <w:r>
        <w:rPr>
          <w:rFonts w:ascii="Times New Roman" w:hAnsi="Times New Roman"/>
          <w:b/>
          <w:bCs/>
          <w:iCs/>
          <w:sz w:val="24"/>
          <w:szCs w:val="24"/>
        </w:rPr>
        <w:t>Figure S</w:t>
      </w:r>
      <w:r>
        <w:rPr>
          <w:rFonts w:ascii="Times New Roman" w:hAnsi="Times New Roman" w:hint="eastAsia"/>
          <w:b/>
          <w:bCs/>
          <w:iCs/>
          <w:sz w:val="24"/>
          <w:szCs w:val="24"/>
        </w:rPr>
        <w:t>16</w:t>
      </w:r>
      <w:r>
        <w:rPr>
          <w:rFonts w:ascii="Times New Roman" w:hAnsi="Times New Roman"/>
          <w:b/>
          <w:bCs/>
          <w:iCs/>
          <w:sz w:val="24"/>
          <w:szCs w:val="24"/>
        </w:rPr>
        <w:t>.</w:t>
      </w:r>
      <w:r>
        <w:rPr>
          <w:rFonts w:ascii="Times New Roman" w:hAnsi="Times New Roman"/>
          <w:iCs/>
          <w:sz w:val="24"/>
        </w:rPr>
        <w:t xml:space="preserve"> </w:t>
      </w:r>
      <w:r>
        <w:rPr>
          <w:rFonts w:ascii="Times New Roman" w:hAnsi="Times New Roman"/>
          <w:sz w:val="24"/>
          <w:szCs w:val="24"/>
        </w:rPr>
        <w:t>SEM images of CTAB-MMT after 20 adsorption-desorption cycles.</w:t>
      </w:r>
    </w:p>
    <w:bookmarkEnd w:id="14"/>
    <w:p w14:paraId="3F9A3EE6" w14:textId="77777777" w:rsidR="00111265" w:rsidRDefault="00000000">
      <w:pPr>
        <w:pStyle w:val="1"/>
        <w:rPr>
          <w:rFonts w:ascii="Times New Roman" w:hAnsi="Times New Roman"/>
          <w:b/>
          <w:bCs/>
          <w:sz w:val="24"/>
          <w:szCs w:val="24"/>
        </w:rPr>
      </w:pPr>
      <w:r>
        <w:rPr>
          <w:rFonts w:ascii="Times New Roman" w:hAnsi="Times New Roman"/>
          <w:b/>
          <w:bCs/>
          <w:sz w:val="24"/>
          <w:szCs w:val="24"/>
        </w:rPr>
        <w:br w:type="page"/>
      </w:r>
    </w:p>
    <w:p w14:paraId="1B6BC7A9" w14:textId="77777777" w:rsidR="00111265" w:rsidRDefault="00000000">
      <w:pPr>
        <w:pStyle w:val="1"/>
        <w:spacing w:line="480" w:lineRule="auto"/>
        <w:jc w:val="center"/>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7C617A44" wp14:editId="429C8634">
            <wp:extent cx="3599815" cy="3129280"/>
            <wp:effectExtent l="0" t="0" r="635" b="0"/>
            <wp:docPr id="18783094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09413" name="图片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3600000" cy="3129681"/>
                    </a:xfrm>
                    <a:prstGeom prst="rect">
                      <a:avLst/>
                    </a:prstGeom>
                    <a:noFill/>
                  </pic:spPr>
                </pic:pic>
              </a:graphicData>
            </a:graphic>
          </wp:inline>
        </w:drawing>
      </w:r>
    </w:p>
    <w:p w14:paraId="10D76A86" w14:textId="77777777" w:rsidR="00111265" w:rsidRDefault="00000000">
      <w:pPr>
        <w:pStyle w:val="1"/>
        <w:spacing w:line="480" w:lineRule="auto"/>
        <w:rPr>
          <w:rFonts w:ascii="Times New Roman" w:hAnsi="Times New Roman"/>
          <w:b/>
          <w:bCs/>
          <w:sz w:val="24"/>
          <w:szCs w:val="24"/>
        </w:rPr>
      </w:pPr>
      <w:bookmarkStart w:id="15" w:name="_Hlk169254877"/>
      <w:r>
        <w:rPr>
          <w:rFonts w:ascii="Times New Roman" w:hAnsi="Times New Roman"/>
          <w:b/>
          <w:bCs/>
          <w:iCs/>
          <w:sz w:val="24"/>
          <w:szCs w:val="24"/>
        </w:rPr>
        <w:t>Figure S</w:t>
      </w:r>
      <w:r>
        <w:rPr>
          <w:rFonts w:ascii="Times New Roman" w:hAnsi="Times New Roman" w:hint="eastAsia"/>
          <w:b/>
          <w:bCs/>
          <w:iCs/>
          <w:sz w:val="24"/>
          <w:szCs w:val="24"/>
        </w:rPr>
        <w:t>17</w:t>
      </w:r>
      <w:r>
        <w:rPr>
          <w:rFonts w:ascii="Times New Roman" w:hAnsi="Times New Roman"/>
          <w:b/>
          <w:bCs/>
          <w:iCs/>
          <w:sz w:val="24"/>
          <w:szCs w:val="24"/>
        </w:rPr>
        <w:t>.</w:t>
      </w:r>
      <w:r>
        <w:rPr>
          <w:rFonts w:ascii="Times New Roman" w:hAnsi="Times New Roman"/>
          <w:iCs/>
          <w:sz w:val="24"/>
        </w:rPr>
        <w:t xml:space="preserve"> </w:t>
      </w:r>
      <w:r>
        <w:rPr>
          <w:rFonts w:ascii="Times New Roman" w:hAnsi="Times New Roman"/>
          <w:sz w:val="24"/>
          <w:szCs w:val="24"/>
        </w:rPr>
        <w:t>FTIR analysis of CTAB-MMT before and after 20 adsorption-desorption cycles.</w:t>
      </w:r>
      <w:bookmarkEnd w:id="15"/>
      <w:r>
        <w:rPr>
          <w:rFonts w:ascii="Times New Roman" w:hAnsi="Times New Roman"/>
          <w:b/>
          <w:bCs/>
          <w:sz w:val="24"/>
          <w:szCs w:val="24"/>
        </w:rPr>
        <w:t xml:space="preserve"> </w:t>
      </w:r>
    </w:p>
    <w:p w14:paraId="331E5F23" w14:textId="77777777" w:rsidR="00111265" w:rsidRDefault="00000000">
      <w:pPr>
        <w:pStyle w:val="1"/>
        <w:spacing w:line="480" w:lineRule="auto"/>
        <w:rPr>
          <w:rFonts w:ascii="Times New Roman" w:hAnsi="Times New Roman"/>
          <w:b/>
          <w:bCs/>
          <w:sz w:val="24"/>
          <w:szCs w:val="24"/>
        </w:rPr>
      </w:pPr>
      <w:r>
        <w:rPr>
          <w:rFonts w:ascii="Times New Roman" w:hAnsi="Times New Roman"/>
          <w:b/>
          <w:bCs/>
          <w:sz w:val="24"/>
          <w:szCs w:val="24"/>
        </w:rPr>
        <w:br w:type="page"/>
      </w:r>
    </w:p>
    <w:p w14:paraId="2F348DFE" w14:textId="77777777" w:rsidR="00111265" w:rsidRDefault="00000000">
      <w:pPr>
        <w:pStyle w:val="EndNoteCategoryHeading"/>
        <w:rPr>
          <w:rFonts w:ascii="Times New Roman" w:eastAsia="等线" w:hAnsi="Times New Roman" w:cs="Times New Roman"/>
          <w:bCs/>
          <w:sz w:val="24"/>
        </w:rPr>
      </w:pPr>
      <w:bookmarkStart w:id="16" w:name="_Hlk169267226"/>
      <w:r>
        <w:rPr>
          <w:rFonts w:ascii="Times New Roman" w:eastAsia="等线" w:hAnsi="Times New Roman" w:cs="Times New Roman"/>
          <w:bCs/>
          <w:sz w:val="24"/>
        </w:rPr>
        <w:lastRenderedPageBreak/>
        <w:t>References</w:t>
      </w:r>
      <w:bookmarkEnd w:id="16"/>
    </w:p>
    <w:p w14:paraId="0E381FAB" w14:textId="77777777" w:rsidR="00111265" w:rsidRDefault="00000000">
      <w:pPr>
        <w:pStyle w:val="EndNoteBibliography"/>
        <w:spacing w:line="480" w:lineRule="auto"/>
        <w:jc w:val="both"/>
        <w:rPr>
          <w:rFonts w:ascii="Times New Roman" w:hAnsi="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ADDIN EN.REFLIST </w:instrText>
      </w:r>
      <w:r>
        <w:rPr>
          <w:rFonts w:ascii="Times New Roman" w:hAnsi="Times New Roman" w:cs="Times New Roman"/>
          <w:sz w:val="24"/>
        </w:rPr>
        <w:fldChar w:fldCharType="separate"/>
      </w:r>
      <w:r>
        <w:rPr>
          <w:rFonts w:ascii="Times New Roman" w:hAnsi="Times New Roman"/>
          <w:sz w:val="24"/>
        </w:rPr>
        <w:t>[1] Fang Q, Chen B, Zhuang S. Triplex blue-shifting hydrogen bonds of ClO4–··· H–C in the nanointerlayer of montmorillonite complexed with cetyltrimethylammonium cation from hydrophilic to hydrophobic properties. Environmental science &amp; technology. 2013, 47: 11013-22.</w:t>
      </w:r>
    </w:p>
    <w:p w14:paraId="1A23A729"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[2] Wang Y, Xiao Y, Wang Y, Lin Q, Zhu Y, Ni Z et al. Electroreductive Defluorination of Unsaturated PFAS by a Quaternary Ammonium Surfactant-Modified Cathode via Direct Cathodic Reduction. Environmental science &amp; technology. 2023, 57: 7578-89.</w:t>
      </w:r>
    </w:p>
    <w:p w14:paraId="64D080AC"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[3] Lu T, Chen F. Multiwfn: A multifunctional wavefunction analyzer. Journal of computational chemistry. 2012, 33: 580-92.</w:t>
      </w:r>
    </w:p>
    <w:p w14:paraId="2DE529D7"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[4] Yu X, Zhang J, Zheng Y. Perchlorate adsorption onto epichlorohydrin crosslinked chitosan hydrogel beads. Science of the Total Environment. 2021, 761: 143236.</w:t>
      </w:r>
    </w:p>
    <w:p w14:paraId="4B82F166"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[5] Xie Y, Li S, Wang F, Liu G. Removal of perchlorate from aqueous solution using protonated cross-linked chitosan. Chemical Engineering Journal. 2010, 156: 56-63.</w:t>
      </w:r>
    </w:p>
    <w:p w14:paraId="7973BD27"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[6] Lv L, Xie Y, Liu G, Liu G, Yu J. Removal of perchlorate from aqueous solution by cross-linked Fe (III)-chitosan complex. Journal of Environmental Sciences. 2014, 26: 792-800.</w:t>
      </w:r>
    </w:p>
    <w:p w14:paraId="682C7EF8"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[7] Mahmudov R, Huang CP. Perchlorate removal by activated carbon adsorption. Separation and Purification Technology. 2010, 70: 329-37.</w:t>
      </w:r>
    </w:p>
    <w:p w14:paraId="0E0FEF66"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[8] Kumar E, Bhatnagar A, Choi J-A, Kumar U, Min B, Kim Y et al. Perchlorate removal from aqueous solutions by granular ferric hydroxide (GFH). Chemical Engineering Journal. 2010, 159: 84-90.</w:t>
      </w:r>
    </w:p>
    <w:p w14:paraId="145FE6D6"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lastRenderedPageBreak/>
        <w:t>[9] Yoon I-H, Meng X, Wang C, Kim K-W, Bang S, Choe E et al. Perchlorate adsorption and desorption on activated carbon and anion exchange resin. Journal of hazardous materials. 2009, 164: 87-94.</w:t>
      </w:r>
    </w:p>
    <w:p w14:paraId="3E275DDC"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[10] Xu J, Gao N, Zhao D, An N, Li L, Xiao J. Bromate reduction and reaction-enhanced perchlorate adsorption by FeCl3-impregnated granular activated carbon. Water research. 2019, 149: 149-58.</w:t>
      </w:r>
    </w:p>
    <w:p w14:paraId="07488AA8" w14:textId="77777777" w:rsidR="00111265" w:rsidRDefault="00000000">
      <w:pPr>
        <w:pStyle w:val="EndNoteBibliography"/>
        <w:spacing w:line="480" w:lineRule="auto"/>
        <w:jc w:val="both"/>
        <w:rPr>
          <w:rFonts w:ascii="Times New Roman" w:hAnsi="Times New Roman"/>
          <w:sz w:val="24"/>
        </w:rPr>
      </w:pPr>
      <w:r>
        <w:rPr>
          <w:rFonts w:ascii="Times New Roman" w:hAnsi="Times New Roman"/>
          <w:sz w:val="24"/>
        </w:rPr>
        <w:t>[11] Chen W, Cannon FS, Rangel-Mendez JR. Ammonia-tailoring of GAC to enhance perchlorate removal. II: Perchlorate adsorption. Carbon. 2005, 43: 581-90.</w:t>
      </w:r>
    </w:p>
    <w:p w14:paraId="04FBF852" w14:textId="77777777" w:rsidR="00111265" w:rsidRDefault="00000000">
      <w:pPr>
        <w:pStyle w:val="EndNoteBibliography"/>
        <w:spacing w:line="480" w:lineRule="auto"/>
        <w:jc w:val="both"/>
        <w:rPr>
          <w:rFonts w:ascii="Times New Roman" w:hAnsi="Times New Roman"/>
          <w:iCs/>
          <w:sz w:val="24"/>
        </w:rPr>
      </w:pPr>
      <w:r>
        <w:rPr>
          <w:rFonts w:ascii="Times New Roman" w:hAnsi="Times New Roman" w:cs="Times New Roman"/>
          <w:sz w:val="24"/>
        </w:rPr>
        <w:fldChar w:fldCharType="end"/>
      </w:r>
    </w:p>
    <w:sectPr w:rsidR="001112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MingLiU">
    <w:altName w:val="新細明體"/>
    <w:panose1 w:val="02010601000101010101"/>
    <w:charset w:val="00"/>
    <w:family w:val="auto"/>
    <w:pitch w:val="default"/>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0MDY2NDM3sDAwNTJV0lEKTi0uzszPAykwrAUAcDpv5iwAAAA="/>
    <w:docVar w:name="commondata" w:val="eyJoZGlkIjoiZTNiMmJjMGUyMDNhMGI0MjllZTc4OTE3ODRjOTBjMWQifQ=="/>
    <w:docVar w:name="EN.InstantFormat" w:val="&lt;ENInstantFormat&gt;&lt;Enabled&gt;1&lt;/Enabled&gt;&lt;ScanUnformatted&gt;1&lt;/ScanUnformatted&gt;&lt;ScanChanges&gt;1&lt;/ScanChanges&gt;&lt;Suspended&gt;0&lt;/Suspended&gt;&lt;/ENInstantFormat&gt;"/>
    <w:docVar w:name="EN.Layout" w:val="&lt;ENLayout&gt;&lt;Style&gt;Engineering &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s0ww0fvl5t5rweattnvfer0x0xre9zxse2p&quot;&gt;My EndNote Library2&lt;record-ids&gt;&lt;item&gt;63&lt;/item&gt;&lt;item&gt;65&lt;/item&gt;&lt;item&gt;67&lt;/item&gt;&lt;item&gt;69&lt;/item&gt;&lt;item&gt;71&lt;/item&gt;&lt;item&gt;73&lt;/item&gt;&lt;item&gt;75&lt;/item&gt;&lt;item&gt;77&lt;/item&gt;&lt;/record-ids&gt;&lt;/item&gt;&lt;/Libraries&gt;"/>
  </w:docVars>
  <w:rsids>
    <w:rsidRoot w:val="00366C65"/>
    <w:rsid w:val="00001BF1"/>
    <w:rsid w:val="00012C51"/>
    <w:rsid w:val="0002538D"/>
    <w:rsid w:val="00033E02"/>
    <w:rsid w:val="000476C4"/>
    <w:rsid w:val="000A6BB4"/>
    <w:rsid w:val="000C1694"/>
    <w:rsid w:val="000D323C"/>
    <w:rsid w:val="000D4EE1"/>
    <w:rsid w:val="000E5B94"/>
    <w:rsid w:val="000F07F3"/>
    <w:rsid w:val="00111265"/>
    <w:rsid w:val="001120F5"/>
    <w:rsid w:val="00136967"/>
    <w:rsid w:val="00140CAD"/>
    <w:rsid w:val="00142490"/>
    <w:rsid w:val="0016077A"/>
    <w:rsid w:val="0016080A"/>
    <w:rsid w:val="00167C4F"/>
    <w:rsid w:val="00172DAF"/>
    <w:rsid w:val="001867C5"/>
    <w:rsid w:val="00195C76"/>
    <w:rsid w:val="001A005D"/>
    <w:rsid w:val="001A466A"/>
    <w:rsid w:val="001A5D70"/>
    <w:rsid w:val="001B5977"/>
    <w:rsid w:val="001C6041"/>
    <w:rsid w:val="001C7F47"/>
    <w:rsid w:val="001E2F1F"/>
    <w:rsid w:val="001F05F1"/>
    <w:rsid w:val="00220883"/>
    <w:rsid w:val="002264F0"/>
    <w:rsid w:val="00233799"/>
    <w:rsid w:val="00240F5D"/>
    <w:rsid w:val="00262CB9"/>
    <w:rsid w:val="0026679D"/>
    <w:rsid w:val="002709E5"/>
    <w:rsid w:val="00270FE2"/>
    <w:rsid w:val="002807D8"/>
    <w:rsid w:val="00291DA2"/>
    <w:rsid w:val="00294465"/>
    <w:rsid w:val="0029768F"/>
    <w:rsid w:val="002A3543"/>
    <w:rsid w:val="002B33B9"/>
    <w:rsid w:val="002B4920"/>
    <w:rsid w:val="002C07D1"/>
    <w:rsid w:val="002C4EB2"/>
    <w:rsid w:val="002D2B09"/>
    <w:rsid w:val="002E3125"/>
    <w:rsid w:val="002E6514"/>
    <w:rsid w:val="0030549F"/>
    <w:rsid w:val="003073C2"/>
    <w:rsid w:val="0033298A"/>
    <w:rsid w:val="00354DF2"/>
    <w:rsid w:val="003559D0"/>
    <w:rsid w:val="00356B07"/>
    <w:rsid w:val="00360024"/>
    <w:rsid w:val="00363A55"/>
    <w:rsid w:val="00366C65"/>
    <w:rsid w:val="00381AB6"/>
    <w:rsid w:val="003A0AAA"/>
    <w:rsid w:val="003A2E2D"/>
    <w:rsid w:val="003A669C"/>
    <w:rsid w:val="003B1D2D"/>
    <w:rsid w:val="003C2222"/>
    <w:rsid w:val="003C520F"/>
    <w:rsid w:val="003C7FFB"/>
    <w:rsid w:val="003F1898"/>
    <w:rsid w:val="003F694C"/>
    <w:rsid w:val="003F6C33"/>
    <w:rsid w:val="00410A20"/>
    <w:rsid w:val="004120B9"/>
    <w:rsid w:val="00412EB1"/>
    <w:rsid w:val="00445C2E"/>
    <w:rsid w:val="0046019D"/>
    <w:rsid w:val="00460A4F"/>
    <w:rsid w:val="0048040D"/>
    <w:rsid w:val="004913AA"/>
    <w:rsid w:val="004A3875"/>
    <w:rsid w:val="004B0192"/>
    <w:rsid w:val="004E2412"/>
    <w:rsid w:val="004F0D36"/>
    <w:rsid w:val="004F6856"/>
    <w:rsid w:val="005001B5"/>
    <w:rsid w:val="005018D2"/>
    <w:rsid w:val="00502B10"/>
    <w:rsid w:val="00507657"/>
    <w:rsid w:val="00522DBD"/>
    <w:rsid w:val="0052561A"/>
    <w:rsid w:val="00532D4E"/>
    <w:rsid w:val="00537263"/>
    <w:rsid w:val="00554E32"/>
    <w:rsid w:val="005567E8"/>
    <w:rsid w:val="005636AD"/>
    <w:rsid w:val="005823E2"/>
    <w:rsid w:val="005919F5"/>
    <w:rsid w:val="005B2B9C"/>
    <w:rsid w:val="005B6CFA"/>
    <w:rsid w:val="005C10E3"/>
    <w:rsid w:val="005D05AD"/>
    <w:rsid w:val="005E4F2A"/>
    <w:rsid w:val="00613123"/>
    <w:rsid w:val="00633304"/>
    <w:rsid w:val="0064126D"/>
    <w:rsid w:val="0064256F"/>
    <w:rsid w:val="00646D9F"/>
    <w:rsid w:val="00660C66"/>
    <w:rsid w:val="00671DB0"/>
    <w:rsid w:val="0067251B"/>
    <w:rsid w:val="0067296B"/>
    <w:rsid w:val="0067444A"/>
    <w:rsid w:val="006860E8"/>
    <w:rsid w:val="00690A15"/>
    <w:rsid w:val="00692FF2"/>
    <w:rsid w:val="00696672"/>
    <w:rsid w:val="006B69D9"/>
    <w:rsid w:val="006D7553"/>
    <w:rsid w:val="006D7DED"/>
    <w:rsid w:val="006F4125"/>
    <w:rsid w:val="006F4306"/>
    <w:rsid w:val="0070287C"/>
    <w:rsid w:val="00706E9E"/>
    <w:rsid w:val="007221B9"/>
    <w:rsid w:val="00730ABC"/>
    <w:rsid w:val="00743AB4"/>
    <w:rsid w:val="00744DAF"/>
    <w:rsid w:val="0076045D"/>
    <w:rsid w:val="00762678"/>
    <w:rsid w:val="00771D50"/>
    <w:rsid w:val="007723AE"/>
    <w:rsid w:val="00786864"/>
    <w:rsid w:val="00791524"/>
    <w:rsid w:val="007B6118"/>
    <w:rsid w:val="007C141E"/>
    <w:rsid w:val="007C5708"/>
    <w:rsid w:val="007D7943"/>
    <w:rsid w:val="007E389B"/>
    <w:rsid w:val="007F118C"/>
    <w:rsid w:val="007F667C"/>
    <w:rsid w:val="00802433"/>
    <w:rsid w:val="00806687"/>
    <w:rsid w:val="008352EC"/>
    <w:rsid w:val="00846088"/>
    <w:rsid w:val="00852413"/>
    <w:rsid w:val="00857B99"/>
    <w:rsid w:val="00866DA6"/>
    <w:rsid w:val="008766A1"/>
    <w:rsid w:val="008810AA"/>
    <w:rsid w:val="008823C9"/>
    <w:rsid w:val="008A2FBE"/>
    <w:rsid w:val="008E34D8"/>
    <w:rsid w:val="008E405A"/>
    <w:rsid w:val="008E676A"/>
    <w:rsid w:val="00900668"/>
    <w:rsid w:val="00943234"/>
    <w:rsid w:val="00943E2C"/>
    <w:rsid w:val="00944AC8"/>
    <w:rsid w:val="009627B8"/>
    <w:rsid w:val="00974430"/>
    <w:rsid w:val="009A5AC5"/>
    <w:rsid w:val="009B7E57"/>
    <w:rsid w:val="009C0CA2"/>
    <w:rsid w:val="009C219A"/>
    <w:rsid w:val="009C244B"/>
    <w:rsid w:val="009C3666"/>
    <w:rsid w:val="009D4358"/>
    <w:rsid w:val="009D484E"/>
    <w:rsid w:val="009F16FD"/>
    <w:rsid w:val="009F4DBC"/>
    <w:rsid w:val="00A1223A"/>
    <w:rsid w:val="00A16580"/>
    <w:rsid w:val="00A23EA2"/>
    <w:rsid w:val="00A24711"/>
    <w:rsid w:val="00A26208"/>
    <w:rsid w:val="00A367FC"/>
    <w:rsid w:val="00A523BD"/>
    <w:rsid w:val="00A57E87"/>
    <w:rsid w:val="00A603AE"/>
    <w:rsid w:val="00A65CAF"/>
    <w:rsid w:val="00A8263D"/>
    <w:rsid w:val="00A84A8E"/>
    <w:rsid w:val="00A85143"/>
    <w:rsid w:val="00A851F3"/>
    <w:rsid w:val="00A85479"/>
    <w:rsid w:val="00AF0E02"/>
    <w:rsid w:val="00AF633A"/>
    <w:rsid w:val="00AF6BE3"/>
    <w:rsid w:val="00B01F45"/>
    <w:rsid w:val="00B1075E"/>
    <w:rsid w:val="00B13B6F"/>
    <w:rsid w:val="00B34F76"/>
    <w:rsid w:val="00B53FD6"/>
    <w:rsid w:val="00B663DF"/>
    <w:rsid w:val="00B667C7"/>
    <w:rsid w:val="00B66B76"/>
    <w:rsid w:val="00B71400"/>
    <w:rsid w:val="00B762E2"/>
    <w:rsid w:val="00B84246"/>
    <w:rsid w:val="00B843EB"/>
    <w:rsid w:val="00B941F5"/>
    <w:rsid w:val="00BC52EC"/>
    <w:rsid w:val="00BF2346"/>
    <w:rsid w:val="00BF2868"/>
    <w:rsid w:val="00BF485A"/>
    <w:rsid w:val="00C005C5"/>
    <w:rsid w:val="00C10212"/>
    <w:rsid w:val="00C17533"/>
    <w:rsid w:val="00C175EB"/>
    <w:rsid w:val="00C233DC"/>
    <w:rsid w:val="00C2472C"/>
    <w:rsid w:val="00C30F55"/>
    <w:rsid w:val="00C9394D"/>
    <w:rsid w:val="00C9536D"/>
    <w:rsid w:val="00CA6713"/>
    <w:rsid w:val="00CB454C"/>
    <w:rsid w:val="00CD1A40"/>
    <w:rsid w:val="00CD5FEB"/>
    <w:rsid w:val="00CE4076"/>
    <w:rsid w:val="00CE799A"/>
    <w:rsid w:val="00CF58EF"/>
    <w:rsid w:val="00CF6C00"/>
    <w:rsid w:val="00CF7F26"/>
    <w:rsid w:val="00D04AA7"/>
    <w:rsid w:val="00D13C82"/>
    <w:rsid w:val="00D17DAC"/>
    <w:rsid w:val="00D51378"/>
    <w:rsid w:val="00D51C0B"/>
    <w:rsid w:val="00D55153"/>
    <w:rsid w:val="00D60DBD"/>
    <w:rsid w:val="00D72B92"/>
    <w:rsid w:val="00D74671"/>
    <w:rsid w:val="00D7797F"/>
    <w:rsid w:val="00D876B3"/>
    <w:rsid w:val="00D917E7"/>
    <w:rsid w:val="00D969DA"/>
    <w:rsid w:val="00DB28CC"/>
    <w:rsid w:val="00DC118B"/>
    <w:rsid w:val="00DD4240"/>
    <w:rsid w:val="00E008E0"/>
    <w:rsid w:val="00E00A16"/>
    <w:rsid w:val="00E102D9"/>
    <w:rsid w:val="00E43427"/>
    <w:rsid w:val="00E51529"/>
    <w:rsid w:val="00E51BFC"/>
    <w:rsid w:val="00E66493"/>
    <w:rsid w:val="00E72829"/>
    <w:rsid w:val="00E7709B"/>
    <w:rsid w:val="00E96AE6"/>
    <w:rsid w:val="00EB5913"/>
    <w:rsid w:val="00EB6C4D"/>
    <w:rsid w:val="00EB74D8"/>
    <w:rsid w:val="00EC4741"/>
    <w:rsid w:val="00ED4E6F"/>
    <w:rsid w:val="00ED5AA3"/>
    <w:rsid w:val="00EE5A51"/>
    <w:rsid w:val="00EF058E"/>
    <w:rsid w:val="00EF653B"/>
    <w:rsid w:val="00F009C9"/>
    <w:rsid w:val="00F01533"/>
    <w:rsid w:val="00F02DDC"/>
    <w:rsid w:val="00F03CEF"/>
    <w:rsid w:val="00F15CF3"/>
    <w:rsid w:val="00F17B68"/>
    <w:rsid w:val="00F2391B"/>
    <w:rsid w:val="00F23DB4"/>
    <w:rsid w:val="00F3560B"/>
    <w:rsid w:val="00F50848"/>
    <w:rsid w:val="00F60F1C"/>
    <w:rsid w:val="00F62134"/>
    <w:rsid w:val="00F64863"/>
    <w:rsid w:val="00F6785A"/>
    <w:rsid w:val="00F7730C"/>
    <w:rsid w:val="00F9300D"/>
    <w:rsid w:val="00F95724"/>
    <w:rsid w:val="00F958EF"/>
    <w:rsid w:val="00FA2F19"/>
    <w:rsid w:val="00FA3A2F"/>
    <w:rsid w:val="00FA4679"/>
    <w:rsid w:val="00FB4B31"/>
    <w:rsid w:val="00FC6FB0"/>
    <w:rsid w:val="00FE004E"/>
    <w:rsid w:val="0FD16CEC"/>
    <w:rsid w:val="10B9591D"/>
    <w:rsid w:val="1A631E59"/>
    <w:rsid w:val="73B97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3CF2"/>
  <w15:docId w15:val="{1A55B4EB-B319-4E55-84E2-D5B32EEE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autoRedefine/>
    <w:uiPriority w:val="99"/>
    <w:unhideWhenUsed/>
    <w:qFormat/>
    <w:pPr>
      <w:tabs>
        <w:tab w:val="center" w:pos="4153"/>
        <w:tab w:val="right" w:pos="8306"/>
      </w:tabs>
      <w:snapToGrid w:val="0"/>
      <w:jc w:val="center"/>
    </w:pPr>
    <w:rPr>
      <w:sz w:val="18"/>
      <w:szCs w:val="18"/>
    </w:rPr>
  </w:style>
  <w:style w:type="table" w:styleId="a7">
    <w:name w:val="Table Grid"/>
    <w:basedOn w:val="a1"/>
    <w:autoRedefine/>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qFormat/>
    <w:rPr>
      <w:rFonts w:ascii="Times New Roman" w:eastAsia="Times New Roman" w:hAnsi="Times New Roman" w:cs="Times New Roman"/>
      <w:color w:val="0563C1" w:themeColor="hyperlink"/>
      <w:kern w:val="2"/>
      <w:sz w:val="24"/>
      <w:szCs w:val="22"/>
    </w:rPr>
  </w:style>
  <w:style w:type="character" w:customStyle="1" w:styleId="a6">
    <w:name w:val="页眉 字符"/>
    <w:basedOn w:val="a0"/>
    <w:link w:val="a5"/>
    <w:autoRedefine/>
    <w:uiPriority w:val="99"/>
    <w:qFormat/>
    <w:rPr>
      <w:sz w:val="18"/>
      <w:szCs w:val="18"/>
    </w:rPr>
  </w:style>
  <w:style w:type="character" w:customStyle="1" w:styleId="a4">
    <w:name w:val="页脚 字符"/>
    <w:basedOn w:val="a0"/>
    <w:link w:val="a3"/>
    <w:autoRedefine/>
    <w:uiPriority w:val="99"/>
    <w:qFormat/>
    <w:rPr>
      <w:sz w:val="18"/>
      <w:szCs w:val="18"/>
    </w:rPr>
  </w:style>
  <w:style w:type="character" w:styleId="a9">
    <w:name w:val="Placeholder Text"/>
    <w:basedOn w:val="a0"/>
    <w:autoRedefine/>
    <w:uiPriority w:val="99"/>
    <w:semiHidden/>
    <w:qFormat/>
    <w:rPr>
      <w:color w:val="808080"/>
    </w:rPr>
  </w:style>
  <w:style w:type="paragraph" w:customStyle="1" w:styleId="1">
    <w:name w:val="正文1"/>
    <w:autoRedefine/>
    <w:qFormat/>
    <w:pPr>
      <w:jc w:val="both"/>
    </w:pPr>
    <w:rPr>
      <w:rFonts w:ascii="等线" w:eastAsia="宋体" w:hAnsi="等线" w:cs="宋体"/>
      <w:kern w:val="2"/>
      <w:sz w:val="21"/>
      <w:szCs w:val="21"/>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kern w:val="2"/>
      <w:szCs w:val="22"/>
    </w:rPr>
  </w:style>
  <w:style w:type="paragraph" w:customStyle="1" w:styleId="EndNoteBibliography">
    <w:name w:val="EndNote Bibliography"/>
    <w:basedOn w:val="a"/>
    <w:link w:val="EndNoteBibliography0"/>
    <w:qFormat/>
    <w:pPr>
      <w:jc w:val="left"/>
    </w:pPr>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kern w:val="2"/>
      <w:szCs w:val="22"/>
    </w:rPr>
  </w:style>
  <w:style w:type="paragraph" w:customStyle="1" w:styleId="EndNoteCategoryHeading">
    <w:name w:val="EndNote Category Heading"/>
    <w:basedOn w:val="a"/>
    <w:link w:val="EndNoteCategoryHeading0"/>
    <w:qFormat/>
    <w:pPr>
      <w:spacing w:before="120" w:after="120"/>
      <w:jc w:val="left"/>
    </w:pPr>
    <w:rPr>
      <w:b/>
    </w:rPr>
  </w:style>
  <w:style w:type="character" w:customStyle="1" w:styleId="EndNoteCategoryHeading0">
    <w:name w:val="EndNote Category Heading 字符"/>
    <w:basedOn w:val="a0"/>
    <w:link w:val="EndNoteCategoryHeading"/>
    <w:qFormat/>
    <w:rPr>
      <w:b/>
      <w:kern w:val="2"/>
      <w:sz w:val="21"/>
      <w:szCs w:val="22"/>
    </w:rPr>
  </w:style>
  <w:style w:type="character" w:customStyle="1" w:styleId="15">
    <w:name w:val="15"/>
    <w:basedOn w:val="a0"/>
    <w:qFormat/>
    <w:rPr>
      <w:rFonts w:ascii="等线" w:eastAsia="等线" w:hAnsi="等线" w:hint="eastAsia"/>
      <w:color w:val="0563C1"/>
      <w:u w:val="single"/>
    </w:rPr>
  </w:style>
  <w:style w:type="character" w:customStyle="1" w:styleId="10">
    <w:name w:val="未处理的提及1"/>
    <w:basedOn w:val="a0"/>
    <w:uiPriority w:val="99"/>
    <w:semiHidden/>
    <w:unhideWhenUsed/>
    <w:qFormat/>
    <w:rPr>
      <w:color w:val="605E5C"/>
      <w:shd w:val="clear" w:color="auto" w:fill="E1DFDD"/>
    </w:rPr>
  </w:style>
  <w:style w:type="table" w:customStyle="1" w:styleId="11">
    <w:name w:val="网格表 1 浅色1"/>
    <w:basedOn w:val="a1"/>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6-Author-ENG">
    <w:name w:val="6-Author-ENG"/>
    <w:basedOn w:val="a"/>
    <w:qFormat/>
    <w:rsid w:val="00F15CF3"/>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F15CF3"/>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F15CF3"/>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F15CF3"/>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theme" Target="theme/theme1.xml"/><Relationship Id="rId5" Type="http://schemas.openxmlformats.org/officeDocument/2006/relationships/hyperlink" Target="mailto:shiqingzhouwater@163.com" TargetMode="Externa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hyperlink" Target="mailto:lingjunbu@hnu.edu.cn" TargetMode="Externa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33</Pages>
  <Words>3595</Words>
  <Characters>20497</Characters>
  <Application>Microsoft Office Word</Application>
  <DocSecurity>0</DocSecurity>
  <Lines>170</Lines>
  <Paragraphs>48</Paragraphs>
  <ScaleCrop>false</ScaleCrop>
  <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敖 键</dc:creator>
  <cp:lastModifiedBy>WW Yin</cp:lastModifiedBy>
  <cp:revision>15</cp:revision>
  <dcterms:created xsi:type="dcterms:W3CDTF">2024-08-06T07:09:00Z</dcterms:created>
  <dcterms:modified xsi:type="dcterms:W3CDTF">2024-12-31T07:34:00Z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3463EAF6C2DC4CE2B3F69541D1593A9F_12</vt:lpwstr>
  </property>
</Properties>
</file>