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002" w:rsidRPr="009858CD" w:rsidRDefault="00A02002" w:rsidP="00A02002">
      <w:pPr>
        <w:autoSpaceDE w:val="0"/>
        <w:autoSpaceDN w:val="0"/>
        <w:adjustRightInd w:val="0"/>
        <w:spacing w:line="14" w:lineRule="atLeast"/>
        <w:rPr>
          <w:rFonts w:eastAsiaTheme="minorEastAsia"/>
          <w:b/>
        </w:rPr>
      </w:pPr>
      <w:r w:rsidRPr="009858CD">
        <w:rPr>
          <w:rFonts w:eastAsiaTheme="minorEastAsia"/>
          <w:b/>
        </w:rPr>
        <w:t xml:space="preserve">Supplementary data for </w:t>
      </w:r>
    </w:p>
    <w:p w:rsidR="00A02002" w:rsidRPr="00A02002" w:rsidRDefault="00A02002" w:rsidP="00A02002">
      <w:pPr>
        <w:autoSpaceDE w:val="0"/>
        <w:autoSpaceDN w:val="0"/>
        <w:adjustRightInd w:val="0"/>
        <w:snapToGrid w:val="0"/>
        <w:jc w:val="both"/>
        <w:rPr>
          <w:rFonts w:eastAsia="等线"/>
          <w:b/>
          <w:sz w:val="30"/>
          <w:szCs w:val="30"/>
          <w:lang w:bidi="ar"/>
        </w:rPr>
      </w:pPr>
      <w:r w:rsidRPr="00A02002">
        <w:rPr>
          <w:rFonts w:eastAsia="等线"/>
          <w:b/>
          <w:sz w:val="30"/>
          <w:szCs w:val="30"/>
          <w:lang w:bidi="ar"/>
        </w:rPr>
        <w:t>Genomic and Phenotypic Diversity of Carbapenemase-Producing Enterobacteriaceae Isolates from Bacteremia in China: A Multicenter Epidemiological, Microbiological, and Genetic Study</w:t>
      </w:r>
    </w:p>
    <w:p w:rsidR="00A02002" w:rsidRPr="00621C4C" w:rsidRDefault="00A02002" w:rsidP="00A02002">
      <w:pPr>
        <w:pStyle w:val="authadd"/>
        <w:autoSpaceDE w:val="0"/>
        <w:autoSpaceDN w:val="0"/>
        <w:adjustRightInd w:val="0"/>
        <w:spacing w:line="240" w:lineRule="auto"/>
        <w:rPr>
          <w:color w:val="000000"/>
          <w:szCs w:val="24"/>
          <w:lang w:val="en-US"/>
        </w:rPr>
      </w:pPr>
      <w:r w:rsidRPr="00621C4C">
        <w:rPr>
          <w:color w:val="000000"/>
          <w:szCs w:val="24"/>
          <w:lang w:val="en-US"/>
        </w:rPr>
        <w:t>Beiwen Zheng</w:t>
      </w:r>
      <w:r w:rsidRPr="00621C4C">
        <w:rPr>
          <w:color w:val="000000"/>
          <w:szCs w:val="24"/>
          <w:vertAlign w:val="superscript"/>
          <w:lang w:val="en-US"/>
        </w:rPr>
        <w:t>a,#</w:t>
      </w:r>
      <w:r w:rsidRPr="00621C4C">
        <w:rPr>
          <w:color w:val="000000"/>
          <w:szCs w:val="24"/>
          <w:lang w:val="en-US"/>
        </w:rPr>
        <w:t>, Hao Xu</w:t>
      </w:r>
      <w:r>
        <w:rPr>
          <w:color w:val="000000"/>
          <w:szCs w:val="24"/>
          <w:vertAlign w:val="superscript"/>
          <w:lang w:val="en-US"/>
        </w:rPr>
        <w:t>a,</w:t>
      </w:r>
      <w:r w:rsidRPr="00621C4C">
        <w:rPr>
          <w:color w:val="000000"/>
          <w:szCs w:val="24"/>
          <w:vertAlign w:val="superscript"/>
          <w:lang w:val="en-US"/>
        </w:rPr>
        <w:t>#</w:t>
      </w:r>
      <w:r w:rsidRPr="00621C4C">
        <w:rPr>
          <w:color w:val="000000"/>
          <w:szCs w:val="24"/>
          <w:lang w:val="en-US"/>
        </w:rPr>
        <w:t>, Lihua Guo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</w:t>
      </w:r>
      <w:r>
        <w:rPr>
          <w:rFonts w:hint="eastAsia"/>
          <w:color w:val="000000"/>
          <w:szCs w:val="24"/>
          <w:lang w:val="en-US"/>
        </w:rPr>
        <w:t>,</w:t>
      </w:r>
      <w:r w:rsidRPr="00621C4C">
        <w:rPr>
          <w:color w:val="000000"/>
          <w:szCs w:val="24"/>
          <w:lang w:val="en-US"/>
        </w:rPr>
        <w:t xml:space="preserve"> Xiao Yu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</w:t>
      </w:r>
      <w:r w:rsidRPr="00621C4C">
        <w:rPr>
          <w:color w:val="000000"/>
          <w:szCs w:val="24"/>
          <w:lang w:val="en-US"/>
        </w:rPr>
        <w:t>, Jinru Ji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</w:t>
      </w:r>
      <w:r w:rsidRPr="00621C4C">
        <w:rPr>
          <w:color w:val="000000"/>
          <w:szCs w:val="24"/>
          <w:lang w:val="en-US"/>
        </w:rPr>
        <w:t>, Chaoqun Ying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</w:t>
      </w:r>
      <w:r w:rsidRPr="00621C4C">
        <w:rPr>
          <w:color w:val="000000"/>
          <w:szCs w:val="24"/>
          <w:lang w:val="en-US"/>
        </w:rPr>
        <w:t>, Yunbo Chen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</w:t>
      </w:r>
      <w:r w:rsidRPr="00621C4C">
        <w:rPr>
          <w:color w:val="000000"/>
          <w:szCs w:val="24"/>
          <w:lang w:val="en-US"/>
        </w:rPr>
        <w:t>, Ping Shen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</w:t>
      </w:r>
      <w:r>
        <w:rPr>
          <w:color w:val="000000"/>
          <w:szCs w:val="24"/>
          <w:lang w:val="en-US"/>
        </w:rPr>
        <w:t>,</w:t>
      </w:r>
      <w:r w:rsidRPr="00621C4C">
        <w:rPr>
          <w:color w:val="000000"/>
          <w:szCs w:val="24"/>
          <w:lang w:val="en-US"/>
        </w:rPr>
        <w:t xml:space="preserve"> Huiming Han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b</w:t>
      </w:r>
      <w:r w:rsidRPr="00621C4C">
        <w:rPr>
          <w:color w:val="000000"/>
          <w:szCs w:val="24"/>
          <w:lang w:val="en-US"/>
        </w:rPr>
        <w:t>, Chen Huang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a,c</w:t>
      </w:r>
      <w:r w:rsidRPr="00621C4C">
        <w:rPr>
          <w:color w:val="000000"/>
          <w:szCs w:val="24"/>
          <w:lang w:val="en-US"/>
        </w:rPr>
        <w:t>, Shuntian Zhang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</w:t>
      </w:r>
      <w:r w:rsidRPr="00621C4C">
        <w:rPr>
          <w:color w:val="000000"/>
          <w:szCs w:val="24"/>
          <w:lang w:val="en-US"/>
        </w:rPr>
        <w:t>, Tao Lv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</w:t>
      </w:r>
      <w:r w:rsidRPr="00621C4C">
        <w:rPr>
          <w:color w:val="000000"/>
          <w:szCs w:val="24"/>
          <w:lang w:val="en-US"/>
        </w:rPr>
        <w:t>, Yonghong Xiao</w:t>
      </w:r>
      <w:r w:rsidRPr="009D06A1">
        <w:rPr>
          <w:color w:val="000000"/>
          <w:szCs w:val="24"/>
          <w:vertAlign w:val="superscript"/>
          <w:lang w:val="en-US"/>
        </w:rPr>
        <w:t xml:space="preserve"> </w:t>
      </w:r>
      <w:r w:rsidRPr="00621C4C">
        <w:rPr>
          <w:color w:val="000000"/>
          <w:szCs w:val="24"/>
          <w:vertAlign w:val="superscript"/>
          <w:lang w:val="en-US"/>
        </w:rPr>
        <w:t>a,</w:t>
      </w:r>
      <w:r w:rsidRPr="00F5574F">
        <w:rPr>
          <w:color w:val="000000"/>
          <w:szCs w:val="24"/>
          <w:lang w:val="en-US"/>
        </w:rPr>
        <w:t>*</w:t>
      </w:r>
    </w:p>
    <w:p w:rsidR="00A02002" w:rsidRPr="009D06A1" w:rsidRDefault="00A02002" w:rsidP="00A02002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9D06A1">
        <w:rPr>
          <w:bCs/>
          <w:sz w:val="18"/>
          <w:szCs w:val="18"/>
          <w:vertAlign w:val="superscript"/>
        </w:rPr>
        <w:t xml:space="preserve">a </w:t>
      </w:r>
      <w:r w:rsidRPr="009D06A1">
        <w:rPr>
          <w:bCs/>
          <w:i/>
          <w:sz w:val="18"/>
          <w:szCs w:val="18"/>
        </w:rPr>
        <w:t>State Key Laboratory for Diagnosis and Treatment of Infectious Diseases</w:t>
      </w:r>
      <w:r>
        <w:rPr>
          <w:rFonts w:hint="eastAsia"/>
          <w:bCs/>
          <w:i/>
          <w:sz w:val="18"/>
          <w:szCs w:val="18"/>
          <w:lang w:eastAsia="zh-CN"/>
        </w:rPr>
        <w:t>,</w:t>
      </w:r>
      <w:r w:rsidRPr="009D06A1">
        <w:rPr>
          <w:bCs/>
          <w:i/>
          <w:sz w:val="18"/>
          <w:szCs w:val="18"/>
        </w:rPr>
        <w:t xml:space="preserve"> Collaborative Innovation Center for Diagnosis and Treatment of Infectious Diseases, </w:t>
      </w:r>
      <w:r>
        <w:rPr>
          <w:bCs/>
          <w:i/>
          <w:sz w:val="18"/>
          <w:szCs w:val="18"/>
        </w:rPr>
        <w:t>T</w:t>
      </w:r>
      <w:r w:rsidRPr="009D06A1">
        <w:rPr>
          <w:bCs/>
          <w:i/>
          <w:sz w:val="18"/>
          <w:szCs w:val="18"/>
        </w:rPr>
        <w:t>he First Affiliated Hospital, College of Medicine, Zhejiang University, Hangzhou 310003, China</w:t>
      </w:r>
    </w:p>
    <w:p w:rsidR="00A02002" w:rsidRPr="009D06A1" w:rsidRDefault="00A02002" w:rsidP="00A02002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9D06A1">
        <w:rPr>
          <w:bCs/>
          <w:sz w:val="18"/>
          <w:szCs w:val="18"/>
          <w:vertAlign w:val="superscript"/>
        </w:rPr>
        <w:t xml:space="preserve">b </w:t>
      </w:r>
      <w:r w:rsidRPr="009D06A1">
        <w:rPr>
          <w:bCs/>
          <w:i/>
          <w:sz w:val="18"/>
          <w:szCs w:val="18"/>
        </w:rPr>
        <w:t>Medical College of Beihua University, Jilin 132013, China</w:t>
      </w:r>
    </w:p>
    <w:p w:rsidR="00A02002" w:rsidRPr="00A02002" w:rsidRDefault="00A02002" w:rsidP="00A02002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9D06A1">
        <w:rPr>
          <w:bCs/>
          <w:sz w:val="18"/>
          <w:szCs w:val="18"/>
          <w:vertAlign w:val="superscript"/>
        </w:rPr>
        <w:t xml:space="preserve">c </w:t>
      </w:r>
      <w:r w:rsidRPr="009D06A1">
        <w:rPr>
          <w:bCs/>
          <w:i/>
          <w:sz w:val="18"/>
          <w:szCs w:val="18"/>
        </w:rPr>
        <w:t>Department of Infectious Diseases, Ningbo Medical Center LiHuili Hospital, Ningbo 315040, China</w:t>
      </w:r>
    </w:p>
    <w:p w:rsidR="00FA52B2" w:rsidRDefault="00FA52B2" w:rsidP="00FA52B2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>
        <w:rPr>
          <w:noProof/>
          <w:lang w:eastAsia="zh-CN"/>
        </w:rPr>
        <w:lastRenderedPageBreak/>
        <w:drawing>
          <wp:inline distT="0" distB="0" distL="0" distR="0" wp14:anchorId="6E64FE83" wp14:editId="3384DF2D">
            <wp:extent cx="4126116" cy="6919912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 S1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2897" cy="6931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2B2" w:rsidRDefault="00FA52B2" w:rsidP="00FA52B2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F35FFB">
        <w:rPr>
          <w:b/>
          <w:sz w:val="18"/>
          <w:szCs w:val="18"/>
        </w:rPr>
        <w:t>Fig</w:t>
      </w:r>
      <w:r>
        <w:rPr>
          <w:b/>
          <w:sz w:val="18"/>
          <w:szCs w:val="18"/>
        </w:rPr>
        <w:t>.</w:t>
      </w:r>
      <w:r w:rsidRPr="00F35FFB">
        <w:rPr>
          <w:b/>
          <w:sz w:val="18"/>
          <w:szCs w:val="18"/>
        </w:rPr>
        <w:t xml:space="preserve"> S1.</w:t>
      </w:r>
      <w:r w:rsidRPr="00F35FFB">
        <w:rPr>
          <w:sz w:val="18"/>
          <w:szCs w:val="18"/>
        </w:rPr>
        <w:t xml:space="preserve"> Plasmid analysis of carbapenemase-carrying plasmids using S1-PFGE and Southern blot. </w:t>
      </w:r>
      <w:r w:rsidR="00D3310B">
        <w:rPr>
          <w:sz w:val="18"/>
          <w:szCs w:val="18"/>
        </w:rPr>
        <w:t>(a–c)</w:t>
      </w:r>
      <w:r w:rsidRPr="00F35FFB">
        <w:rPr>
          <w:sz w:val="18"/>
          <w:szCs w:val="18"/>
        </w:rPr>
        <w:t xml:space="preserve"> Gene locations of </w:t>
      </w:r>
      <w:r w:rsidRPr="00F35FFB">
        <w:rPr>
          <w:i/>
          <w:sz w:val="18"/>
          <w:szCs w:val="18"/>
        </w:rPr>
        <w:t>bla</w:t>
      </w:r>
      <w:r w:rsidRPr="00F35FFB">
        <w:rPr>
          <w:sz w:val="18"/>
          <w:szCs w:val="18"/>
          <w:vertAlign w:val="subscript"/>
        </w:rPr>
        <w:t>KPC-2</w:t>
      </w:r>
      <w:r w:rsidRPr="00F35FFB">
        <w:rPr>
          <w:sz w:val="18"/>
          <w:szCs w:val="18"/>
        </w:rPr>
        <w:t xml:space="preserve"> genes in 31 isolates. </w:t>
      </w:r>
      <w:r w:rsidR="00D3310B">
        <w:rPr>
          <w:sz w:val="18"/>
          <w:szCs w:val="18"/>
        </w:rPr>
        <w:t>(d)</w:t>
      </w:r>
      <w:r w:rsidRPr="00F35FFB">
        <w:rPr>
          <w:sz w:val="18"/>
          <w:szCs w:val="18"/>
        </w:rPr>
        <w:t xml:space="preserve"> Gene locations of </w:t>
      </w:r>
      <w:r w:rsidRPr="00F35FFB">
        <w:rPr>
          <w:i/>
          <w:sz w:val="18"/>
          <w:szCs w:val="18"/>
        </w:rPr>
        <w:t>bla</w:t>
      </w:r>
      <w:r w:rsidRPr="00F35FFB">
        <w:rPr>
          <w:sz w:val="18"/>
          <w:szCs w:val="18"/>
          <w:vertAlign w:val="subscript"/>
        </w:rPr>
        <w:t>NDM</w:t>
      </w:r>
      <w:r w:rsidRPr="00F35FFB">
        <w:rPr>
          <w:sz w:val="18"/>
          <w:szCs w:val="18"/>
        </w:rPr>
        <w:t xml:space="preserve"> genes in nine isolates. </w:t>
      </w:r>
      <w:r w:rsidR="00D3310B">
        <w:rPr>
          <w:sz w:val="18"/>
          <w:szCs w:val="18"/>
        </w:rPr>
        <w:t>(e)</w:t>
      </w:r>
      <w:r w:rsidRPr="00F35FFB">
        <w:rPr>
          <w:sz w:val="18"/>
          <w:szCs w:val="18"/>
        </w:rPr>
        <w:t xml:space="preserve"> Gene locations of </w:t>
      </w:r>
      <w:r w:rsidRPr="00F35FFB">
        <w:rPr>
          <w:i/>
          <w:sz w:val="18"/>
          <w:szCs w:val="18"/>
        </w:rPr>
        <w:t>bla</w:t>
      </w:r>
      <w:r w:rsidRPr="00F35FFB">
        <w:rPr>
          <w:sz w:val="18"/>
          <w:szCs w:val="18"/>
          <w:vertAlign w:val="subscript"/>
        </w:rPr>
        <w:t>IMP</w:t>
      </w:r>
      <w:r w:rsidRPr="00F35FFB">
        <w:rPr>
          <w:sz w:val="18"/>
          <w:szCs w:val="18"/>
        </w:rPr>
        <w:t xml:space="preserve"> genes in two </w:t>
      </w:r>
      <w:r w:rsidRPr="00F35FFB">
        <w:rPr>
          <w:i/>
          <w:sz w:val="18"/>
          <w:szCs w:val="18"/>
        </w:rPr>
        <w:t>Enterobacter</w:t>
      </w:r>
      <w:r w:rsidRPr="00F35FFB">
        <w:rPr>
          <w:sz w:val="18"/>
          <w:szCs w:val="18"/>
        </w:rPr>
        <w:t xml:space="preserve"> isolates. M</w:t>
      </w:r>
      <w:r w:rsidR="00B60E7C">
        <w:rPr>
          <w:sz w:val="18"/>
          <w:szCs w:val="18"/>
        </w:rPr>
        <w:t>:</w:t>
      </w:r>
      <w:r w:rsidRPr="00F35FFB">
        <w:rPr>
          <w:sz w:val="18"/>
          <w:szCs w:val="18"/>
        </w:rPr>
        <w:t xml:space="preserve"> </w:t>
      </w:r>
      <w:r w:rsidRPr="00F35FFB">
        <w:rPr>
          <w:i/>
          <w:sz w:val="18"/>
          <w:szCs w:val="18"/>
        </w:rPr>
        <w:t>Salmonella</w:t>
      </w:r>
      <w:r w:rsidRPr="00F35FFB">
        <w:rPr>
          <w:sz w:val="18"/>
          <w:szCs w:val="18"/>
        </w:rPr>
        <w:t xml:space="preserve"> serotype Braenderup</w:t>
      </w:r>
      <w:r w:rsidR="00B60E7C">
        <w:rPr>
          <w:sz w:val="18"/>
          <w:szCs w:val="18"/>
        </w:rPr>
        <w:t xml:space="preserve"> strain H9812 molecular marker.</w:t>
      </w:r>
    </w:p>
    <w:p w:rsidR="00A02002" w:rsidRDefault="00A02002" w:rsidP="00FA52B2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D3310B" w:rsidRDefault="00D3310B" w:rsidP="00D3310B">
      <w:pPr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rFonts w:hint="eastAsia"/>
          <w:noProof/>
          <w:lang w:eastAsia="zh-CN"/>
        </w:rPr>
        <w:lastRenderedPageBreak/>
        <w:drawing>
          <wp:inline distT="0" distB="0" distL="0" distR="0" wp14:anchorId="56056D34" wp14:editId="293B4CCB">
            <wp:extent cx="4440699" cy="7280694"/>
            <wp:effectExtent l="0" t="0" r="444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e S2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487" cy="7290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2B2" w:rsidRPr="00FA52B2" w:rsidRDefault="00FA52B2" w:rsidP="00FA52B2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F35FFB">
        <w:rPr>
          <w:b/>
          <w:sz w:val="18"/>
          <w:szCs w:val="18"/>
        </w:rPr>
        <w:t>Fig</w:t>
      </w:r>
      <w:r>
        <w:rPr>
          <w:b/>
          <w:sz w:val="18"/>
          <w:szCs w:val="18"/>
        </w:rPr>
        <w:t>.</w:t>
      </w:r>
      <w:r w:rsidRPr="00F35FFB">
        <w:rPr>
          <w:b/>
          <w:sz w:val="18"/>
          <w:szCs w:val="18"/>
        </w:rPr>
        <w:t xml:space="preserve"> S2.</w:t>
      </w:r>
      <w:r w:rsidRPr="00F35FFB">
        <w:rPr>
          <w:sz w:val="18"/>
          <w:szCs w:val="18"/>
        </w:rPr>
        <w:t xml:space="preserve"> Plasmid analysis and comparison of the </w:t>
      </w:r>
      <w:r w:rsidRPr="00F35FFB">
        <w:rPr>
          <w:i/>
          <w:sz w:val="18"/>
          <w:szCs w:val="18"/>
        </w:rPr>
        <w:t>rmpA/rmpA2</w:t>
      </w:r>
      <w:r w:rsidRPr="00F35FFB">
        <w:rPr>
          <w:sz w:val="18"/>
          <w:szCs w:val="18"/>
        </w:rPr>
        <w:t xml:space="preserve"> genes harbored by hypervirulent </w:t>
      </w:r>
      <w:r w:rsidRPr="00F35FFB">
        <w:rPr>
          <w:i/>
          <w:sz w:val="18"/>
          <w:szCs w:val="18"/>
        </w:rPr>
        <w:t>K. pneumoniae</w:t>
      </w:r>
      <w:r w:rsidRPr="00F35FFB">
        <w:rPr>
          <w:sz w:val="18"/>
          <w:szCs w:val="18"/>
        </w:rPr>
        <w:t xml:space="preserve"> isolates. </w:t>
      </w:r>
      <w:r w:rsidR="00D3310B">
        <w:rPr>
          <w:sz w:val="18"/>
          <w:szCs w:val="18"/>
        </w:rPr>
        <w:t>(a)</w:t>
      </w:r>
      <w:r w:rsidRPr="00F35FFB">
        <w:rPr>
          <w:sz w:val="18"/>
          <w:szCs w:val="18"/>
        </w:rPr>
        <w:t xml:space="preserve"> Plasmid analysis of three </w:t>
      </w:r>
      <w:r w:rsidRPr="00F35FFB">
        <w:rPr>
          <w:i/>
          <w:sz w:val="18"/>
          <w:szCs w:val="18"/>
        </w:rPr>
        <w:t>rmpA</w:t>
      </w:r>
      <w:r w:rsidRPr="00F35FFB">
        <w:rPr>
          <w:sz w:val="18"/>
          <w:szCs w:val="18"/>
        </w:rPr>
        <w:t xml:space="preserve">-carrying plasmids using S1-PFGE and Southern blot. </w:t>
      </w:r>
      <w:r w:rsidR="00D3310B">
        <w:rPr>
          <w:sz w:val="18"/>
          <w:szCs w:val="18"/>
        </w:rPr>
        <w:t>(b)</w:t>
      </w:r>
      <w:r w:rsidRPr="00F35FFB">
        <w:rPr>
          <w:sz w:val="18"/>
          <w:szCs w:val="18"/>
        </w:rPr>
        <w:t xml:space="preserve"> Plasmid analysis of six </w:t>
      </w:r>
      <w:r w:rsidRPr="00F35FFB">
        <w:rPr>
          <w:i/>
          <w:sz w:val="18"/>
          <w:szCs w:val="18"/>
        </w:rPr>
        <w:t>rmpA2</w:t>
      </w:r>
      <w:r w:rsidRPr="00F35FFB">
        <w:rPr>
          <w:sz w:val="18"/>
          <w:szCs w:val="18"/>
        </w:rPr>
        <w:t xml:space="preserve">-carrying plasmids using S1-PFGE and Southern blot. </w:t>
      </w:r>
      <w:r w:rsidR="00D3310B">
        <w:rPr>
          <w:sz w:val="18"/>
          <w:szCs w:val="18"/>
        </w:rPr>
        <w:t>(c)</w:t>
      </w:r>
      <w:r w:rsidRPr="00F35FFB">
        <w:rPr>
          <w:sz w:val="18"/>
          <w:szCs w:val="18"/>
        </w:rPr>
        <w:t xml:space="preserve"> Alignment of the </w:t>
      </w:r>
      <w:r w:rsidRPr="00F35FFB">
        <w:rPr>
          <w:i/>
          <w:sz w:val="18"/>
          <w:szCs w:val="18"/>
        </w:rPr>
        <w:t>rmpA</w:t>
      </w:r>
      <w:r w:rsidRPr="00F35FFB">
        <w:rPr>
          <w:sz w:val="18"/>
          <w:szCs w:val="18"/>
        </w:rPr>
        <w:t xml:space="preserve">-carrying plasmids from three KPC-2-producing hypervirulent </w:t>
      </w:r>
      <w:r w:rsidRPr="00F35FFB">
        <w:rPr>
          <w:i/>
          <w:sz w:val="18"/>
          <w:szCs w:val="18"/>
        </w:rPr>
        <w:t>K. pneumoniae</w:t>
      </w:r>
      <w:r w:rsidRPr="00F35FFB">
        <w:rPr>
          <w:sz w:val="18"/>
          <w:szCs w:val="18"/>
        </w:rPr>
        <w:t xml:space="preserve"> strains causing fatal infection against the high identity plasmid pL39 from the </w:t>
      </w:r>
      <w:r w:rsidRPr="00F35FFB">
        <w:rPr>
          <w:i/>
          <w:sz w:val="18"/>
          <w:szCs w:val="18"/>
        </w:rPr>
        <w:t>K. pneumoniae</w:t>
      </w:r>
      <w:r w:rsidRPr="00F35FFB">
        <w:rPr>
          <w:sz w:val="18"/>
          <w:szCs w:val="18"/>
        </w:rPr>
        <w:t xml:space="preserve"> strain L39 (AY378100). The circular map was generated using the </w:t>
      </w:r>
      <w:bookmarkStart w:id="0" w:name="_GoBack"/>
      <w:r w:rsidRPr="00F35FFB">
        <w:rPr>
          <w:sz w:val="18"/>
          <w:szCs w:val="18"/>
        </w:rPr>
        <w:t xml:space="preserve">BLAST Ring Image Generator. The </w:t>
      </w:r>
      <w:r w:rsidRPr="00F35FFB">
        <w:rPr>
          <w:i/>
          <w:sz w:val="18"/>
          <w:szCs w:val="18"/>
        </w:rPr>
        <w:t>rmpA</w:t>
      </w:r>
      <w:r w:rsidRPr="00F35FFB">
        <w:rPr>
          <w:sz w:val="18"/>
          <w:szCs w:val="18"/>
        </w:rPr>
        <w:t xml:space="preserve"> and </w:t>
      </w:r>
      <w:r w:rsidRPr="00F35FFB">
        <w:rPr>
          <w:i/>
          <w:sz w:val="18"/>
          <w:szCs w:val="18"/>
        </w:rPr>
        <w:t>rmpA2</w:t>
      </w:r>
      <w:r w:rsidRPr="00F35FFB">
        <w:rPr>
          <w:sz w:val="18"/>
          <w:szCs w:val="18"/>
        </w:rPr>
        <w:t xml:space="preserve"> genes are colored red.</w:t>
      </w:r>
      <w:bookmarkEnd w:id="0"/>
      <w:r w:rsidRPr="00F35FFB">
        <w:rPr>
          <w:sz w:val="18"/>
          <w:szCs w:val="18"/>
        </w:rPr>
        <w:t xml:space="preserve"> </w:t>
      </w:r>
      <w:r w:rsidR="00D3310B">
        <w:rPr>
          <w:sz w:val="18"/>
          <w:szCs w:val="18"/>
        </w:rPr>
        <w:t>(d)</w:t>
      </w:r>
      <w:r w:rsidRPr="00F35FFB">
        <w:rPr>
          <w:sz w:val="18"/>
          <w:szCs w:val="18"/>
        </w:rPr>
        <w:t xml:space="preserve"> Comparison of the genetic environment of six </w:t>
      </w:r>
      <w:r w:rsidRPr="00F35FFB">
        <w:rPr>
          <w:i/>
          <w:sz w:val="18"/>
          <w:szCs w:val="18"/>
        </w:rPr>
        <w:t>rmpA2</w:t>
      </w:r>
      <w:r w:rsidRPr="00F35FFB">
        <w:rPr>
          <w:sz w:val="18"/>
          <w:szCs w:val="18"/>
        </w:rPr>
        <w:t xml:space="preserve"> genes detected in this study. The </w:t>
      </w:r>
      <w:r w:rsidRPr="00F35FFB">
        <w:rPr>
          <w:i/>
          <w:sz w:val="18"/>
          <w:szCs w:val="18"/>
        </w:rPr>
        <w:t>rmpA2</w:t>
      </w:r>
      <w:r w:rsidRPr="00F35FFB">
        <w:rPr>
          <w:sz w:val="18"/>
          <w:szCs w:val="18"/>
        </w:rPr>
        <w:t xml:space="preserve"> genes are colored red. </w:t>
      </w:r>
    </w:p>
    <w:sectPr w:rsidR="00FA52B2" w:rsidRPr="00FA52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7DF" w:rsidRDefault="001027DF" w:rsidP="00B60E7C">
      <w:r>
        <w:separator/>
      </w:r>
    </w:p>
  </w:endnote>
  <w:endnote w:type="continuationSeparator" w:id="0">
    <w:p w:rsidR="001027DF" w:rsidRDefault="001027DF" w:rsidP="00B60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7DF" w:rsidRDefault="001027DF" w:rsidP="00B60E7C">
      <w:r>
        <w:separator/>
      </w:r>
    </w:p>
  </w:footnote>
  <w:footnote w:type="continuationSeparator" w:id="0">
    <w:p w:rsidR="001027DF" w:rsidRDefault="001027DF" w:rsidP="00B60E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B2"/>
    <w:rsid w:val="001027DF"/>
    <w:rsid w:val="001A24E7"/>
    <w:rsid w:val="00451EF1"/>
    <w:rsid w:val="004B4C6C"/>
    <w:rsid w:val="00894CDC"/>
    <w:rsid w:val="00A02002"/>
    <w:rsid w:val="00B60E7C"/>
    <w:rsid w:val="00D32AEE"/>
    <w:rsid w:val="00D3310B"/>
    <w:rsid w:val="00FA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CF90F3-7AEA-4099-9937-64349889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2B2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0E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0E7C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4">
    <w:name w:val="footer"/>
    <w:basedOn w:val="a"/>
    <w:link w:val="Char0"/>
    <w:uiPriority w:val="99"/>
    <w:unhideWhenUsed/>
    <w:rsid w:val="00B60E7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0E7C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customStyle="1" w:styleId="authadd">
    <w:name w:val="authadd"/>
    <w:basedOn w:val="a"/>
    <w:rsid w:val="00A02002"/>
    <w:pPr>
      <w:spacing w:line="240" w:lineRule="exact"/>
    </w:pPr>
    <w:rPr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279</Words>
  <Characters>1591</Characters>
  <Application>Microsoft Office Word</Application>
  <DocSecurity>0</DocSecurity>
  <Lines>13</Lines>
  <Paragraphs>3</Paragraphs>
  <ScaleCrop>false</ScaleCrop>
  <Company>HP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5</cp:revision>
  <dcterms:created xsi:type="dcterms:W3CDTF">2020-12-04T06:06:00Z</dcterms:created>
  <dcterms:modified xsi:type="dcterms:W3CDTF">2020-12-15T07:25:00Z</dcterms:modified>
</cp:coreProperties>
</file>