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2C40" w14:textId="77777777" w:rsidR="00590051" w:rsidRDefault="00590051" w:rsidP="00590051">
      <w:pPr>
        <w:autoSpaceDE w:val="0"/>
        <w:autoSpaceDN w:val="0"/>
        <w:adjustRightInd w:val="0"/>
        <w:rPr>
          <w:rFonts w:eastAsiaTheme="minorEastAsia"/>
          <w:b/>
        </w:rPr>
      </w:pPr>
      <w:r w:rsidRPr="00590051">
        <w:rPr>
          <w:rFonts w:eastAsiaTheme="minorEastAsia"/>
          <w:b/>
        </w:rPr>
        <w:t xml:space="preserve">Supplementary data for </w:t>
      </w:r>
    </w:p>
    <w:p w14:paraId="42943797" w14:textId="77777777" w:rsidR="00590051" w:rsidRDefault="00590051" w:rsidP="00F84DCC">
      <w:pPr>
        <w:pStyle w:val="haffiliations"/>
        <w:autoSpaceDE w:val="0"/>
        <w:autoSpaceDN w:val="0"/>
        <w:adjustRightInd w:val="0"/>
        <w:spacing w:before="0"/>
        <w:rPr>
          <w:rFonts w:eastAsiaTheme="minorEastAsia"/>
          <w:b/>
          <w:sz w:val="30"/>
          <w:szCs w:val="30"/>
        </w:rPr>
      </w:pPr>
      <w:r w:rsidRPr="00D1381C">
        <w:rPr>
          <w:rFonts w:eastAsiaTheme="minorEastAsia"/>
          <w:b/>
          <w:sz w:val="30"/>
          <w:szCs w:val="30"/>
        </w:rPr>
        <w:t>Transactive Demand Response Operation at the Grid Edge using the IEEE2030.5 Standard</w:t>
      </w:r>
    </w:p>
    <w:p w14:paraId="4B25795E" w14:textId="77777777" w:rsidR="00590051" w:rsidRPr="00590051" w:rsidRDefault="00590051" w:rsidP="00590051">
      <w:pPr>
        <w:pStyle w:val="Paragraph"/>
        <w:spacing w:before="0"/>
        <w:ind w:firstLine="0"/>
        <w:rPr>
          <w:rFonts w:eastAsia="等线"/>
          <w:lang w:eastAsia="zh-CN"/>
        </w:rPr>
      </w:pPr>
      <w:r w:rsidRPr="00D1381C">
        <w:rPr>
          <w:rFonts w:eastAsia="等线"/>
          <w:lang w:eastAsia="zh-CN"/>
        </w:rPr>
        <w:t>Javad Fattahi, Mikhak Samadi, Melike Erol-Kantarci, Henry Schriemer</w:t>
      </w:r>
      <w:r>
        <w:rPr>
          <w:rFonts w:eastAsia="等线"/>
          <w:lang w:eastAsia="zh-CN"/>
        </w:rPr>
        <w:t>*</w:t>
      </w:r>
    </w:p>
    <w:p w14:paraId="77ADD8FF" w14:textId="77777777" w:rsidR="00590051" w:rsidRDefault="00590051" w:rsidP="00590051">
      <w:pPr>
        <w:pStyle w:val="haffiliations"/>
        <w:autoSpaceDE w:val="0"/>
        <w:autoSpaceDN w:val="0"/>
        <w:adjustRightInd w:val="0"/>
        <w:rPr>
          <w:rFonts w:eastAsia="Times New Roman"/>
          <w:i/>
          <w:sz w:val="18"/>
          <w:szCs w:val="18"/>
        </w:rPr>
      </w:pPr>
      <w:r w:rsidRPr="00D1381C">
        <w:rPr>
          <w:rFonts w:eastAsia="Times New Roman"/>
          <w:i/>
          <w:sz w:val="18"/>
          <w:szCs w:val="18"/>
        </w:rPr>
        <w:t>School of Electrical Engineering and Computer Science, University of Ottawa, Canada</w:t>
      </w:r>
    </w:p>
    <w:p w14:paraId="636AA446" w14:textId="77777777" w:rsidR="00590051" w:rsidRDefault="00590051" w:rsidP="00590051">
      <w:pPr>
        <w:autoSpaceDE w:val="0"/>
        <w:autoSpaceDN w:val="0"/>
        <w:adjustRightInd w:val="0"/>
        <w:rPr>
          <w:rFonts w:eastAsiaTheme="minorEastAsia"/>
          <w:b/>
        </w:rPr>
      </w:pPr>
    </w:p>
    <w:p w14:paraId="0D2CF22A" w14:textId="6B8C1512" w:rsidR="00590051" w:rsidRPr="001C6F85" w:rsidRDefault="00590051" w:rsidP="001C6F85">
      <w:pPr>
        <w:jc w:val="both"/>
        <w:rPr>
          <w:rFonts w:ascii="宋体" w:hAnsi="宋体" w:cs="宋体"/>
          <w:lang w:eastAsia="zh-CN"/>
        </w:rPr>
      </w:pPr>
      <w:r>
        <w:t xml:space="preserve">The select SEP 2.0 function sets used to implement the TDR activities are listed in column 1 of Table </w:t>
      </w:r>
      <w:r w:rsidR="00CE7687">
        <w:t>S</w:t>
      </w:r>
      <w:r>
        <w:t xml:space="preserve">1. The functionality enabled by each set is given in column 2, the telemetry type in column 3, and the data flow server/client status in columns 4 and 5. The last column lists the essential attributes and elements of each function set. Attributes group similar elements and convey related metadata to support the parsing of data in the elements. These elements contain the requisite data on which TA and HEMS agents operate. </w:t>
      </w:r>
      <w:r w:rsidR="001C6F85">
        <w:rPr>
          <w:sz w:val="21"/>
          <w:szCs w:val="21"/>
        </w:rPr>
        <w:t xml:space="preserve">We use the </w:t>
      </w:r>
      <w:r w:rsidR="001C6F85">
        <w:rPr>
          <w:b/>
          <w:i/>
          <w:sz w:val="21"/>
          <w:szCs w:val="21"/>
        </w:rPr>
        <w:t>DemandResponseProgram</w:t>
      </w:r>
      <w:r w:rsidR="001C6F85">
        <w:rPr>
          <w:sz w:val="21"/>
          <w:szCs w:val="21"/>
        </w:rPr>
        <w:t xml:space="preserve"> function set to initiate the DR even</w:t>
      </w:r>
      <w:r w:rsidR="001C6F85">
        <w:rPr>
          <w:sz w:val="21"/>
          <w:szCs w:val="21"/>
        </w:rPr>
        <w:t xml:space="preserve">t. The essential attributes are </w:t>
      </w:r>
      <w:r w:rsidR="001C6F85">
        <w:rPr>
          <w:i/>
          <w:sz w:val="21"/>
          <w:szCs w:val="21"/>
        </w:rPr>
        <w:t>availabilityUpdatePercentChangeThreshold</w:t>
      </w:r>
      <w:r w:rsidR="001C6F85">
        <w:rPr>
          <w:sz w:val="21"/>
          <w:szCs w:val="21"/>
        </w:rPr>
        <w:t xml:space="preserve">, which allows one to specify the granularity of updates to the available load shed as a percentage; </w:t>
      </w:r>
      <w:r w:rsidR="001C6F85">
        <w:rPr>
          <w:i/>
          <w:sz w:val="21"/>
          <w:szCs w:val="21"/>
        </w:rPr>
        <w:t>availabilityUpdatePowerChangeThreshold</w:t>
      </w:r>
      <w:r w:rsidR="001C6F85">
        <w:rPr>
          <w:sz w:val="21"/>
          <w:szCs w:val="21"/>
        </w:rPr>
        <w:t xml:space="preserve">, which specifies it in power units (e.g,. Watts); and </w:t>
      </w:r>
      <w:r w:rsidR="001C6F85">
        <w:rPr>
          <w:i/>
          <w:sz w:val="21"/>
          <w:szCs w:val="21"/>
        </w:rPr>
        <w:t>primacy</w:t>
      </w:r>
      <w:r w:rsidR="001C6F85">
        <w:rPr>
          <w:sz w:val="21"/>
          <w:szCs w:val="21"/>
        </w:rPr>
        <w:t xml:space="preserve">, which shows the provider type (e.g., home energy management, contracted, or non-contractual service provider). </w:t>
      </w:r>
      <w:r>
        <w:t xml:space="preserve">To perform a specified action during a DR event, we use the </w:t>
      </w:r>
      <w:r>
        <w:rPr>
          <w:b/>
          <w:i/>
        </w:rPr>
        <w:t>EndDeviceControl</w:t>
      </w:r>
      <w:r>
        <w:t xml:space="preserve"> function set, which may be considered as an asset container that performs one or more end-device functions. The essential attributes used here are summarized as follows: </w:t>
      </w:r>
      <w:r>
        <w:rPr>
          <w:i/>
        </w:rPr>
        <w:t>creationTime</w:t>
      </w:r>
      <w:r>
        <w:t xml:space="preserve"> is the timestamp at which the DR event is created; </w:t>
      </w:r>
      <w:r>
        <w:rPr>
          <w:i/>
        </w:rPr>
        <w:t>EventStatus</w:t>
      </w:r>
      <w:r>
        <w:t xml:space="preserve"> indicates general information about the event current status, such as scheduled, active, or cancelled; </w:t>
      </w:r>
      <w:r>
        <w:rPr>
          <w:i/>
        </w:rPr>
        <w:t>dateTime</w:t>
      </w:r>
      <w:r>
        <w:t xml:space="preserve"> and </w:t>
      </w:r>
      <w:r>
        <w:rPr>
          <w:i/>
        </w:rPr>
        <w:t>potentiallySuperseded</w:t>
      </w:r>
      <w:r>
        <w:t xml:space="preserve"> provide a timestamp of when the current status was defined, and if there are other events that may overlap this event, respectively; </w:t>
      </w:r>
      <w:r>
        <w:rPr>
          <w:i/>
        </w:rPr>
        <w:t>interval</w:t>
      </w:r>
      <w:r>
        <w:t xml:space="preserve"> identifies the period during which the DR event applies; and </w:t>
      </w:r>
      <w:r>
        <w:rPr>
          <w:i/>
        </w:rPr>
        <w:t>randomizeDuration</w:t>
      </w:r>
      <w:r>
        <w:t xml:space="preserve"> and </w:t>
      </w:r>
      <w:r>
        <w:rPr>
          <w:i/>
        </w:rPr>
        <w:t>randomizeStart</w:t>
      </w:r>
      <w:r>
        <w:t xml:space="preserve"> are random values that may be applied to the associated interval duration and starting time to avoid synchronized actions across multiple devices. The </w:t>
      </w:r>
      <w:r>
        <w:rPr>
          <w:i/>
        </w:rPr>
        <w:t>drProgramMandatory</w:t>
      </w:r>
      <w:r>
        <w:t xml:space="preserve"> element is a flag to indicate </w:t>
      </w:r>
      <w:r w:rsidR="001C6F85">
        <w:rPr>
          <w:sz w:val="21"/>
          <w:szCs w:val="21"/>
        </w:rPr>
        <w:t xml:space="preserve">the nature of the DR request. </w:t>
      </w:r>
      <w:r>
        <w:t xml:space="preserve">We use this flag to distinguish between negotiation steps and the final DR request by asserting each to be FALSE and TRUE, respectively. The </w:t>
      </w:r>
      <w:r>
        <w:rPr>
          <w:i/>
        </w:rPr>
        <w:t>drProgramMandatory</w:t>
      </w:r>
      <w:r>
        <w:t xml:space="preserve"> flag alerts the user that they will be subject to a penalty if they do not comply with the DR request, and </w:t>
      </w:r>
      <w:r>
        <w:rPr>
          <w:i/>
        </w:rPr>
        <w:t>overrideDuration</w:t>
      </w:r>
      <w:r>
        <w:t xml:space="preserve"> is the time the user may override </w:t>
      </w:r>
      <w:r>
        <w:rPr>
          <w:b/>
          <w:i/>
        </w:rPr>
        <w:t>EndDeviceControl</w:t>
      </w:r>
      <w:r>
        <w:t xml:space="preserve"> and still remain compliant with the DR request. </w:t>
      </w:r>
      <w:r>
        <w:rPr>
          <w:i/>
        </w:rPr>
        <w:t>TargetReduction</w:t>
      </w:r>
      <w:r>
        <w:t xml:space="preserve"> is the power reduction requested during negotiation.</w:t>
      </w:r>
    </w:p>
    <w:p w14:paraId="1052FBD8" w14:textId="77777777" w:rsidR="00590051" w:rsidRDefault="00590051" w:rsidP="00F84DCC">
      <w:pPr>
        <w:pStyle w:val="happendixtext"/>
        <w:autoSpaceDE w:val="0"/>
        <w:autoSpaceDN w:val="0"/>
        <w:adjustRightInd w:val="0"/>
        <w:spacing w:before="0"/>
        <w:ind w:firstLineChars="100" w:firstLine="210"/>
        <w:jc w:val="both"/>
        <w:rPr>
          <w:szCs w:val="24"/>
        </w:rPr>
      </w:pPr>
      <w:r>
        <w:rPr>
          <w:szCs w:val="24"/>
        </w:rPr>
        <w:t xml:space="preserve">In response to </w:t>
      </w:r>
      <w:r w:rsidRPr="00366217">
        <w:rPr>
          <w:b/>
          <w:i/>
          <w:szCs w:val="24"/>
        </w:rPr>
        <w:t>EndDeviceControl</w:t>
      </w:r>
      <w:r>
        <w:rPr>
          <w:szCs w:val="24"/>
        </w:rPr>
        <w:t xml:space="preserve">, all clients must perform a response using </w:t>
      </w:r>
      <w:r w:rsidRPr="00366217">
        <w:rPr>
          <w:b/>
          <w:i/>
          <w:szCs w:val="24"/>
        </w:rPr>
        <w:t>DrResponse</w:t>
      </w:r>
      <w:r>
        <w:rPr>
          <w:szCs w:val="24"/>
        </w:rPr>
        <w:t xml:space="preserve">, which contains elements similar to those that are listed in the </w:t>
      </w:r>
      <w:r w:rsidRPr="00366217">
        <w:rPr>
          <w:b/>
          <w:i/>
          <w:szCs w:val="24"/>
        </w:rPr>
        <w:t>EndDeviceControl</w:t>
      </w:r>
      <w:r>
        <w:rPr>
          <w:szCs w:val="24"/>
        </w:rPr>
        <w:t xml:space="preserve">. In addition, </w:t>
      </w:r>
      <w:r w:rsidRPr="00366217">
        <w:rPr>
          <w:i/>
          <w:szCs w:val="24"/>
        </w:rPr>
        <w:t>AppliedTargetReduction</w:t>
      </w:r>
      <w:r>
        <w:rPr>
          <w:szCs w:val="24"/>
        </w:rPr>
        <w:t xml:space="preserve"> is the reduction actually applied by the HEMS agent or individual device. </w:t>
      </w:r>
      <w:r w:rsidRPr="00366217">
        <w:rPr>
          <w:i/>
          <w:szCs w:val="24"/>
        </w:rPr>
        <w:t>ApplianceLoadReduction</w:t>
      </w:r>
      <w:r>
        <w:rPr>
          <w:szCs w:val="24"/>
        </w:rPr>
        <w:t xml:space="preserve"> is typically used to do DR; for non-emergency DR, its value is FALSE (operation can continue), whereas for emergency/spinning reserve events, its value is TRUE (appliance should shed load).</w:t>
      </w:r>
    </w:p>
    <w:p w14:paraId="5A9444FD" w14:textId="77777777" w:rsidR="00F84DCC" w:rsidRDefault="00F84DCC" w:rsidP="00F84DCC">
      <w:pPr>
        <w:pStyle w:val="happendixtext"/>
        <w:autoSpaceDE w:val="0"/>
        <w:autoSpaceDN w:val="0"/>
        <w:adjustRightInd w:val="0"/>
        <w:spacing w:before="0"/>
        <w:ind w:firstLineChars="100" w:firstLine="210"/>
        <w:jc w:val="both"/>
        <w:rPr>
          <w:szCs w:val="24"/>
        </w:rPr>
      </w:pPr>
    </w:p>
    <w:p w14:paraId="05278E9B" w14:textId="3E43C416" w:rsidR="00F84DCC" w:rsidRPr="00F84DCC" w:rsidRDefault="00590051" w:rsidP="00F84DCC">
      <w:pPr>
        <w:autoSpaceDE w:val="0"/>
        <w:autoSpaceDN w:val="0"/>
        <w:adjustRightInd w:val="0"/>
        <w:rPr>
          <w:sz w:val="18"/>
        </w:rPr>
      </w:pPr>
      <w:r w:rsidRPr="00F84DCC">
        <w:rPr>
          <w:b/>
          <w:sz w:val="18"/>
        </w:rPr>
        <w:t xml:space="preserve">Table </w:t>
      </w:r>
      <w:r w:rsidR="00CE7687">
        <w:rPr>
          <w:b/>
          <w:sz w:val="18"/>
        </w:rPr>
        <w:t>S</w:t>
      </w:r>
      <w:r w:rsidRPr="00F84DCC">
        <w:rPr>
          <w:b/>
          <w:sz w:val="18"/>
        </w:rPr>
        <w:t>1</w:t>
      </w:r>
      <w:r w:rsidR="00CE7687">
        <w:rPr>
          <w:rFonts w:hint="eastAsia"/>
          <w:b/>
          <w:sz w:val="18"/>
          <w:lang w:eastAsia="zh-CN"/>
        </w:rPr>
        <w:t>.</w:t>
      </w:r>
      <w:r w:rsidRPr="00F84DCC">
        <w:rPr>
          <w:sz w:val="18"/>
        </w:rPr>
        <w:t xml:space="preserve"> </w:t>
      </w:r>
    </w:p>
    <w:p w14:paraId="59968AFA" w14:textId="77777777" w:rsidR="00590051" w:rsidRPr="00F84DCC" w:rsidRDefault="00590051" w:rsidP="00F84DCC">
      <w:pPr>
        <w:autoSpaceDE w:val="0"/>
        <w:autoSpaceDN w:val="0"/>
        <w:adjustRightInd w:val="0"/>
        <w:rPr>
          <w:sz w:val="18"/>
        </w:rPr>
      </w:pPr>
      <w:r w:rsidRPr="00F84DCC">
        <w:rPr>
          <w:sz w:val="18"/>
        </w:rPr>
        <w:t>Select SEP 2.0 function sets and their corresponding essential attributes as used in our API.</w:t>
      </w:r>
    </w:p>
    <w:tbl>
      <w:tblPr>
        <w:tblW w:w="10343" w:type="dxa"/>
        <w:tblInd w:w="5" w:type="dxa"/>
        <w:tblLayout w:type="fixed"/>
        <w:tblCellMar>
          <w:left w:w="0" w:type="dxa"/>
          <w:right w:w="0" w:type="dxa"/>
        </w:tblCellMar>
        <w:tblLook w:val="0000" w:firstRow="0" w:lastRow="0" w:firstColumn="0" w:lastColumn="0" w:noHBand="0" w:noVBand="0"/>
      </w:tblPr>
      <w:tblGrid>
        <w:gridCol w:w="1838"/>
        <w:gridCol w:w="2268"/>
        <w:gridCol w:w="992"/>
        <w:gridCol w:w="709"/>
        <w:gridCol w:w="1134"/>
        <w:gridCol w:w="3402"/>
      </w:tblGrid>
      <w:tr w:rsidR="00F84DCC" w:rsidRPr="00F84DCC" w14:paraId="051A95E9" w14:textId="77777777" w:rsidTr="001C6F85">
        <w:trPr>
          <w:tblHeader/>
        </w:trPr>
        <w:tc>
          <w:tcPr>
            <w:tcW w:w="1838" w:type="dxa"/>
            <w:vMerge w:val="restart"/>
            <w:tcBorders>
              <w:top w:val="single" w:sz="6" w:space="0" w:color="auto"/>
              <w:bottom w:val="single" w:sz="6" w:space="0" w:color="auto"/>
            </w:tcBorders>
            <w:shd w:val="clear" w:color="auto" w:fill="auto"/>
          </w:tcPr>
          <w:p w14:paraId="7F5E7B46" w14:textId="77777777" w:rsidR="00590051" w:rsidRPr="00F84DCC" w:rsidRDefault="00590051" w:rsidP="00F84DCC">
            <w:pPr>
              <w:rPr>
                <w:rFonts w:eastAsiaTheme="minorHAnsi"/>
                <w:bCs/>
                <w:sz w:val="15"/>
                <w:szCs w:val="15"/>
              </w:rPr>
            </w:pPr>
            <w:r w:rsidRPr="00F84DCC">
              <w:rPr>
                <w:rFonts w:eastAsiaTheme="minorHAnsi"/>
                <w:bCs/>
                <w:sz w:val="15"/>
                <w:szCs w:val="15"/>
              </w:rPr>
              <w:t>Function</w:t>
            </w:r>
            <w:r w:rsidR="00F84DCC" w:rsidRPr="00F84DCC">
              <w:rPr>
                <w:rFonts w:eastAsiaTheme="minorEastAsia"/>
                <w:bCs/>
                <w:sz w:val="15"/>
                <w:szCs w:val="15"/>
                <w:lang w:eastAsia="zh-CN"/>
              </w:rPr>
              <w:t xml:space="preserve"> s</w:t>
            </w:r>
            <w:r w:rsidRPr="00F84DCC">
              <w:rPr>
                <w:rFonts w:eastAsiaTheme="minorHAnsi"/>
                <w:bCs/>
                <w:sz w:val="15"/>
                <w:szCs w:val="15"/>
              </w:rPr>
              <w:t>et</w:t>
            </w:r>
          </w:p>
        </w:tc>
        <w:tc>
          <w:tcPr>
            <w:tcW w:w="2268" w:type="dxa"/>
            <w:vMerge w:val="restart"/>
            <w:tcBorders>
              <w:top w:val="single" w:sz="6" w:space="0" w:color="auto"/>
              <w:bottom w:val="single" w:sz="6" w:space="0" w:color="auto"/>
            </w:tcBorders>
            <w:shd w:val="clear" w:color="auto" w:fill="auto"/>
          </w:tcPr>
          <w:p w14:paraId="66AC2031" w14:textId="77777777" w:rsidR="00590051" w:rsidRPr="00F84DCC" w:rsidRDefault="00590051" w:rsidP="00F84DCC">
            <w:pPr>
              <w:tabs>
                <w:tab w:val="center" w:pos="4800"/>
                <w:tab w:val="right" w:pos="9500"/>
              </w:tabs>
              <w:ind w:left="25"/>
              <w:rPr>
                <w:bCs/>
                <w:sz w:val="15"/>
                <w:szCs w:val="15"/>
              </w:rPr>
            </w:pPr>
            <w:r w:rsidRPr="00F84DCC">
              <w:rPr>
                <w:rFonts w:eastAsiaTheme="minorHAnsi"/>
                <w:bCs/>
                <w:sz w:val="15"/>
                <w:szCs w:val="15"/>
              </w:rPr>
              <w:t>Functionality</w:t>
            </w:r>
          </w:p>
        </w:tc>
        <w:tc>
          <w:tcPr>
            <w:tcW w:w="992" w:type="dxa"/>
            <w:vMerge w:val="restart"/>
            <w:tcBorders>
              <w:top w:val="single" w:sz="6" w:space="0" w:color="auto"/>
              <w:bottom w:val="single" w:sz="6" w:space="0" w:color="auto"/>
            </w:tcBorders>
            <w:shd w:val="clear" w:color="auto" w:fill="auto"/>
          </w:tcPr>
          <w:p w14:paraId="745BEA10" w14:textId="77777777" w:rsidR="00590051" w:rsidRPr="00F84DCC" w:rsidRDefault="00590051" w:rsidP="00F84DCC">
            <w:pPr>
              <w:rPr>
                <w:rFonts w:eastAsiaTheme="minorHAnsi"/>
                <w:bCs/>
                <w:sz w:val="15"/>
                <w:szCs w:val="15"/>
              </w:rPr>
            </w:pPr>
            <w:r w:rsidRPr="00F84DCC">
              <w:rPr>
                <w:rFonts w:eastAsiaTheme="minorHAnsi"/>
                <w:bCs/>
                <w:sz w:val="15"/>
                <w:szCs w:val="15"/>
              </w:rPr>
              <w:t>Telemetry</w:t>
            </w:r>
            <w:r w:rsidR="00F84DCC" w:rsidRPr="00F84DCC">
              <w:rPr>
                <w:rFonts w:eastAsiaTheme="minorEastAsia"/>
                <w:bCs/>
                <w:sz w:val="15"/>
                <w:szCs w:val="15"/>
                <w:lang w:eastAsia="zh-CN"/>
              </w:rPr>
              <w:t xml:space="preserve"> </w:t>
            </w:r>
            <w:r w:rsidRPr="00F84DCC">
              <w:rPr>
                <w:rFonts w:eastAsiaTheme="minorHAnsi"/>
                <w:bCs/>
                <w:sz w:val="15"/>
                <w:szCs w:val="15"/>
              </w:rPr>
              <w:t>type</w:t>
            </w:r>
          </w:p>
        </w:tc>
        <w:tc>
          <w:tcPr>
            <w:tcW w:w="1843" w:type="dxa"/>
            <w:gridSpan w:val="2"/>
            <w:tcBorders>
              <w:top w:val="single" w:sz="6" w:space="0" w:color="auto"/>
              <w:bottom w:val="single" w:sz="6" w:space="0" w:color="auto"/>
            </w:tcBorders>
            <w:shd w:val="clear" w:color="auto" w:fill="auto"/>
          </w:tcPr>
          <w:p w14:paraId="052F6818" w14:textId="77777777" w:rsidR="00590051" w:rsidRPr="00F84DCC" w:rsidRDefault="00590051" w:rsidP="00F84DCC">
            <w:pPr>
              <w:tabs>
                <w:tab w:val="center" w:pos="4800"/>
                <w:tab w:val="right" w:pos="9500"/>
              </w:tabs>
              <w:rPr>
                <w:bCs/>
                <w:sz w:val="15"/>
                <w:szCs w:val="15"/>
              </w:rPr>
            </w:pPr>
            <w:r w:rsidRPr="00F84DCC">
              <w:rPr>
                <w:rFonts w:eastAsiaTheme="minorHAnsi"/>
                <w:bCs/>
                <w:sz w:val="15"/>
                <w:szCs w:val="15"/>
              </w:rPr>
              <w:t>Data flow</w:t>
            </w:r>
          </w:p>
        </w:tc>
        <w:tc>
          <w:tcPr>
            <w:tcW w:w="3402" w:type="dxa"/>
            <w:vMerge w:val="restart"/>
            <w:tcBorders>
              <w:top w:val="single" w:sz="6" w:space="0" w:color="auto"/>
              <w:bottom w:val="single" w:sz="6" w:space="0" w:color="auto"/>
            </w:tcBorders>
            <w:shd w:val="clear" w:color="auto" w:fill="auto"/>
          </w:tcPr>
          <w:p w14:paraId="06B91300" w14:textId="77777777" w:rsidR="00590051" w:rsidRPr="00F84DCC" w:rsidRDefault="00590051" w:rsidP="00F84DCC">
            <w:pPr>
              <w:tabs>
                <w:tab w:val="center" w:pos="4800"/>
                <w:tab w:val="right" w:pos="9500"/>
              </w:tabs>
              <w:ind w:left="27" w:right="86"/>
              <w:rPr>
                <w:bCs/>
                <w:sz w:val="15"/>
                <w:szCs w:val="15"/>
              </w:rPr>
            </w:pPr>
            <w:r w:rsidRPr="00F84DCC">
              <w:rPr>
                <w:rFonts w:eastAsiaTheme="minorHAnsi"/>
                <w:bCs/>
                <w:sz w:val="15"/>
                <w:szCs w:val="15"/>
              </w:rPr>
              <w:t>Essential attributes</w:t>
            </w:r>
          </w:p>
        </w:tc>
      </w:tr>
      <w:tr w:rsidR="00590051" w:rsidRPr="00F84DCC" w14:paraId="3B9B1EE3" w14:textId="77777777" w:rsidTr="001C6F85">
        <w:trPr>
          <w:tblHeader/>
        </w:trPr>
        <w:tc>
          <w:tcPr>
            <w:tcW w:w="1838" w:type="dxa"/>
            <w:vMerge/>
            <w:tcBorders>
              <w:top w:val="single" w:sz="6" w:space="0" w:color="auto"/>
              <w:bottom w:val="single" w:sz="4" w:space="0" w:color="auto"/>
            </w:tcBorders>
            <w:shd w:val="clear" w:color="auto" w:fill="auto"/>
          </w:tcPr>
          <w:p w14:paraId="67F5B3E1" w14:textId="77777777" w:rsidR="00590051" w:rsidRPr="00F84DCC" w:rsidRDefault="00590051" w:rsidP="00F84DCC">
            <w:pPr>
              <w:tabs>
                <w:tab w:val="center" w:pos="4800"/>
                <w:tab w:val="right" w:pos="9500"/>
              </w:tabs>
              <w:rPr>
                <w:sz w:val="15"/>
                <w:szCs w:val="15"/>
              </w:rPr>
            </w:pPr>
          </w:p>
        </w:tc>
        <w:tc>
          <w:tcPr>
            <w:tcW w:w="2268" w:type="dxa"/>
            <w:vMerge/>
            <w:tcBorders>
              <w:top w:val="single" w:sz="6" w:space="0" w:color="auto"/>
              <w:bottom w:val="single" w:sz="4" w:space="0" w:color="auto"/>
            </w:tcBorders>
            <w:shd w:val="clear" w:color="auto" w:fill="auto"/>
          </w:tcPr>
          <w:p w14:paraId="5802AD55" w14:textId="77777777" w:rsidR="00590051" w:rsidRPr="00F84DCC" w:rsidRDefault="00590051" w:rsidP="00F84DCC">
            <w:pPr>
              <w:tabs>
                <w:tab w:val="center" w:pos="4800"/>
                <w:tab w:val="right" w:pos="9500"/>
              </w:tabs>
              <w:ind w:left="25"/>
              <w:rPr>
                <w:sz w:val="15"/>
                <w:szCs w:val="15"/>
              </w:rPr>
            </w:pPr>
          </w:p>
        </w:tc>
        <w:tc>
          <w:tcPr>
            <w:tcW w:w="992" w:type="dxa"/>
            <w:vMerge/>
            <w:tcBorders>
              <w:top w:val="single" w:sz="6" w:space="0" w:color="auto"/>
              <w:bottom w:val="single" w:sz="4" w:space="0" w:color="auto"/>
            </w:tcBorders>
            <w:shd w:val="clear" w:color="auto" w:fill="auto"/>
          </w:tcPr>
          <w:p w14:paraId="79C0739C" w14:textId="77777777" w:rsidR="00590051" w:rsidRPr="00F84DCC" w:rsidRDefault="00590051" w:rsidP="00F84DCC">
            <w:pPr>
              <w:tabs>
                <w:tab w:val="center" w:pos="4800"/>
                <w:tab w:val="right" w:pos="9500"/>
              </w:tabs>
              <w:rPr>
                <w:sz w:val="15"/>
                <w:szCs w:val="15"/>
              </w:rPr>
            </w:pPr>
          </w:p>
        </w:tc>
        <w:tc>
          <w:tcPr>
            <w:tcW w:w="709" w:type="dxa"/>
            <w:tcBorders>
              <w:top w:val="single" w:sz="6" w:space="0" w:color="auto"/>
              <w:bottom w:val="single" w:sz="4" w:space="0" w:color="auto"/>
            </w:tcBorders>
            <w:shd w:val="clear" w:color="auto" w:fill="auto"/>
          </w:tcPr>
          <w:p w14:paraId="672030CA" w14:textId="77777777" w:rsidR="00590051" w:rsidRPr="00F84DCC" w:rsidRDefault="00590051" w:rsidP="00F84DCC">
            <w:pPr>
              <w:tabs>
                <w:tab w:val="center" w:pos="4800"/>
                <w:tab w:val="right" w:pos="9500"/>
              </w:tabs>
              <w:rPr>
                <w:sz w:val="15"/>
                <w:szCs w:val="15"/>
              </w:rPr>
            </w:pPr>
            <w:r w:rsidRPr="00F84DCC">
              <w:rPr>
                <w:bCs/>
                <w:sz w:val="15"/>
                <w:szCs w:val="15"/>
              </w:rPr>
              <w:t>From</w:t>
            </w:r>
          </w:p>
        </w:tc>
        <w:tc>
          <w:tcPr>
            <w:tcW w:w="1134" w:type="dxa"/>
            <w:tcBorders>
              <w:top w:val="single" w:sz="6" w:space="0" w:color="auto"/>
              <w:bottom w:val="single" w:sz="4" w:space="0" w:color="auto"/>
            </w:tcBorders>
            <w:shd w:val="clear" w:color="auto" w:fill="auto"/>
          </w:tcPr>
          <w:p w14:paraId="58FC9ECE" w14:textId="77777777" w:rsidR="00590051" w:rsidRPr="00F84DCC" w:rsidRDefault="00590051" w:rsidP="00F84DCC">
            <w:pPr>
              <w:tabs>
                <w:tab w:val="center" w:pos="4800"/>
                <w:tab w:val="right" w:pos="9500"/>
              </w:tabs>
              <w:ind w:left="27"/>
              <w:rPr>
                <w:sz w:val="15"/>
                <w:szCs w:val="15"/>
              </w:rPr>
            </w:pPr>
            <w:r w:rsidRPr="00F84DCC">
              <w:rPr>
                <w:bCs/>
                <w:sz w:val="15"/>
                <w:szCs w:val="15"/>
              </w:rPr>
              <w:t>To</w:t>
            </w:r>
          </w:p>
        </w:tc>
        <w:tc>
          <w:tcPr>
            <w:tcW w:w="3402" w:type="dxa"/>
            <w:vMerge/>
            <w:tcBorders>
              <w:top w:val="single" w:sz="6" w:space="0" w:color="auto"/>
              <w:bottom w:val="single" w:sz="4" w:space="0" w:color="auto"/>
            </w:tcBorders>
            <w:shd w:val="clear" w:color="auto" w:fill="auto"/>
          </w:tcPr>
          <w:p w14:paraId="6E65347A" w14:textId="77777777" w:rsidR="00590051" w:rsidRPr="00F84DCC" w:rsidRDefault="00590051" w:rsidP="00F84DCC">
            <w:pPr>
              <w:tabs>
                <w:tab w:val="center" w:pos="4800"/>
                <w:tab w:val="right" w:pos="9500"/>
              </w:tabs>
              <w:ind w:left="27"/>
              <w:rPr>
                <w:sz w:val="15"/>
                <w:szCs w:val="15"/>
              </w:rPr>
            </w:pPr>
          </w:p>
        </w:tc>
      </w:tr>
      <w:tr w:rsidR="001C6F85" w14:paraId="686EE822" w14:textId="77777777" w:rsidTr="001C6F85">
        <w:tc>
          <w:tcPr>
            <w:tcW w:w="1838" w:type="dxa"/>
            <w:tcBorders>
              <w:top w:val="single" w:sz="4" w:space="0" w:color="auto"/>
            </w:tcBorders>
            <w:shd w:val="clear" w:color="auto" w:fill="auto"/>
          </w:tcPr>
          <w:p w14:paraId="5621E6B7" w14:textId="77777777" w:rsidR="001C6F85" w:rsidRPr="001C6F85" w:rsidRDefault="001C6F85">
            <w:pPr>
              <w:tabs>
                <w:tab w:val="center" w:pos="4800"/>
                <w:tab w:val="right" w:pos="9500"/>
              </w:tabs>
              <w:rPr>
                <w:b/>
                <w:bCs/>
                <w:i/>
                <w:sz w:val="15"/>
                <w:szCs w:val="15"/>
              </w:rPr>
            </w:pPr>
            <w:r w:rsidRPr="001C6F85">
              <w:rPr>
                <w:b/>
                <w:bCs/>
                <w:i/>
                <w:sz w:val="15"/>
                <w:szCs w:val="15"/>
              </w:rPr>
              <w:t>DemandResponseProgram</w:t>
            </w:r>
          </w:p>
        </w:tc>
        <w:tc>
          <w:tcPr>
            <w:tcW w:w="2268" w:type="dxa"/>
            <w:tcBorders>
              <w:top w:val="single" w:sz="4" w:space="0" w:color="auto"/>
            </w:tcBorders>
            <w:shd w:val="clear" w:color="auto" w:fill="auto"/>
          </w:tcPr>
          <w:p w14:paraId="6D9CEBB2" w14:textId="77777777" w:rsidR="001C6F85" w:rsidRPr="001C6F85" w:rsidRDefault="001C6F85">
            <w:pPr>
              <w:tabs>
                <w:tab w:val="center" w:pos="4800"/>
                <w:tab w:val="right" w:pos="9500"/>
              </w:tabs>
              <w:ind w:left="25"/>
              <w:rPr>
                <w:i/>
                <w:sz w:val="15"/>
                <w:szCs w:val="15"/>
              </w:rPr>
            </w:pPr>
            <w:r w:rsidRPr="001C6F85">
              <w:rPr>
                <w:i/>
                <w:sz w:val="15"/>
                <w:szCs w:val="15"/>
              </w:rPr>
              <w:t>DR program references</w:t>
            </w:r>
          </w:p>
        </w:tc>
        <w:tc>
          <w:tcPr>
            <w:tcW w:w="992" w:type="dxa"/>
            <w:tcBorders>
              <w:top w:val="single" w:sz="4" w:space="0" w:color="auto"/>
            </w:tcBorders>
            <w:shd w:val="clear" w:color="auto" w:fill="auto"/>
          </w:tcPr>
          <w:p w14:paraId="380AF71D" w14:textId="77777777" w:rsidR="001C6F85" w:rsidRPr="001C6F85" w:rsidRDefault="001C6F85">
            <w:pPr>
              <w:tabs>
                <w:tab w:val="center" w:pos="4800"/>
                <w:tab w:val="right" w:pos="9500"/>
              </w:tabs>
              <w:rPr>
                <w:sz w:val="15"/>
                <w:szCs w:val="15"/>
              </w:rPr>
            </w:pPr>
            <w:r w:rsidRPr="001C6F85">
              <w:rPr>
                <w:sz w:val="15"/>
                <w:szCs w:val="15"/>
              </w:rPr>
              <w:t>Command</w:t>
            </w:r>
          </w:p>
        </w:tc>
        <w:tc>
          <w:tcPr>
            <w:tcW w:w="709" w:type="dxa"/>
            <w:tcBorders>
              <w:top w:val="single" w:sz="4" w:space="0" w:color="auto"/>
            </w:tcBorders>
            <w:shd w:val="clear" w:color="auto" w:fill="auto"/>
          </w:tcPr>
          <w:p w14:paraId="17B6D94C" w14:textId="77777777" w:rsidR="001C6F85" w:rsidRPr="001C6F85" w:rsidRDefault="001C6F85">
            <w:pPr>
              <w:tabs>
                <w:tab w:val="center" w:pos="4800"/>
                <w:tab w:val="right" w:pos="9500"/>
              </w:tabs>
              <w:rPr>
                <w:sz w:val="15"/>
                <w:szCs w:val="15"/>
              </w:rPr>
            </w:pPr>
            <w:r w:rsidRPr="001C6F85">
              <w:rPr>
                <w:sz w:val="15"/>
                <w:szCs w:val="15"/>
              </w:rPr>
              <w:t>TA</w:t>
            </w:r>
          </w:p>
        </w:tc>
        <w:tc>
          <w:tcPr>
            <w:tcW w:w="1134" w:type="dxa"/>
            <w:tcBorders>
              <w:top w:val="single" w:sz="4" w:space="0" w:color="auto"/>
            </w:tcBorders>
            <w:shd w:val="clear" w:color="auto" w:fill="auto"/>
          </w:tcPr>
          <w:p w14:paraId="5CBAF034" w14:textId="77777777" w:rsidR="001C6F85" w:rsidRPr="001C6F85" w:rsidRDefault="001C6F85">
            <w:pPr>
              <w:tabs>
                <w:tab w:val="center" w:pos="4800"/>
                <w:tab w:val="right" w:pos="9500"/>
              </w:tabs>
              <w:ind w:left="27"/>
              <w:rPr>
                <w:sz w:val="15"/>
                <w:szCs w:val="15"/>
              </w:rPr>
            </w:pPr>
            <w:r w:rsidRPr="001C6F85">
              <w:rPr>
                <w:sz w:val="15"/>
                <w:szCs w:val="15"/>
              </w:rPr>
              <w:t>HEMS agent</w:t>
            </w:r>
          </w:p>
        </w:tc>
        <w:tc>
          <w:tcPr>
            <w:tcW w:w="3402" w:type="dxa"/>
            <w:tcBorders>
              <w:top w:val="single" w:sz="4" w:space="0" w:color="auto"/>
            </w:tcBorders>
            <w:shd w:val="clear" w:color="auto" w:fill="auto"/>
          </w:tcPr>
          <w:p w14:paraId="0A9DF28E" w14:textId="77777777" w:rsidR="001C6F85" w:rsidRPr="001C6F85" w:rsidRDefault="001C6F85">
            <w:pPr>
              <w:tabs>
                <w:tab w:val="center" w:pos="4800"/>
                <w:tab w:val="right" w:pos="9500"/>
              </w:tabs>
              <w:ind w:left="27"/>
              <w:rPr>
                <w:i/>
                <w:sz w:val="15"/>
                <w:szCs w:val="15"/>
              </w:rPr>
            </w:pPr>
            <w:r w:rsidRPr="001C6F85">
              <w:rPr>
                <w:i/>
                <w:sz w:val="15"/>
                <w:szCs w:val="15"/>
              </w:rPr>
              <w:t>availabilityUpdatePercentChangeThreshold, availabilityUpdatePowerChangeThreshold, primacy</w:t>
            </w:r>
          </w:p>
        </w:tc>
      </w:tr>
      <w:tr w:rsidR="00590051" w:rsidRPr="00F84DCC" w14:paraId="7757FE8B" w14:textId="77777777" w:rsidTr="001C6F85">
        <w:tc>
          <w:tcPr>
            <w:tcW w:w="1838" w:type="dxa"/>
            <w:shd w:val="clear" w:color="auto" w:fill="auto"/>
          </w:tcPr>
          <w:p w14:paraId="48FCB9F7" w14:textId="77777777" w:rsidR="00590051" w:rsidRPr="004C5EAC" w:rsidRDefault="00590051" w:rsidP="00F84DCC">
            <w:pPr>
              <w:tabs>
                <w:tab w:val="center" w:pos="4800"/>
                <w:tab w:val="right" w:pos="9500"/>
              </w:tabs>
              <w:rPr>
                <w:b/>
                <w:i/>
                <w:sz w:val="15"/>
                <w:szCs w:val="15"/>
              </w:rPr>
            </w:pPr>
            <w:r w:rsidRPr="004C5EAC">
              <w:rPr>
                <w:b/>
                <w:bCs/>
                <w:i/>
                <w:sz w:val="15"/>
                <w:szCs w:val="15"/>
              </w:rPr>
              <w:t>EndDeviceControl</w:t>
            </w:r>
          </w:p>
        </w:tc>
        <w:tc>
          <w:tcPr>
            <w:tcW w:w="2268" w:type="dxa"/>
            <w:shd w:val="clear" w:color="auto" w:fill="auto"/>
          </w:tcPr>
          <w:p w14:paraId="227707DB" w14:textId="13F79B86" w:rsidR="00590051" w:rsidRPr="00F84DCC" w:rsidRDefault="00F84DCC" w:rsidP="00F84DCC">
            <w:pPr>
              <w:tabs>
                <w:tab w:val="center" w:pos="4800"/>
                <w:tab w:val="right" w:pos="9500"/>
              </w:tabs>
              <w:ind w:left="25"/>
              <w:rPr>
                <w:sz w:val="15"/>
                <w:szCs w:val="15"/>
              </w:rPr>
            </w:pPr>
            <m:oMath>
              <m:r>
                <m:rPr>
                  <m:sty m:val="p"/>
                </m:rPr>
                <w:rPr>
                  <w:rFonts w:ascii="Cambria Math" w:hAnsi="Cambria Math"/>
                  <w:sz w:val="15"/>
                  <w:szCs w:val="15"/>
                </w:rPr>
                <m:t>Δ</m:t>
              </m:r>
              <m:r>
                <w:rPr>
                  <w:rFonts w:ascii="Cambria Math" w:hAnsi="Cambria Math"/>
                  <w:sz w:val="15"/>
                  <w:szCs w:val="15"/>
                </w:rPr>
                <m:t>P</m:t>
              </m:r>
            </m:oMath>
            <w:r w:rsidR="00590051" w:rsidRPr="00F84DCC">
              <w:rPr>
                <w:sz w:val="15"/>
                <w:szCs w:val="15"/>
              </w:rPr>
              <w:t xml:space="preserve"> in </w:t>
            </w:r>
            <w:r w:rsidR="004C5EAC">
              <w:rPr>
                <w:sz w:val="15"/>
                <w:szCs w:val="15"/>
              </w:rPr>
              <w:t xml:space="preserve">Eq. </w:t>
            </w:r>
            <w:r w:rsidR="00590051" w:rsidRPr="00F84DCC">
              <w:rPr>
                <w:sz w:val="15"/>
                <w:szCs w:val="15"/>
              </w:rPr>
              <w:t>(2)</w:t>
            </w:r>
          </w:p>
        </w:tc>
        <w:tc>
          <w:tcPr>
            <w:tcW w:w="992" w:type="dxa"/>
            <w:shd w:val="clear" w:color="auto" w:fill="auto"/>
          </w:tcPr>
          <w:p w14:paraId="4B752F34" w14:textId="77777777" w:rsidR="00590051" w:rsidRPr="00F84DCC" w:rsidRDefault="00590051" w:rsidP="00F84DCC">
            <w:pPr>
              <w:tabs>
                <w:tab w:val="center" w:pos="4800"/>
                <w:tab w:val="right" w:pos="9500"/>
              </w:tabs>
              <w:rPr>
                <w:sz w:val="15"/>
                <w:szCs w:val="15"/>
              </w:rPr>
            </w:pPr>
            <w:r w:rsidRPr="00F84DCC">
              <w:rPr>
                <w:sz w:val="15"/>
                <w:szCs w:val="15"/>
              </w:rPr>
              <w:t>Comm</w:t>
            </w:r>
            <w:bookmarkStart w:id="0" w:name="_GoBack"/>
            <w:bookmarkEnd w:id="0"/>
            <w:r w:rsidRPr="00F84DCC">
              <w:rPr>
                <w:sz w:val="15"/>
                <w:szCs w:val="15"/>
              </w:rPr>
              <w:t>and</w:t>
            </w:r>
          </w:p>
        </w:tc>
        <w:tc>
          <w:tcPr>
            <w:tcW w:w="709" w:type="dxa"/>
            <w:shd w:val="clear" w:color="auto" w:fill="auto"/>
          </w:tcPr>
          <w:p w14:paraId="69A0C524" w14:textId="77777777" w:rsidR="00590051" w:rsidRPr="00F84DCC" w:rsidRDefault="00590051" w:rsidP="00F84DCC">
            <w:pPr>
              <w:tabs>
                <w:tab w:val="center" w:pos="4800"/>
                <w:tab w:val="right" w:pos="9500"/>
              </w:tabs>
              <w:rPr>
                <w:sz w:val="15"/>
                <w:szCs w:val="15"/>
              </w:rPr>
            </w:pPr>
            <w:r w:rsidRPr="00F84DCC">
              <w:rPr>
                <w:sz w:val="15"/>
                <w:szCs w:val="15"/>
              </w:rPr>
              <w:t>TA</w:t>
            </w:r>
          </w:p>
        </w:tc>
        <w:tc>
          <w:tcPr>
            <w:tcW w:w="1134" w:type="dxa"/>
            <w:shd w:val="clear" w:color="auto" w:fill="auto"/>
          </w:tcPr>
          <w:p w14:paraId="57B7DB74" w14:textId="77777777" w:rsidR="00590051" w:rsidRPr="00F84DCC" w:rsidRDefault="00590051" w:rsidP="00F84DCC">
            <w:pPr>
              <w:tabs>
                <w:tab w:val="center" w:pos="4800"/>
                <w:tab w:val="right" w:pos="9500"/>
              </w:tabs>
              <w:ind w:left="27"/>
              <w:rPr>
                <w:sz w:val="15"/>
                <w:szCs w:val="15"/>
              </w:rPr>
            </w:pPr>
            <w:r w:rsidRPr="00F84DCC">
              <w:rPr>
                <w:sz w:val="15"/>
                <w:szCs w:val="15"/>
              </w:rPr>
              <w:t>HEMS agent</w:t>
            </w:r>
          </w:p>
        </w:tc>
        <w:tc>
          <w:tcPr>
            <w:tcW w:w="3402" w:type="dxa"/>
            <w:shd w:val="clear" w:color="auto" w:fill="auto"/>
          </w:tcPr>
          <w:p w14:paraId="436AE820" w14:textId="77777777" w:rsidR="00590051" w:rsidRPr="00F84DCC" w:rsidRDefault="00590051" w:rsidP="00F84DCC">
            <w:pPr>
              <w:tabs>
                <w:tab w:val="center" w:pos="4800"/>
                <w:tab w:val="right" w:pos="9500"/>
              </w:tabs>
              <w:ind w:left="27"/>
              <w:rPr>
                <w:i/>
                <w:sz w:val="15"/>
                <w:szCs w:val="15"/>
              </w:rPr>
            </w:pPr>
            <w:r w:rsidRPr="00F84DCC">
              <w:rPr>
                <w:i/>
                <w:sz w:val="15"/>
                <w:szCs w:val="15"/>
              </w:rPr>
              <w:t xml:space="preserve">creationTime, EventStatus, interval, randomizeDuration, randomizeStart, </w:t>
            </w:r>
            <w:r w:rsidRPr="00F84DCC">
              <w:rPr>
                <w:i/>
                <w:sz w:val="15"/>
                <w:szCs w:val="15"/>
              </w:rPr>
              <w:lastRenderedPageBreak/>
              <w:t>drProgramMandatory, overrideDuration, TargetReduction</w:t>
            </w:r>
          </w:p>
        </w:tc>
      </w:tr>
      <w:tr w:rsidR="00590051" w:rsidRPr="00F84DCC" w14:paraId="7BB0E972" w14:textId="77777777" w:rsidTr="001C6F85">
        <w:tc>
          <w:tcPr>
            <w:tcW w:w="1838" w:type="dxa"/>
            <w:shd w:val="clear" w:color="auto" w:fill="auto"/>
          </w:tcPr>
          <w:p w14:paraId="05CD226B" w14:textId="77777777" w:rsidR="00590051" w:rsidRPr="004C5EAC" w:rsidRDefault="00590051" w:rsidP="00F84DCC">
            <w:pPr>
              <w:tabs>
                <w:tab w:val="center" w:pos="4800"/>
                <w:tab w:val="right" w:pos="9500"/>
              </w:tabs>
              <w:rPr>
                <w:b/>
                <w:i/>
                <w:sz w:val="15"/>
                <w:szCs w:val="15"/>
              </w:rPr>
            </w:pPr>
            <w:r w:rsidRPr="004C5EAC">
              <w:rPr>
                <w:b/>
                <w:bCs/>
                <w:i/>
                <w:sz w:val="15"/>
                <w:szCs w:val="15"/>
              </w:rPr>
              <w:lastRenderedPageBreak/>
              <w:t>EndDeviceControl</w:t>
            </w:r>
          </w:p>
        </w:tc>
        <w:tc>
          <w:tcPr>
            <w:tcW w:w="2268" w:type="dxa"/>
            <w:shd w:val="clear" w:color="auto" w:fill="auto"/>
          </w:tcPr>
          <w:p w14:paraId="29AE2988" w14:textId="77777777" w:rsidR="00590051" w:rsidRPr="00F84DCC" w:rsidRDefault="00590051" w:rsidP="00F84DCC">
            <w:pPr>
              <w:tabs>
                <w:tab w:val="center" w:pos="4800"/>
                <w:tab w:val="right" w:pos="9500"/>
              </w:tabs>
              <w:ind w:left="25"/>
              <w:rPr>
                <w:sz w:val="15"/>
                <w:szCs w:val="15"/>
              </w:rPr>
            </w:pPr>
            <w:r w:rsidRPr="00F84DCC">
              <w:rPr>
                <w:sz w:val="15"/>
                <w:szCs w:val="15"/>
              </w:rPr>
              <w:t>Controlling smart appliances</w:t>
            </w:r>
          </w:p>
        </w:tc>
        <w:tc>
          <w:tcPr>
            <w:tcW w:w="992" w:type="dxa"/>
            <w:shd w:val="clear" w:color="auto" w:fill="auto"/>
          </w:tcPr>
          <w:p w14:paraId="197C04E6" w14:textId="77777777" w:rsidR="00590051" w:rsidRPr="00F84DCC" w:rsidRDefault="00590051" w:rsidP="00F84DCC">
            <w:pPr>
              <w:tabs>
                <w:tab w:val="center" w:pos="4800"/>
                <w:tab w:val="right" w:pos="9500"/>
              </w:tabs>
              <w:rPr>
                <w:sz w:val="15"/>
                <w:szCs w:val="15"/>
              </w:rPr>
            </w:pPr>
            <w:r w:rsidRPr="00F84DCC">
              <w:rPr>
                <w:sz w:val="15"/>
                <w:szCs w:val="15"/>
              </w:rPr>
              <w:t>Command</w:t>
            </w:r>
          </w:p>
        </w:tc>
        <w:tc>
          <w:tcPr>
            <w:tcW w:w="709" w:type="dxa"/>
            <w:shd w:val="clear" w:color="auto" w:fill="auto"/>
          </w:tcPr>
          <w:p w14:paraId="45D4B1C3" w14:textId="77777777" w:rsidR="00590051" w:rsidRPr="00F84DCC" w:rsidRDefault="00590051" w:rsidP="00F84DCC">
            <w:pPr>
              <w:tabs>
                <w:tab w:val="center" w:pos="4800"/>
                <w:tab w:val="right" w:pos="9500"/>
              </w:tabs>
              <w:rPr>
                <w:sz w:val="15"/>
                <w:szCs w:val="15"/>
              </w:rPr>
            </w:pPr>
            <w:r w:rsidRPr="00F84DCC">
              <w:rPr>
                <w:sz w:val="15"/>
                <w:szCs w:val="15"/>
              </w:rPr>
              <w:t>HEMS agent</w:t>
            </w:r>
          </w:p>
        </w:tc>
        <w:tc>
          <w:tcPr>
            <w:tcW w:w="1134" w:type="dxa"/>
            <w:shd w:val="clear" w:color="auto" w:fill="auto"/>
          </w:tcPr>
          <w:p w14:paraId="0BB46740" w14:textId="77777777" w:rsidR="00590051" w:rsidRPr="00F84DCC" w:rsidRDefault="00590051" w:rsidP="00F84DCC">
            <w:pPr>
              <w:tabs>
                <w:tab w:val="center" w:pos="4800"/>
                <w:tab w:val="right" w:pos="9500"/>
              </w:tabs>
              <w:ind w:left="27"/>
              <w:rPr>
                <w:sz w:val="15"/>
                <w:szCs w:val="15"/>
              </w:rPr>
            </w:pPr>
            <w:r w:rsidRPr="00F84DCC">
              <w:rPr>
                <w:sz w:val="15"/>
                <w:szCs w:val="15"/>
              </w:rPr>
              <w:t>Loads</w:t>
            </w:r>
          </w:p>
        </w:tc>
        <w:tc>
          <w:tcPr>
            <w:tcW w:w="3402" w:type="dxa"/>
            <w:shd w:val="clear" w:color="auto" w:fill="auto"/>
          </w:tcPr>
          <w:p w14:paraId="22E9BAD3" w14:textId="77777777" w:rsidR="00590051" w:rsidRPr="00F84DCC" w:rsidRDefault="00590051" w:rsidP="00F84DCC">
            <w:pPr>
              <w:tabs>
                <w:tab w:val="center" w:pos="4800"/>
                <w:tab w:val="right" w:pos="9500"/>
              </w:tabs>
              <w:ind w:left="27"/>
              <w:rPr>
                <w:i/>
                <w:sz w:val="15"/>
                <w:szCs w:val="15"/>
              </w:rPr>
            </w:pPr>
            <w:r w:rsidRPr="00F84DCC">
              <w:rPr>
                <w:i/>
                <w:sz w:val="15"/>
                <w:szCs w:val="15"/>
              </w:rPr>
              <w:t>creationTime, EventStatus, interval, randomizeDuration, randomizeStart, drProgramMandatory, DutyCycle, loadShiftForward, Offset, overrideDuration, SetPoint, TargetReduction</w:t>
            </w:r>
          </w:p>
        </w:tc>
      </w:tr>
      <w:tr w:rsidR="00590051" w:rsidRPr="00F84DCC" w14:paraId="775EB572" w14:textId="77777777" w:rsidTr="001C6F85">
        <w:tc>
          <w:tcPr>
            <w:tcW w:w="1838" w:type="dxa"/>
            <w:shd w:val="clear" w:color="auto" w:fill="auto"/>
          </w:tcPr>
          <w:p w14:paraId="4CF8AE7A" w14:textId="77777777" w:rsidR="00590051" w:rsidRPr="004C5EAC" w:rsidRDefault="00590051" w:rsidP="00F84DCC">
            <w:pPr>
              <w:tabs>
                <w:tab w:val="center" w:pos="4800"/>
                <w:tab w:val="right" w:pos="9500"/>
              </w:tabs>
              <w:rPr>
                <w:b/>
                <w:i/>
                <w:sz w:val="15"/>
                <w:szCs w:val="15"/>
              </w:rPr>
            </w:pPr>
            <w:r w:rsidRPr="004C5EAC">
              <w:rPr>
                <w:b/>
                <w:bCs/>
                <w:i/>
                <w:sz w:val="15"/>
                <w:szCs w:val="15"/>
              </w:rPr>
              <w:t>DrResponse</w:t>
            </w:r>
          </w:p>
        </w:tc>
        <w:tc>
          <w:tcPr>
            <w:tcW w:w="2268" w:type="dxa"/>
            <w:shd w:val="clear" w:color="auto" w:fill="auto"/>
          </w:tcPr>
          <w:p w14:paraId="7B4A6618" w14:textId="2471CAF0" w:rsidR="00590051" w:rsidRPr="00F84DCC" w:rsidRDefault="00590051" w:rsidP="00F84DCC">
            <w:pPr>
              <w:tabs>
                <w:tab w:val="center" w:pos="4800"/>
                <w:tab w:val="right" w:pos="9500"/>
              </w:tabs>
              <w:ind w:left="25"/>
              <w:rPr>
                <w:sz w:val="15"/>
                <w:szCs w:val="15"/>
              </w:rPr>
            </w:pPr>
            <w:r w:rsidRPr="00F84DCC">
              <w:rPr>
                <w:sz w:val="15"/>
                <w:szCs w:val="15"/>
              </w:rPr>
              <w:t xml:space="preserve">Monitoring smart appliances for </w:t>
            </w:r>
            <m:oMath>
              <m:sSub>
                <m:sSubPr>
                  <m:ctrlPr>
                    <w:rPr>
                      <w:rFonts w:ascii="Cambria Math" w:hAnsi="Cambria Math"/>
                      <w:sz w:val="15"/>
                      <w:szCs w:val="15"/>
                    </w:rPr>
                  </m:ctrlPr>
                </m:sSubPr>
                <m:e>
                  <m:r>
                    <w:rPr>
                      <w:rFonts w:ascii="Cambria Math" w:hAnsi="Cambria Math"/>
                      <w:sz w:val="15"/>
                      <w:szCs w:val="15"/>
                    </w:rPr>
                    <m:t>P</m:t>
                  </m:r>
                </m:e>
                <m:sub>
                  <m:r>
                    <m:rPr>
                      <m:sty m:val="p"/>
                    </m:rPr>
                    <w:rPr>
                      <w:rFonts w:ascii="Cambria Math" w:hAnsi="Cambria Math"/>
                      <w:sz w:val="15"/>
                      <w:szCs w:val="15"/>
                    </w:rPr>
                    <m:t>cap</m:t>
                  </m:r>
                </m:sub>
              </m:sSub>
            </m:oMath>
            <w:r w:rsidRPr="00F84DCC">
              <w:rPr>
                <w:sz w:val="15"/>
                <w:szCs w:val="15"/>
              </w:rPr>
              <w:t xml:space="preserve"> and </w:t>
            </w:r>
            <m:oMath>
              <m:r>
                <m:rPr>
                  <m:sty m:val="p"/>
                </m:rPr>
                <w:rPr>
                  <w:rFonts w:ascii="Cambria Math" w:hAnsi="Cambria Math"/>
                  <w:sz w:val="15"/>
                  <w:szCs w:val="15"/>
                </w:rPr>
                <m:t>Δ</m:t>
              </m:r>
              <m:sSub>
                <m:sSubPr>
                  <m:ctrlPr>
                    <w:rPr>
                      <w:rFonts w:ascii="Cambria Math" w:hAnsi="Cambria Math"/>
                      <w:sz w:val="15"/>
                      <w:szCs w:val="15"/>
                    </w:rPr>
                  </m:ctrlPr>
                </m:sSubPr>
                <m:e>
                  <m:r>
                    <w:rPr>
                      <w:rFonts w:ascii="Cambria Math" w:hAnsi="Cambria Math"/>
                      <w:sz w:val="15"/>
                      <w:szCs w:val="15"/>
                    </w:rPr>
                    <m:t>P</m:t>
                  </m:r>
                </m:e>
                <m:sub>
                  <m:r>
                    <m:rPr>
                      <m:sty m:val="p"/>
                    </m:rPr>
                    <w:rPr>
                      <w:rFonts w:ascii="Cambria Math" w:hAnsi="Cambria Math"/>
                      <w:sz w:val="15"/>
                      <w:szCs w:val="15"/>
                    </w:rPr>
                    <m:t>ava</m:t>
                  </m:r>
                </m:sub>
              </m:sSub>
            </m:oMath>
            <w:r w:rsidRPr="00F84DCC">
              <w:rPr>
                <w:sz w:val="15"/>
                <w:szCs w:val="15"/>
              </w:rPr>
              <w:t xml:space="preserve"> in </w:t>
            </w:r>
            <w:r w:rsidR="00632AC4">
              <w:rPr>
                <w:sz w:val="15"/>
                <w:szCs w:val="15"/>
              </w:rPr>
              <w:t>Eqs. (1) and</w:t>
            </w:r>
            <w:r w:rsidRPr="00F84DCC">
              <w:rPr>
                <w:sz w:val="15"/>
                <w:szCs w:val="15"/>
              </w:rPr>
              <w:t xml:space="preserve"> (2)</w:t>
            </w:r>
          </w:p>
        </w:tc>
        <w:tc>
          <w:tcPr>
            <w:tcW w:w="992" w:type="dxa"/>
            <w:shd w:val="clear" w:color="auto" w:fill="auto"/>
          </w:tcPr>
          <w:p w14:paraId="703B9682" w14:textId="77777777" w:rsidR="00590051" w:rsidRPr="00F84DCC" w:rsidRDefault="00590051" w:rsidP="00F84DCC">
            <w:pPr>
              <w:tabs>
                <w:tab w:val="center" w:pos="4800"/>
                <w:tab w:val="right" w:pos="9500"/>
              </w:tabs>
              <w:rPr>
                <w:sz w:val="15"/>
                <w:szCs w:val="15"/>
              </w:rPr>
            </w:pPr>
            <w:r w:rsidRPr="00F84DCC">
              <w:rPr>
                <w:sz w:val="15"/>
                <w:szCs w:val="15"/>
              </w:rPr>
              <w:t>Response</w:t>
            </w:r>
          </w:p>
        </w:tc>
        <w:tc>
          <w:tcPr>
            <w:tcW w:w="709" w:type="dxa"/>
            <w:shd w:val="clear" w:color="auto" w:fill="auto"/>
          </w:tcPr>
          <w:p w14:paraId="3909F9BB" w14:textId="77777777" w:rsidR="00590051" w:rsidRPr="00F84DCC" w:rsidRDefault="00590051" w:rsidP="00F84DCC">
            <w:pPr>
              <w:tabs>
                <w:tab w:val="center" w:pos="4800"/>
                <w:tab w:val="right" w:pos="9500"/>
              </w:tabs>
              <w:rPr>
                <w:sz w:val="15"/>
                <w:szCs w:val="15"/>
              </w:rPr>
            </w:pPr>
            <w:r w:rsidRPr="00F84DCC">
              <w:rPr>
                <w:sz w:val="15"/>
                <w:szCs w:val="15"/>
              </w:rPr>
              <w:t>Appliances/HEMS agent</w:t>
            </w:r>
          </w:p>
        </w:tc>
        <w:tc>
          <w:tcPr>
            <w:tcW w:w="1134" w:type="dxa"/>
            <w:shd w:val="clear" w:color="auto" w:fill="auto"/>
          </w:tcPr>
          <w:p w14:paraId="4EBE4231" w14:textId="77777777" w:rsidR="00590051" w:rsidRPr="00F84DCC" w:rsidRDefault="00590051" w:rsidP="00F84DCC">
            <w:pPr>
              <w:tabs>
                <w:tab w:val="center" w:pos="4800"/>
                <w:tab w:val="right" w:pos="9500"/>
              </w:tabs>
              <w:ind w:left="27"/>
              <w:rPr>
                <w:sz w:val="15"/>
                <w:szCs w:val="15"/>
              </w:rPr>
            </w:pPr>
            <w:r w:rsidRPr="00F84DCC">
              <w:rPr>
                <w:sz w:val="15"/>
                <w:szCs w:val="15"/>
              </w:rPr>
              <w:t>HEMS agent/TA</w:t>
            </w:r>
          </w:p>
        </w:tc>
        <w:tc>
          <w:tcPr>
            <w:tcW w:w="3402" w:type="dxa"/>
            <w:shd w:val="clear" w:color="auto" w:fill="auto"/>
          </w:tcPr>
          <w:p w14:paraId="73FE21AC" w14:textId="77777777" w:rsidR="00590051" w:rsidRPr="00F84DCC" w:rsidRDefault="00590051" w:rsidP="00F84DCC">
            <w:pPr>
              <w:tabs>
                <w:tab w:val="center" w:pos="4800"/>
                <w:tab w:val="right" w:pos="9500"/>
              </w:tabs>
              <w:ind w:left="27"/>
              <w:rPr>
                <w:i/>
                <w:sz w:val="15"/>
                <w:szCs w:val="15"/>
              </w:rPr>
            </w:pPr>
            <w:r w:rsidRPr="00F84DCC">
              <w:rPr>
                <w:i/>
                <w:sz w:val="15"/>
                <w:szCs w:val="15"/>
              </w:rPr>
              <w:t>ApplianceLoadReduction, AppliedTargetReduction, DutyCycle, Offset, SetPoint</w:t>
            </w:r>
          </w:p>
        </w:tc>
      </w:tr>
      <w:tr w:rsidR="00590051" w:rsidRPr="00F84DCC" w14:paraId="78F23696" w14:textId="77777777" w:rsidTr="001C6F85">
        <w:tc>
          <w:tcPr>
            <w:tcW w:w="1838" w:type="dxa"/>
            <w:shd w:val="clear" w:color="auto" w:fill="auto"/>
          </w:tcPr>
          <w:p w14:paraId="0763E143" w14:textId="77777777" w:rsidR="00590051" w:rsidRPr="00632AC4" w:rsidRDefault="00590051" w:rsidP="00F84DCC">
            <w:pPr>
              <w:tabs>
                <w:tab w:val="center" w:pos="4800"/>
                <w:tab w:val="right" w:pos="9500"/>
              </w:tabs>
              <w:rPr>
                <w:b/>
                <w:i/>
                <w:sz w:val="15"/>
                <w:szCs w:val="15"/>
              </w:rPr>
            </w:pPr>
            <w:r w:rsidRPr="00632AC4">
              <w:rPr>
                <w:b/>
                <w:bCs/>
                <w:i/>
                <w:sz w:val="15"/>
                <w:szCs w:val="15"/>
              </w:rPr>
              <w:t>LoadShedAvailability</w:t>
            </w:r>
          </w:p>
        </w:tc>
        <w:tc>
          <w:tcPr>
            <w:tcW w:w="2268" w:type="dxa"/>
            <w:shd w:val="clear" w:color="auto" w:fill="auto"/>
          </w:tcPr>
          <w:p w14:paraId="1DC56AC9" w14:textId="0B8237E3" w:rsidR="00590051" w:rsidRPr="00F84DCC" w:rsidRDefault="00F84DCC" w:rsidP="00F84DCC">
            <w:pPr>
              <w:tabs>
                <w:tab w:val="center" w:pos="4800"/>
                <w:tab w:val="right" w:pos="9500"/>
              </w:tabs>
              <w:ind w:left="25"/>
              <w:rPr>
                <w:sz w:val="15"/>
                <w:szCs w:val="15"/>
              </w:rPr>
            </w:pPr>
            <m:oMath>
              <m:r>
                <m:rPr>
                  <m:sty m:val="p"/>
                </m:rPr>
                <w:rPr>
                  <w:rFonts w:ascii="Cambria Math" w:hAnsi="Cambria Math"/>
                  <w:sz w:val="15"/>
                  <w:szCs w:val="15"/>
                </w:rPr>
                <m:t>Δ</m:t>
              </m:r>
              <m:r>
                <w:rPr>
                  <w:rFonts w:ascii="Cambria Math" w:hAnsi="Cambria Math"/>
                  <w:sz w:val="15"/>
                  <w:szCs w:val="15"/>
                </w:rPr>
                <m:t>P</m:t>
              </m:r>
            </m:oMath>
            <w:r w:rsidR="00590051" w:rsidRPr="00F84DCC">
              <w:rPr>
                <w:sz w:val="15"/>
                <w:szCs w:val="15"/>
              </w:rPr>
              <w:t xml:space="preserve"> in </w:t>
            </w:r>
            <w:r w:rsidR="00632AC4">
              <w:rPr>
                <w:sz w:val="15"/>
                <w:szCs w:val="15"/>
              </w:rPr>
              <w:t xml:space="preserve">Eq. </w:t>
            </w:r>
            <w:r w:rsidR="00590051" w:rsidRPr="00F84DCC">
              <w:rPr>
                <w:sz w:val="15"/>
                <w:szCs w:val="15"/>
              </w:rPr>
              <w:t>(3)</w:t>
            </w:r>
          </w:p>
        </w:tc>
        <w:tc>
          <w:tcPr>
            <w:tcW w:w="992" w:type="dxa"/>
            <w:shd w:val="clear" w:color="auto" w:fill="auto"/>
          </w:tcPr>
          <w:p w14:paraId="399E5146" w14:textId="5F8F6A43" w:rsidR="00590051" w:rsidRPr="00F84DCC" w:rsidRDefault="00E87297" w:rsidP="00F84DCC">
            <w:pPr>
              <w:tabs>
                <w:tab w:val="center" w:pos="4800"/>
                <w:tab w:val="right" w:pos="9500"/>
              </w:tabs>
              <w:rPr>
                <w:sz w:val="15"/>
                <w:szCs w:val="15"/>
              </w:rPr>
            </w:pPr>
            <w:r>
              <w:rPr>
                <w:sz w:val="15"/>
                <w:szCs w:val="15"/>
              </w:rPr>
              <w:t>—</w:t>
            </w:r>
          </w:p>
        </w:tc>
        <w:tc>
          <w:tcPr>
            <w:tcW w:w="709" w:type="dxa"/>
            <w:shd w:val="clear" w:color="auto" w:fill="auto"/>
          </w:tcPr>
          <w:p w14:paraId="09A0C360" w14:textId="77777777" w:rsidR="00590051" w:rsidRPr="00F84DCC" w:rsidRDefault="00590051" w:rsidP="00F84DCC">
            <w:pPr>
              <w:tabs>
                <w:tab w:val="center" w:pos="4800"/>
                <w:tab w:val="right" w:pos="9500"/>
              </w:tabs>
              <w:rPr>
                <w:sz w:val="15"/>
                <w:szCs w:val="15"/>
              </w:rPr>
            </w:pPr>
            <w:r w:rsidRPr="00F84DCC">
              <w:rPr>
                <w:sz w:val="15"/>
                <w:szCs w:val="15"/>
              </w:rPr>
              <w:t>HEMS agent</w:t>
            </w:r>
          </w:p>
        </w:tc>
        <w:tc>
          <w:tcPr>
            <w:tcW w:w="1134" w:type="dxa"/>
            <w:shd w:val="clear" w:color="auto" w:fill="auto"/>
          </w:tcPr>
          <w:p w14:paraId="7773DE49" w14:textId="77777777" w:rsidR="00590051" w:rsidRPr="00F84DCC" w:rsidRDefault="00590051" w:rsidP="00F84DCC">
            <w:pPr>
              <w:tabs>
                <w:tab w:val="center" w:pos="4800"/>
                <w:tab w:val="right" w:pos="9500"/>
              </w:tabs>
              <w:ind w:left="27"/>
              <w:rPr>
                <w:sz w:val="15"/>
                <w:szCs w:val="15"/>
              </w:rPr>
            </w:pPr>
            <w:r w:rsidRPr="00F84DCC">
              <w:rPr>
                <w:sz w:val="15"/>
                <w:szCs w:val="15"/>
              </w:rPr>
              <w:t>TA</w:t>
            </w:r>
          </w:p>
        </w:tc>
        <w:tc>
          <w:tcPr>
            <w:tcW w:w="3402" w:type="dxa"/>
            <w:shd w:val="clear" w:color="auto" w:fill="auto"/>
          </w:tcPr>
          <w:p w14:paraId="3323A15D" w14:textId="77777777" w:rsidR="00590051" w:rsidRPr="00F84DCC" w:rsidRDefault="00590051" w:rsidP="00F84DCC">
            <w:pPr>
              <w:tabs>
                <w:tab w:val="center" w:pos="4800"/>
                <w:tab w:val="right" w:pos="9500"/>
              </w:tabs>
              <w:ind w:left="27"/>
              <w:rPr>
                <w:i/>
                <w:sz w:val="15"/>
                <w:szCs w:val="15"/>
              </w:rPr>
            </w:pPr>
            <w:r w:rsidRPr="00F84DCC">
              <w:rPr>
                <w:i/>
                <w:sz w:val="15"/>
                <w:szCs w:val="15"/>
              </w:rPr>
              <w:t>sheddablePower, availabilityDuration</w:t>
            </w:r>
          </w:p>
        </w:tc>
      </w:tr>
      <w:tr w:rsidR="00590051" w:rsidRPr="00F84DCC" w14:paraId="1DB15603" w14:textId="77777777" w:rsidTr="001C6F85">
        <w:tc>
          <w:tcPr>
            <w:tcW w:w="1838" w:type="dxa"/>
            <w:shd w:val="clear" w:color="auto" w:fill="auto"/>
          </w:tcPr>
          <w:p w14:paraId="7F251578" w14:textId="77777777" w:rsidR="00590051" w:rsidRPr="00632AC4" w:rsidRDefault="00590051" w:rsidP="00F84DCC">
            <w:pPr>
              <w:tabs>
                <w:tab w:val="center" w:pos="4800"/>
                <w:tab w:val="right" w:pos="9500"/>
              </w:tabs>
              <w:rPr>
                <w:b/>
                <w:i/>
                <w:sz w:val="15"/>
                <w:szCs w:val="15"/>
              </w:rPr>
            </w:pPr>
            <w:r w:rsidRPr="00632AC4">
              <w:rPr>
                <w:b/>
                <w:bCs/>
                <w:i/>
                <w:sz w:val="15"/>
                <w:szCs w:val="15"/>
              </w:rPr>
              <w:t>MirrorUsagePoint</w:t>
            </w:r>
          </w:p>
        </w:tc>
        <w:tc>
          <w:tcPr>
            <w:tcW w:w="2268" w:type="dxa"/>
            <w:shd w:val="clear" w:color="auto" w:fill="auto"/>
          </w:tcPr>
          <w:p w14:paraId="4CB59BE5" w14:textId="77777777" w:rsidR="00590051" w:rsidRPr="00F84DCC" w:rsidRDefault="00590051" w:rsidP="00F84DCC">
            <w:pPr>
              <w:tabs>
                <w:tab w:val="center" w:pos="4800"/>
                <w:tab w:val="right" w:pos="9500"/>
              </w:tabs>
              <w:ind w:left="25"/>
              <w:rPr>
                <w:sz w:val="15"/>
                <w:szCs w:val="15"/>
              </w:rPr>
            </w:pPr>
            <w:r w:rsidRPr="00F84DCC">
              <w:rPr>
                <w:sz w:val="15"/>
                <w:szCs w:val="15"/>
              </w:rPr>
              <w:t>Monitoring smart meter</w:t>
            </w:r>
          </w:p>
        </w:tc>
        <w:tc>
          <w:tcPr>
            <w:tcW w:w="992" w:type="dxa"/>
            <w:shd w:val="clear" w:color="auto" w:fill="auto"/>
          </w:tcPr>
          <w:p w14:paraId="6E2A9168" w14:textId="77777777" w:rsidR="00590051" w:rsidRPr="00F84DCC" w:rsidRDefault="00590051" w:rsidP="00F84DCC">
            <w:pPr>
              <w:tabs>
                <w:tab w:val="center" w:pos="4800"/>
                <w:tab w:val="right" w:pos="9500"/>
              </w:tabs>
              <w:rPr>
                <w:sz w:val="15"/>
                <w:szCs w:val="15"/>
              </w:rPr>
            </w:pPr>
            <w:r w:rsidRPr="00F84DCC">
              <w:rPr>
                <w:sz w:val="15"/>
                <w:szCs w:val="15"/>
              </w:rPr>
              <w:t>Response</w:t>
            </w:r>
          </w:p>
        </w:tc>
        <w:tc>
          <w:tcPr>
            <w:tcW w:w="709" w:type="dxa"/>
            <w:shd w:val="clear" w:color="auto" w:fill="auto"/>
          </w:tcPr>
          <w:p w14:paraId="72192E3A" w14:textId="3A4453A5" w:rsidR="00590051" w:rsidRPr="00F84DCC" w:rsidRDefault="00CE7687" w:rsidP="00F84DCC">
            <w:pPr>
              <w:tabs>
                <w:tab w:val="center" w:pos="4800"/>
                <w:tab w:val="right" w:pos="9500"/>
              </w:tabs>
              <w:rPr>
                <w:sz w:val="15"/>
                <w:szCs w:val="15"/>
              </w:rPr>
            </w:pPr>
            <w:r>
              <w:rPr>
                <w:sz w:val="15"/>
                <w:szCs w:val="15"/>
              </w:rPr>
              <w:t>Smart Meter</w:t>
            </w:r>
          </w:p>
        </w:tc>
        <w:tc>
          <w:tcPr>
            <w:tcW w:w="1134" w:type="dxa"/>
            <w:shd w:val="clear" w:color="auto" w:fill="auto"/>
          </w:tcPr>
          <w:p w14:paraId="4B0F5331" w14:textId="77777777" w:rsidR="00590051" w:rsidRPr="00F84DCC" w:rsidRDefault="00590051" w:rsidP="00F84DCC">
            <w:pPr>
              <w:tabs>
                <w:tab w:val="center" w:pos="4800"/>
                <w:tab w:val="right" w:pos="9500"/>
              </w:tabs>
              <w:ind w:left="27"/>
              <w:rPr>
                <w:sz w:val="15"/>
                <w:szCs w:val="15"/>
              </w:rPr>
            </w:pPr>
            <w:r w:rsidRPr="00F84DCC">
              <w:rPr>
                <w:sz w:val="15"/>
                <w:szCs w:val="15"/>
              </w:rPr>
              <w:t>HEMS agent/TA</w:t>
            </w:r>
          </w:p>
        </w:tc>
        <w:tc>
          <w:tcPr>
            <w:tcW w:w="3402" w:type="dxa"/>
            <w:shd w:val="clear" w:color="auto" w:fill="auto"/>
          </w:tcPr>
          <w:p w14:paraId="25F75CD6" w14:textId="77777777" w:rsidR="00590051" w:rsidRPr="00F84DCC" w:rsidRDefault="00590051" w:rsidP="00F84DCC">
            <w:pPr>
              <w:tabs>
                <w:tab w:val="center" w:pos="4800"/>
                <w:tab w:val="right" w:pos="9500"/>
              </w:tabs>
              <w:ind w:left="27"/>
              <w:rPr>
                <w:i/>
                <w:sz w:val="15"/>
                <w:szCs w:val="15"/>
              </w:rPr>
            </w:pPr>
            <w:r w:rsidRPr="00F84DCC">
              <w:rPr>
                <w:i/>
                <w:sz w:val="15"/>
                <w:szCs w:val="15"/>
              </w:rPr>
              <w:t>timePeriod, Reading</w:t>
            </w:r>
          </w:p>
        </w:tc>
      </w:tr>
      <w:tr w:rsidR="00590051" w:rsidRPr="00F84DCC" w14:paraId="02BA2840" w14:textId="77777777" w:rsidTr="001C6F85">
        <w:tc>
          <w:tcPr>
            <w:tcW w:w="1838" w:type="dxa"/>
            <w:shd w:val="clear" w:color="auto" w:fill="auto"/>
          </w:tcPr>
          <w:p w14:paraId="373D6384" w14:textId="77777777" w:rsidR="00590051" w:rsidRPr="00632AC4" w:rsidRDefault="00590051" w:rsidP="00F84DCC">
            <w:pPr>
              <w:tabs>
                <w:tab w:val="center" w:pos="4800"/>
                <w:tab w:val="right" w:pos="9500"/>
              </w:tabs>
              <w:rPr>
                <w:b/>
                <w:i/>
                <w:sz w:val="15"/>
                <w:szCs w:val="15"/>
              </w:rPr>
            </w:pPr>
            <w:r w:rsidRPr="00632AC4">
              <w:rPr>
                <w:b/>
                <w:bCs/>
                <w:i/>
                <w:sz w:val="15"/>
                <w:szCs w:val="15"/>
              </w:rPr>
              <w:t>DERSettings</w:t>
            </w:r>
          </w:p>
        </w:tc>
        <w:tc>
          <w:tcPr>
            <w:tcW w:w="2268" w:type="dxa"/>
            <w:shd w:val="clear" w:color="auto" w:fill="auto"/>
          </w:tcPr>
          <w:p w14:paraId="491FA228" w14:textId="37DE6555" w:rsidR="00590051" w:rsidRPr="00F84DCC" w:rsidRDefault="00590051" w:rsidP="006A7260">
            <w:pPr>
              <w:tabs>
                <w:tab w:val="center" w:pos="4800"/>
                <w:tab w:val="right" w:pos="9500"/>
              </w:tabs>
              <w:ind w:left="25"/>
              <w:rPr>
                <w:sz w:val="15"/>
                <w:szCs w:val="15"/>
              </w:rPr>
            </w:pPr>
            <w:r w:rsidRPr="00F84DCC">
              <w:rPr>
                <w:sz w:val="15"/>
                <w:szCs w:val="15"/>
              </w:rPr>
              <w:t xml:space="preserve">Controlling </w:t>
            </w:r>
            <w:r w:rsidR="006A7260">
              <w:rPr>
                <w:sz w:val="15"/>
                <w:szCs w:val="15"/>
              </w:rPr>
              <w:t>DER</w:t>
            </w:r>
          </w:p>
        </w:tc>
        <w:tc>
          <w:tcPr>
            <w:tcW w:w="992" w:type="dxa"/>
            <w:shd w:val="clear" w:color="auto" w:fill="auto"/>
          </w:tcPr>
          <w:p w14:paraId="5D9CC540" w14:textId="77777777" w:rsidR="00590051" w:rsidRPr="00F84DCC" w:rsidRDefault="00590051" w:rsidP="00F84DCC">
            <w:pPr>
              <w:tabs>
                <w:tab w:val="center" w:pos="4800"/>
                <w:tab w:val="right" w:pos="9500"/>
              </w:tabs>
              <w:rPr>
                <w:sz w:val="15"/>
                <w:szCs w:val="15"/>
              </w:rPr>
            </w:pPr>
            <w:r w:rsidRPr="00F84DCC">
              <w:rPr>
                <w:sz w:val="15"/>
                <w:szCs w:val="15"/>
              </w:rPr>
              <w:t>Response</w:t>
            </w:r>
          </w:p>
        </w:tc>
        <w:tc>
          <w:tcPr>
            <w:tcW w:w="709" w:type="dxa"/>
            <w:shd w:val="clear" w:color="auto" w:fill="auto"/>
          </w:tcPr>
          <w:p w14:paraId="62481797" w14:textId="77777777" w:rsidR="00590051" w:rsidRPr="00F84DCC" w:rsidRDefault="00590051" w:rsidP="00F84DCC">
            <w:pPr>
              <w:tabs>
                <w:tab w:val="center" w:pos="4800"/>
                <w:tab w:val="right" w:pos="9500"/>
              </w:tabs>
              <w:rPr>
                <w:sz w:val="15"/>
                <w:szCs w:val="15"/>
              </w:rPr>
            </w:pPr>
            <w:r w:rsidRPr="00F84DCC">
              <w:rPr>
                <w:sz w:val="15"/>
                <w:szCs w:val="15"/>
              </w:rPr>
              <w:t>HEMS agent</w:t>
            </w:r>
          </w:p>
        </w:tc>
        <w:tc>
          <w:tcPr>
            <w:tcW w:w="1134" w:type="dxa"/>
            <w:shd w:val="clear" w:color="auto" w:fill="auto"/>
          </w:tcPr>
          <w:p w14:paraId="02BDF8EA" w14:textId="77777777" w:rsidR="00590051" w:rsidRPr="00F84DCC" w:rsidRDefault="00590051" w:rsidP="00F84DCC">
            <w:pPr>
              <w:tabs>
                <w:tab w:val="center" w:pos="4800"/>
                <w:tab w:val="right" w:pos="9500"/>
              </w:tabs>
              <w:ind w:left="27"/>
              <w:rPr>
                <w:sz w:val="15"/>
                <w:szCs w:val="15"/>
              </w:rPr>
            </w:pPr>
            <w:r w:rsidRPr="00F84DCC">
              <w:rPr>
                <w:sz w:val="15"/>
                <w:szCs w:val="15"/>
              </w:rPr>
              <w:t>DER</w:t>
            </w:r>
          </w:p>
        </w:tc>
        <w:tc>
          <w:tcPr>
            <w:tcW w:w="3402" w:type="dxa"/>
            <w:shd w:val="clear" w:color="auto" w:fill="auto"/>
          </w:tcPr>
          <w:p w14:paraId="4D02E28D" w14:textId="77777777" w:rsidR="00590051" w:rsidRPr="00F84DCC" w:rsidRDefault="00590051" w:rsidP="00F84DCC">
            <w:pPr>
              <w:tabs>
                <w:tab w:val="center" w:pos="4800"/>
                <w:tab w:val="right" w:pos="9500"/>
              </w:tabs>
              <w:ind w:left="27"/>
              <w:rPr>
                <w:i/>
                <w:sz w:val="15"/>
                <w:szCs w:val="15"/>
              </w:rPr>
            </w:pPr>
            <w:r w:rsidRPr="00F84DCC">
              <w:rPr>
                <w:i/>
                <w:sz w:val="15"/>
                <w:szCs w:val="15"/>
              </w:rPr>
              <w:t>setMaxChargeRate, setMaxDischargeRate, setMaxW</w:t>
            </w:r>
          </w:p>
        </w:tc>
      </w:tr>
      <w:tr w:rsidR="00590051" w:rsidRPr="00F84DCC" w14:paraId="226EC37F" w14:textId="77777777" w:rsidTr="001C6F85">
        <w:tc>
          <w:tcPr>
            <w:tcW w:w="1838" w:type="dxa"/>
            <w:shd w:val="clear" w:color="auto" w:fill="auto"/>
          </w:tcPr>
          <w:p w14:paraId="3AA6CE61" w14:textId="77777777" w:rsidR="00590051" w:rsidRPr="00632AC4" w:rsidRDefault="00590051" w:rsidP="00F84DCC">
            <w:pPr>
              <w:tabs>
                <w:tab w:val="center" w:pos="4800"/>
                <w:tab w:val="right" w:pos="9500"/>
              </w:tabs>
              <w:rPr>
                <w:b/>
                <w:i/>
                <w:sz w:val="15"/>
                <w:szCs w:val="15"/>
              </w:rPr>
            </w:pPr>
            <w:r w:rsidRPr="00632AC4">
              <w:rPr>
                <w:b/>
                <w:bCs/>
                <w:i/>
                <w:sz w:val="15"/>
                <w:szCs w:val="15"/>
              </w:rPr>
              <w:t>DERCapability</w:t>
            </w:r>
          </w:p>
        </w:tc>
        <w:tc>
          <w:tcPr>
            <w:tcW w:w="2268" w:type="dxa"/>
            <w:shd w:val="clear" w:color="auto" w:fill="auto"/>
          </w:tcPr>
          <w:p w14:paraId="2C4842BF" w14:textId="389F3449" w:rsidR="00590051" w:rsidRPr="00F84DCC" w:rsidRDefault="00590051" w:rsidP="00632AC4">
            <w:pPr>
              <w:tabs>
                <w:tab w:val="center" w:pos="4800"/>
                <w:tab w:val="right" w:pos="9500"/>
              </w:tabs>
              <w:ind w:left="25"/>
              <w:rPr>
                <w:sz w:val="15"/>
                <w:szCs w:val="15"/>
              </w:rPr>
            </w:pPr>
            <w:r w:rsidRPr="00F84DCC">
              <w:rPr>
                <w:sz w:val="15"/>
                <w:szCs w:val="15"/>
              </w:rPr>
              <w:t xml:space="preserve">Monitoring DER to find </w:t>
            </w:r>
            <m:oMath>
              <m:sSub>
                <m:sSubPr>
                  <m:ctrlPr>
                    <w:rPr>
                      <w:rFonts w:ascii="Cambria Math" w:hAnsi="Cambria Math"/>
                      <w:sz w:val="15"/>
                      <w:szCs w:val="15"/>
                    </w:rPr>
                  </m:ctrlPr>
                </m:sSubPr>
                <m:e>
                  <m:r>
                    <w:rPr>
                      <w:rFonts w:ascii="Cambria Math" w:hAnsi="Cambria Math"/>
                      <w:sz w:val="15"/>
                      <w:szCs w:val="15"/>
                    </w:rPr>
                    <m:t>P</m:t>
                  </m:r>
                </m:e>
                <m:sub>
                  <m:r>
                    <m:rPr>
                      <m:sty m:val="p"/>
                    </m:rPr>
                    <w:rPr>
                      <w:rFonts w:ascii="Cambria Math" w:hAnsi="Cambria Math"/>
                      <w:sz w:val="15"/>
                      <w:szCs w:val="15"/>
                    </w:rPr>
                    <m:t>cap</m:t>
                  </m:r>
                </m:sub>
              </m:sSub>
            </m:oMath>
            <w:r w:rsidRPr="00F84DCC">
              <w:rPr>
                <w:sz w:val="15"/>
                <w:szCs w:val="15"/>
              </w:rPr>
              <w:t xml:space="preserve"> and </w:t>
            </w:r>
            <m:oMath>
              <m:r>
                <m:rPr>
                  <m:sty m:val="p"/>
                </m:rPr>
                <w:rPr>
                  <w:rFonts w:ascii="Cambria Math" w:hAnsi="Cambria Math"/>
                  <w:sz w:val="15"/>
                  <w:szCs w:val="15"/>
                </w:rPr>
                <m:t>Δ</m:t>
              </m:r>
              <m:sSub>
                <m:sSubPr>
                  <m:ctrlPr>
                    <w:rPr>
                      <w:rFonts w:ascii="Cambria Math" w:hAnsi="Cambria Math"/>
                      <w:sz w:val="15"/>
                      <w:szCs w:val="15"/>
                    </w:rPr>
                  </m:ctrlPr>
                </m:sSubPr>
                <m:e>
                  <m:r>
                    <w:rPr>
                      <w:rFonts w:ascii="Cambria Math" w:hAnsi="Cambria Math"/>
                      <w:sz w:val="15"/>
                      <w:szCs w:val="15"/>
                    </w:rPr>
                    <m:t>P</m:t>
                  </m:r>
                </m:e>
                <m:sub>
                  <m:r>
                    <m:rPr>
                      <m:sty m:val="p"/>
                    </m:rPr>
                    <w:rPr>
                      <w:rFonts w:ascii="Cambria Math" w:hAnsi="Cambria Math"/>
                      <w:sz w:val="15"/>
                      <w:szCs w:val="15"/>
                    </w:rPr>
                    <m:t>ava</m:t>
                  </m:r>
                </m:sub>
              </m:sSub>
            </m:oMath>
            <w:r w:rsidRPr="00F84DCC">
              <w:rPr>
                <w:sz w:val="15"/>
                <w:szCs w:val="15"/>
              </w:rPr>
              <w:t xml:space="preserve"> in </w:t>
            </w:r>
            <w:r w:rsidR="00632AC4">
              <w:rPr>
                <w:sz w:val="15"/>
                <w:szCs w:val="15"/>
              </w:rPr>
              <w:t xml:space="preserve">Eqs. </w:t>
            </w:r>
            <w:r w:rsidRPr="00F84DCC">
              <w:rPr>
                <w:sz w:val="15"/>
                <w:szCs w:val="15"/>
              </w:rPr>
              <w:t>(1)</w:t>
            </w:r>
            <w:r w:rsidR="00632AC4">
              <w:rPr>
                <w:sz w:val="15"/>
                <w:szCs w:val="15"/>
              </w:rPr>
              <w:t xml:space="preserve"> and </w:t>
            </w:r>
            <w:r w:rsidRPr="00F84DCC">
              <w:rPr>
                <w:sz w:val="15"/>
                <w:szCs w:val="15"/>
              </w:rPr>
              <w:t>(2)</w:t>
            </w:r>
          </w:p>
        </w:tc>
        <w:tc>
          <w:tcPr>
            <w:tcW w:w="992" w:type="dxa"/>
            <w:shd w:val="clear" w:color="auto" w:fill="auto"/>
          </w:tcPr>
          <w:p w14:paraId="6B356C41" w14:textId="77777777" w:rsidR="00590051" w:rsidRPr="00F84DCC" w:rsidRDefault="00590051" w:rsidP="00F84DCC">
            <w:pPr>
              <w:tabs>
                <w:tab w:val="center" w:pos="4800"/>
                <w:tab w:val="right" w:pos="9500"/>
              </w:tabs>
              <w:rPr>
                <w:sz w:val="15"/>
                <w:szCs w:val="15"/>
              </w:rPr>
            </w:pPr>
            <w:r w:rsidRPr="00F84DCC">
              <w:rPr>
                <w:sz w:val="15"/>
                <w:szCs w:val="15"/>
              </w:rPr>
              <w:t>Response</w:t>
            </w:r>
          </w:p>
        </w:tc>
        <w:tc>
          <w:tcPr>
            <w:tcW w:w="709" w:type="dxa"/>
            <w:shd w:val="clear" w:color="auto" w:fill="auto"/>
          </w:tcPr>
          <w:p w14:paraId="7B86F5C4" w14:textId="77777777" w:rsidR="00590051" w:rsidRPr="00F84DCC" w:rsidRDefault="00590051" w:rsidP="00F84DCC">
            <w:pPr>
              <w:tabs>
                <w:tab w:val="center" w:pos="4800"/>
                <w:tab w:val="right" w:pos="9500"/>
              </w:tabs>
              <w:rPr>
                <w:sz w:val="15"/>
                <w:szCs w:val="15"/>
              </w:rPr>
            </w:pPr>
            <w:r w:rsidRPr="00F84DCC">
              <w:rPr>
                <w:sz w:val="15"/>
                <w:szCs w:val="15"/>
              </w:rPr>
              <w:t>DER</w:t>
            </w:r>
          </w:p>
        </w:tc>
        <w:tc>
          <w:tcPr>
            <w:tcW w:w="1134" w:type="dxa"/>
            <w:shd w:val="clear" w:color="auto" w:fill="auto"/>
          </w:tcPr>
          <w:p w14:paraId="038F5FA9" w14:textId="77777777" w:rsidR="00590051" w:rsidRPr="00F84DCC" w:rsidRDefault="00590051" w:rsidP="00F84DCC">
            <w:pPr>
              <w:tabs>
                <w:tab w:val="center" w:pos="4800"/>
                <w:tab w:val="right" w:pos="9500"/>
              </w:tabs>
              <w:ind w:left="27"/>
              <w:rPr>
                <w:sz w:val="15"/>
                <w:szCs w:val="15"/>
              </w:rPr>
            </w:pPr>
            <w:r w:rsidRPr="00F84DCC">
              <w:rPr>
                <w:sz w:val="15"/>
                <w:szCs w:val="15"/>
              </w:rPr>
              <w:t>HEMS agent</w:t>
            </w:r>
          </w:p>
        </w:tc>
        <w:tc>
          <w:tcPr>
            <w:tcW w:w="3402" w:type="dxa"/>
            <w:shd w:val="clear" w:color="auto" w:fill="auto"/>
          </w:tcPr>
          <w:p w14:paraId="2E5588D3" w14:textId="77777777" w:rsidR="00590051" w:rsidRPr="00F84DCC" w:rsidRDefault="00590051" w:rsidP="00F84DCC">
            <w:pPr>
              <w:tabs>
                <w:tab w:val="center" w:pos="4800"/>
                <w:tab w:val="right" w:pos="9500"/>
              </w:tabs>
              <w:ind w:left="27"/>
              <w:rPr>
                <w:i/>
                <w:sz w:val="15"/>
                <w:szCs w:val="15"/>
              </w:rPr>
            </w:pPr>
            <w:r w:rsidRPr="00F84DCC">
              <w:rPr>
                <w:i/>
                <w:sz w:val="15"/>
                <w:szCs w:val="15"/>
              </w:rPr>
              <w:t>rtgMaxChargeRate, rtgMaxDischargeRate</w:t>
            </w:r>
          </w:p>
        </w:tc>
      </w:tr>
      <w:tr w:rsidR="00590051" w:rsidRPr="00F84DCC" w14:paraId="5BE960B4" w14:textId="77777777" w:rsidTr="001C6F85">
        <w:tc>
          <w:tcPr>
            <w:tcW w:w="1838" w:type="dxa"/>
            <w:tcBorders>
              <w:bottom w:val="single" w:sz="6" w:space="0" w:color="auto"/>
            </w:tcBorders>
            <w:shd w:val="clear" w:color="auto" w:fill="auto"/>
          </w:tcPr>
          <w:p w14:paraId="0E4EA57F" w14:textId="77777777" w:rsidR="00590051" w:rsidRPr="00632AC4" w:rsidRDefault="00590051" w:rsidP="00F84DCC">
            <w:pPr>
              <w:tabs>
                <w:tab w:val="center" w:pos="4800"/>
                <w:tab w:val="right" w:pos="9500"/>
              </w:tabs>
              <w:rPr>
                <w:b/>
                <w:i/>
                <w:sz w:val="15"/>
                <w:szCs w:val="15"/>
              </w:rPr>
            </w:pPr>
            <w:r w:rsidRPr="00632AC4">
              <w:rPr>
                <w:b/>
                <w:bCs/>
                <w:i/>
                <w:sz w:val="15"/>
                <w:szCs w:val="15"/>
              </w:rPr>
              <w:t>DERAvailability</w:t>
            </w:r>
          </w:p>
        </w:tc>
        <w:tc>
          <w:tcPr>
            <w:tcW w:w="2268" w:type="dxa"/>
            <w:tcBorders>
              <w:bottom w:val="single" w:sz="6" w:space="0" w:color="auto"/>
            </w:tcBorders>
            <w:shd w:val="clear" w:color="auto" w:fill="auto"/>
          </w:tcPr>
          <w:p w14:paraId="7A2FC21D" w14:textId="6A7131EA" w:rsidR="00590051" w:rsidRPr="00F84DCC" w:rsidRDefault="00590051" w:rsidP="00F84DCC">
            <w:pPr>
              <w:tabs>
                <w:tab w:val="center" w:pos="4800"/>
                <w:tab w:val="right" w:pos="9500"/>
              </w:tabs>
              <w:ind w:left="25"/>
              <w:rPr>
                <w:sz w:val="15"/>
                <w:szCs w:val="15"/>
              </w:rPr>
            </w:pPr>
            <w:r w:rsidRPr="00F84DCC">
              <w:rPr>
                <w:sz w:val="15"/>
                <w:szCs w:val="15"/>
              </w:rPr>
              <w:t xml:space="preserve">Monitoring DER to find </w:t>
            </w:r>
            <m:oMath>
              <m:sSub>
                <m:sSubPr>
                  <m:ctrlPr>
                    <w:rPr>
                      <w:rFonts w:ascii="Cambria Math" w:hAnsi="Cambria Math"/>
                      <w:sz w:val="15"/>
                      <w:szCs w:val="15"/>
                    </w:rPr>
                  </m:ctrlPr>
                </m:sSubPr>
                <m:e>
                  <m:r>
                    <w:rPr>
                      <w:rFonts w:ascii="Cambria Math" w:hAnsi="Cambria Math"/>
                      <w:sz w:val="15"/>
                      <w:szCs w:val="15"/>
                    </w:rPr>
                    <m:t>P</m:t>
                  </m:r>
                </m:e>
                <m:sub>
                  <m:r>
                    <m:rPr>
                      <m:sty m:val="p"/>
                    </m:rPr>
                    <w:rPr>
                      <w:rFonts w:ascii="Cambria Math" w:hAnsi="Cambria Math"/>
                      <w:sz w:val="15"/>
                      <w:szCs w:val="15"/>
                    </w:rPr>
                    <m:t>cap</m:t>
                  </m:r>
                </m:sub>
              </m:sSub>
            </m:oMath>
            <w:r w:rsidRPr="00F84DCC">
              <w:rPr>
                <w:sz w:val="15"/>
                <w:szCs w:val="15"/>
              </w:rPr>
              <w:t xml:space="preserve"> and </w:t>
            </w:r>
            <m:oMath>
              <m:r>
                <m:rPr>
                  <m:sty m:val="p"/>
                </m:rPr>
                <w:rPr>
                  <w:rFonts w:ascii="Cambria Math" w:hAnsi="Cambria Math"/>
                  <w:sz w:val="15"/>
                  <w:szCs w:val="15"/>
                </w:rPr>
                <m:t>Δ</m:t>
              </m:r>
              <m:sSub>
                <m:sSubPr>
                  <m:ctrlPr>
                    <w:rPr>
                      <w:rFonts w:ascii="Cambria Math" w:hAnsi="Cambria Math"/>
                      <w:sz w:val="15"/>
                      <w:szCs w:val="15"/>
                    </w:rPr>
                  </m:ctrlPr>
                </m:sSubPr>
                <m:e>
                  <m:r>
                    <w:rPr>
                      <w:rFonts w:ascii="Cambria Math" w:hAnsi="Cambria Math"/>
                      <w:sz w:val="15"/>
                      <w:szCs w:val="15"/>
                    </w:rPr>
                    <m:t>P</m:t>
                  </m:r>
                </m:e>
                <m:sub>
                  <m:r>
                    <m:rPr>
                      <m:sty m:val="p"/>
                    </m:rPr>
                    <w:rPr>
                      <w:rFonts w:ascii="Cambria Math" w:hAnsi="Cambria Math"/>
                      <w:sz w:val="15"/>
                      <w:szCs w:val="15"/>
                    </w:rPr>
                    <m:t>ava</m:t>
                  </m:r>
                </m:sub>
              </m:sSub>
            </m:oMath>
            <w:r w:rsidRPr="00F84DCC">
              <w:rPr>
                <w:sz w:val="15"/>
                <w:szCs w:val="15"/>
              </w:rPr>
              <w:t xml:space="preserve"> in</w:t>
            </w:r>
            <w:r w:rsidR="00632AC4">
              <w:rPr>
                <w:sz w:val="15"/>
                <w:szCs w:val="15"/>
              </w:rPr>
              <w:t xml:space="preserve"> Eqs. (1) and </w:t>
            </w:r>
            <w:r w:rsidRPr="00F84DCC">
              <w:rPr>
                <w:sz w:val="15"/>
                <w:szCs w:val="15"/>
              </w:rPr>
              <w:t>(2)</w:t>
            </w:r>
          </w:p>
        </w:tc>
        <w:tc>
          <w:tcPr>
            <w:tcW w:w="992" w:type="dxa"/>
            <w:tcBorders>
              <w:bottom w:val="single" w:sz="6" w:space="0" w:color="auto"/>
            </w:tcBorders>
            <w:shd w:val="clear" w:color="auto" w:fill="auto"/>
          </w:tcPr>
          <w:p w14:paraId="1536CF98" w14:textId="77777777" w:rsidR="00590051" w:rsidRPr="00F84DCC" w:rsidRDefault="00590051" w:rsidP="00F84DCC">
            <w:pPr>
              <w:tabs>
                <w:tab w:val="center" w:pos="4800"/>
                <w:tab w:val="right" w:pos="9500"/>
              </w:tabs>
              <w:rPr>
                <w:sz w:val="15"/>
                <w:szCs w:val="15"/>
              </w:rPr>
            </w:pPr>
            <w:r w:rsidRPr="00F84DCC">
              <w:rPr>
                <w:sz w:val="15"/>
                <w:szCs w:val="15"/>
              </w:rPr>
              <w:t>Response</w:t>
            </w:r>
          </w:p>
        </w:tc>
        <w:tc>
          <w:tcPr>
            <w:tcW w:w="709" w:type="dxa"/>
            <w:tcBorders>
              <w:bottom w:val="single" w:sz="6" w:space="0" w:color="auto"/>
            </w:tcBorders>
            <w:shd w:val="clear" w:color="auto" w:fill="auto"/>
          </w:tcPr>
          <w:p w14:paraId="72C6B3D6" w14:textId="77777777" w:rsidR="00590051" w:rsidRPr="00F84DCC" w:rsidRDefault="00590051" w:rsidP="00F84DCC">
            <w:pPr>
              <w:tabs>
                <w:tab w:val="center" w:pos="4800"/>
                <w:tab w:val="right" w:pos="9500"/>
              </w:tabs>
              <w:rPr>
                <w:sz w:val="15"/>
                <w:szCs w:val="15"/>
              </w:rPr>
            </w:pPr>
            <w:r w:rsidRPr="00F84DCC">
              <w:rPr>
                <w:sz w:val="15"/>
                <w:szCs w:val="15"/>
              </w:rPr>
              <w:t>DER</w:t>
            </w:r>
          </w:p>
        </w:tc>
        <w:tc>
          <w:tcPr>
            <w:tcW w:w="1134" w:type="dxa"/>
            <w:tcBorders>
              <w:bottom w:val="single" w:sz="6" w:space="0" w:color="auto"/>
            </w:tcBorders>
            <w:shd w:val="clear" w:color="auto" w:fill="auto"/>
          </w:tcPr>
          <w:p w14:paraId="4BEE0CBB" w14:textId="77777777" w:rsidR="00590051" w:rsidRPr="00F84DCC" w:rsidRDefault="00590051" w:rsidP="00F84DCC">
            <w:pPr>
              <w:tabs>
                <w:tab w:val="center" w:pos="4800"/>
                <w:tab w:val="right" w:pos="9500"/>
              </w:tabs>
              <w:ind w:left="27"/>
              <w:rPr>
                <w:sz w:val="15"/>
                <w:szCs w:val="15"/>
              </w:rPr>
            </w:pPr>
            <w:r w:rsidRPr="00F84DCC">
              <w:rPr>
                <w:sz w:val="15"/>
                <w:szCs w:val="15"/>
              </w:rPr>
              <w:t>HEMS agent</w:t>
            </w:r>
          </w:p>
        </w:tc>
        <w:tc>
          <w:tcPr>
            <w:tcW w:w="3402" w:type="dxa"/>
            <w:tcBorders>
              <w:bottom w:val="single" w:sz="6" w:space="0" w:color="auto"/>
            </w:tcBorders>
            <w:shd w:val="clear" w:color="auto" w:fill="auto"/>
          </w:tcPr>
          <w:p w14:paraId="066B42AB" w14:textId="77777777" w:rsidR="00590051" w:rsidRPr="00F84DCC" w:rsidRDefault="00590051" w:rsidP="00F84DCC">
            <w:pPr>
              <w:tabs>
                <w:tab w:val="center" w:pos="4800"/>
                <w:tab w:val="right" w:pos="9500"/>
              </w:tabs>
              <w:ind w:left="27"/>
              <w:rPr>
                <w:i/>
                <w:sz w:val="15"/>
                <w:szCs w:val="15"/>
              </w:rPr>
            </w:pPr>
            <w:r w:rsidRPr="00F84DCC">
              <w:rPr>
                <w:i/>
                <w:sz w:val="15"/>
                <w:szCs w:val="15"/>
              </w:rPr>
              <w:t>availabilityDuration, maxChargeDuration, reserveChargePercent, reservePercent</w:t>
            </w:r>
          </w:p>
        </w:tc>
      </w:tr>
    </w:tbl>
    <w:p w14:paraId="232FB747" w14:textId="77777777" w:rsidR="00590051" w:rsidRDefault="00590051" w:rsidP="00590051">
      <w:pPr>
        <w:autoSpaceDE w:val="0"/>
        <w:autoSpaceDN w:val="0"/>
        <w:adjustRightInd w:val="0"/>
      </w:pPr>
    </w:p>
    <w:p w14:paraId="7896E91E" w14:textId="77777777" w:rsidR="00590051" w:rsidRDefault="00590051" w:rsidP="00F84DCC">
      <w:pPr>
        <w:pStyle w:val="happendixtext"/>
        <w:autoSpaceDE w:val="0"/>
        <w:autoSpaceDN w:val="0"/>
        <w:adjustRightInd w:val="0"/>
        <w:spacing w:before="0"/>
        <w:ind w:firstLineChars="100" w:firstLine="211"/>
        <w:jc w:val="both"/>
        <w:rPr>
          <w:szCs w:val="24"/>
        </w:rPr>
      </w:pPr>
      <w:r w:rsidRPr="00366217">
        <w:rPr>
          <w:b/>
          <w:i/>
          <w:szCs w:val="24"/>
        </w:rPr>
        <w:t>LoadShedAvailability</w:t>
      </w:r>
      <w:r>
        <w:rPr>
          <w:szCs w:val="24"/>
        </w:rPr>
        <w:t xml:space="preserve"> addresses how long the consuming device is able to reduce consumption and at what maximum response level. With </w:t>
      </w:r>
      <w:r w:rsidRPr="00366217">
        <w:rPr>
          <w:i/>
          <w:szCs w:val="24"/>
        </w:rPr>
        <w:t>sheddablePower</w:t>
      </w:r>
      <w:r>
        <w:rPr>
          <w:szCs w:val="24"/>
        </w:rPr>
        <w:t xml:space="preserve">, we can find the maximum amount of current operating load that is estimated to be sheddable for a specific duration, which is indicated in </w:t>
      </w:r>
      <w:r w:rsidRPr="00366217">
        <w:rPr>
          <w:i/>
          <w:szCs w:val="24"/>
        </w:rPr>
        <w:t>availabilityDuration</w:t>
      </w:r>
      <w:r>
        <w:rPr>
          <w:szCs w:val="24"/>
        </w:rPr>
        <w:t>. In the case of an emergency, when prompt load shedding is needed, the aggregated data from this function set is helpful.</w:t>
      </w:r>
    </w:p>
    <w:p w14:paraId="507A2B4B" w14:textId="77777777" w:rsidR="00590051" w:rsidRDefault="00590051" w:rsidP="00F84DCC">
      <w:pPr>
        <w:pStyle w:val="happendixtext"/>
        <w:autoSpaceDE w:val="0"/>
        <w:autoSpaceDN w:val="0"/>
        <w:adjustRightInd w:val="0"/>
        <w:spacing w:before="0"/>
        <w:ind w:firstLineChars="100" w:firstLine="211"/>
        <w:jc w:val="both"/>
        <w:rPr>
          <w:szCs w:val="24"/>
        </w:rPr>
      </w:pPr>
      <w:r w:rsidRPr="00366217">
        <w:rPr>
          <w:b/>
          <w:i/>
          <w:szCs w:val="24"/>
        </w:rPr>
        <w:t>MirrorUsagePoint</w:t>
      </w:r>
      <w:r w:rsidRPr="00366217">
        <w:rPr>
          <w:b/>
          <w:szCs w:val="24"/>
        </w:rPr>
        <w:t xml:space="preserve"> </w:t>
      </w:r>
      <w:r>
        <w:rPr>
          <w:szCs w:val="24"/>
        </w:rPr>
        <w:t xml:space="preserve">mimics meter reading, using </w:t>
      </w:r>
      <w:r w:rsidRPr="00366217">
        <w:rPr>
          <w:i/>
          <w:szCs w:val="24"/>
        </w:rPr>
        <w:t>Reading</w:t>
      </w:r>
      <w:r>
        <w:rPr>
          <w:szCs w:val="24"/>
        </w:rPr>
        <w:t xml:space="preserve"> for the meter value, and </w:t>
      </w:r>
      <w:r w:rsidRPr="00366217">
        <w:rPr>
          <w:i/>
          <w:szCs w:val="24"/>
        </w:rPr>
        <w:t>timePeriod</w:t>
      </w:r>
      <w:r>
        <w:rPr>
          <w:szCs w:val="24"/>
        </w:rPr>
        <w:t xml:space="preserve"> for the duration. This permits the use of aggregated customer consumption data. This data will be used to cluster customers according to their consumption patterns, as described in the main sections.</w:t>
      </w:r>
    </w:p>
    <w:p w14:paraId="7E32ACA9" w14:textId="78114AAC" w:rsidR="0014291B" w:rsidRPr="00C805EE" w:rsidRDefault="00590051" w:rsidP="00C805EE">
      <w:pPr>
        <w:pStyle w:val="happendixtext"/>
        <w:autoSpaceDE w:val="0"/>
        <w:autoSpaceDN w:val="0"/>
        <w:adjustRightInd w:val="0"/>
        <w:spacing w:before="0"/>
        <w:ind w:firstLineChars="100" w:firstLine="210"/>
        <w:jc w:val="both"/>
        <w:rPr>
          <w:szCs w:val="24"/>
        </w:rPr>
      </w:pPr>
      <w:r>
        <w:rPr>
          <w:szCs w:val="24"/>
        </w:rPr>
        <w:t xml:space="preserve">The last three rows address DER. In </w:t>
      </w:r>
      <w:r w:rsidRPr="00366217">
        <w:rPr>
          <w:b/>
          <w:i/>
          <w:szCs w:val="24"/>
        </w:rPr>
        <w:t>DERSettings</w:t>
      </w:r>
      <w:r>
        <w:rPr>
          <w:szCs w:val="24"/>
        </w:rPr>
        <w:t xml:space="preserve">, </w:t>
      </w:r>
      <w:r w:rsidRPr="00366217">
        <w:rPr>
          <w:i/>
          <w:szCs w:val="24"/>
        </w:rPr>
        <w:t>setMaxChargeRate</w:t>
      </w:r>
      <w:r>
        <w:rPr>
          <w:szCs w:val="24"/>
        </w:rPr>
        <w:t xml:space="preserve"> is used to set the maximum rate of received energy, </w:t>
      </w:r>
      <w:r w:rsidRPr="00366217">
        <w:rPr>
          <w:i/>
          <w:szCs w:val="24"/>
        </w:rPr>
        <w:t>setMaxDischargeRate</w:t>
      </w:r>
      <w:r>
        <w:rPr>
          <w:szCs w:val="24"/>
        </w:rPr>
        <w:t xml:space="preserve"> sets the maximum rate of delivered energy, and </w:t>
      </w:r>
      <w:r w:rsidRPr="00366217">
        <w:rPr>
          <w:i/>
          <w:szCs w:val="24"/>
        </w:rPr>
        <w:t>setMax</w:t>
      </w:r>
      <w:r w:rsidR="001C6F85">
        <w:rPr>
          <w:i/>
          <w:szCs w:val="24"/>
        </w:rPr>
        <w:t>W</w:t>
      </w:r>
      <w:r>
        <w:rPr>
          <w:szCs w:val="24"/>
        </w:rPr>
        <w:t xml:space="preserve"> sets the limit for maximum active power capability of the battery storage system. </w:t>
      </w:r>
      <w:r w:rsidRPr="00366217">
        <w:rPr>
          <w:b/>
          <w:i/>
          <w:szCs w:val="24"/>
        </w:rPr>
        <w:t>DERCapability</w:t>
      </w:r>
      <w:r>
        <w:rPr>
          <w:szCs w:val="24"/>
        </w:rPr>
        <w:t xml:space="preserve"> addresses DER type and nameplate ratings, where the HEMS agent uses </w:t>
      </w:r>
      <w:r w:rsidRPr="00366217">
        <w:rPr>
          <w:i/>
          <w:szCs w:val="24"/>
        </w:rPr>
        <w:t>rtgMaxChargeRate</w:t>
      </w:r>
      <w:r>
        <w:rPr>
          <w:szCs w:val="24"/>
        </w:rPr>
        <w:t xml:space="preserve"> and </w:t>
      </w:r>
      <w:r w:rsidRPr="00366217">
        <w:rPr>
          <w:i/>
          <w:szCs w:val="24"/>
        </w:rPr>
        <w:t>rtgMaxDischargeRate</w:t>
      </w:r>
      <w:r>
        <w:rPr>
          <w:szCs w:val="24"/>
        </w:rPr>
        <w:t xml:space="preserve">, the maximum rate of energy received and delivered by the battery storages, respectively, in its control response to negotiation. </w:t>
      </w:r>
      <w:r w:rsidRPr="00366217">
        <w:rPr>
          <w:b/>
          <w:i/>
          <w:szCs w:val="24"/>
        </w:rPr>
        <w:t>DERAvailability</w:t>
      </w:r>
      <w:r>
        <w:rPr>
          <w:szCs w:val="24"/>
        </w:rPr>
        <w:t xml:space="preserve"> designates the current reserve generation status, with </w:t>
      </w:r>
      <w:r w:rsidRPr="00366217">
        <w:rPr>
          <w:i/>
          <w:szCs w:val="24"/>
        </w:rPr>
        <w:t>availabilityDuration</w:t>
      </w:r>
      <w:r>
        <w:rPr>
          <w:szCs w:val="24"/>
        </w:rPr>
        <w:t xml:space="preserve"> and </w:t>
      </w:r>
      <w:r w:rsidRPr="00366217">
        <w:rPr>
          <w:i/>
          <w:szCs w:val="24"/>
        </w:rPr>
        <w:t>maxChargeDuration</w:t>
      </w:r>
      <w:r>
        <w:rPr>
          <w:szCs w:val="24"/>
        </w:rPr>
        <w:t xml:space="preserve"> used for DER duration in receiving active power and delivering reactive power, respectively, while </w:t>
      </w:r>
      <w:r w:rsidRPr="00366217">
        <w:rPr>
          <w:i/>
          <w:szCs w:val="24"/>
        </w:rPr>
        <w:t xml:space="preserve">reserveChargePercent </w:t>
      </w:r>
      <w:r>
        <w:rPr>
          <w:szCs w:val="24"/>
        </w:rPr>
        <w:t xml:space="preserve">gives an estimate of the continuous percentage of received active power, and </w:t>
      </w:r>
      <w:r w:rsidRPr="00366217">
        <w:rPr>
          <w:i/>
          <w:szCs w:val="24"/>
        </w:rPr>
        <w:t xml:space="preserve">reservePercent </w:t>
      </w:r>
      <w:r>
        <w:rPr>
          <w:szCs w:val="24"/>
        </w:rPr>
        <w:t>gives an estimate for the continuous percentage of delivered active power, both of which are expected to be available in reserve.</w:t>
      </w:r>
    </w:p>
    <w:sectPr w:rsidR="0014291B" w:rsidRPr="00C805EE" w:rsidSect="00590051">
      <w:headerReference w:type="default" r:id="rId6"/>
      <w:headerReference w:type="first" r:id="rId7"/>
      <w:footerReference w:type="first" r:id="rId8"/>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BDE6F1" w14:textId="77777777" w:rsidR="00AF6BEC" w:rsidRDefault="00AF6BEC" w:rsidP="00590051">
      <w:r>
        <w:separator/>
      </w:r>
    </w:p>
  </w:endnote>
  <w:endnote w:type="continuationSeparator" w:id="0">
    <w:p w14:paraId="38CA2461" w14:textId="77777777" w:rsidR="00AF6BEC" w:rsidRDefault="00AF6BEC" w:rsidP="00590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672CA" w14:textId="77777777" w:rsidR="00590051" w:rsidRPr="00D1381C" w:rsidRDefault="00590051" w:rsidP="00D55809">
    <w:pPr>
      <w:pStyle w:val="a6"/>
      <w:rPr>
        <w:sz w:val="18"/>
      </w:rPr>
    </w:pPr>
    <w:r w:rsidRPr="00D55809">
      <w:rPr>
        <w:sz w:val="18"/>
      </w:rPr>
      <w:t>2095-8099/© 2020 THE AUTHORS. Published by Elsevier LTD on behalf of Chinese Academy of Engineering and Higher Education Press Limited Company. This is an open access article under the CC BY-NC-ND license (http://creativecommons.org/licenses/by-nc-nd/4.0/).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2D1039" w14:textId="77777777" w:rsidR="00AF6BEC" w:rsidRDefault="00AF6BEC" w:rsidP="00590051">
      <w:r>
        <w:separator/>
      </w:r>
    </w:p>
  </w:footnote>
  <w:footnote w:type="continuationSeparator" w:id="0">
    <w:p w14:paraId="71A9564B" w14:textId="77777777" w:rsidR="00AF6BEC" w:rsidRDefault="00AF6BEC" w:rsidP="005900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6F9BF" w14:textId="77777777" w:rsidR="00590051" w:rsidRPr="00D55809" w:rsidRDefault="00590051" w:rsidP="000E6C2F">
    <w:pPr>
      <w:pStyle w:val="a5"/>
      <w:jc w:val="center"/>
      <w:rPr>
        <w:sz w:val="18"/>
      </w:rPr>
    </w:pPr>
    <w:r>
      <w:rPr>
        <w:i/>
        <w:sz w:val="18"/>
      </w:rPr>
      <w:t>J</w:t>
    </w:r>
    <w:r w:rsidRPr="00D55809">
      <w:rPr>
        <w:i/>
        <w:sz w:val="18"/>
      </w:rPr>
      <w:t xml:space="preserve">. </w:t>
    </w:r>
    <w:r>
      <w:rPr>
        <w:i/>
        <w:sz w:val="18"/>
      </w:rPr>
      <w:t>Fattahi</w:t>
    </w:r>
    <w:r w:rsidRPr="00D55809">
      <w:rPr>
        <w:i/>
        <w:sz w:val="18"/>
      </w:rPr>
      <w:t xml:space="preserve"> et al. </w:t>
    </w:r>
    <w:r w:rsidRPr="00D55809">
      <w:rPr>
        <w:sz w:val="18"/>
      </w:rPr>
      <w:t xml:space="preserve">/ </w:t>
    </w:r>
    <w:r w:rsidRPr="00D55809">
      <w:rPr>
        <w:i/>
        <w:sz w:val="18"/>
      </w:rPr>
      <w:t>Engineering 6 (2020)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43A18" w14:textId="77777777" w:rsidR="00590051" w:rsidRPr="00D55809" w:rsidRDefault="00590051" w:rsidP="00D1381C">
    <w:pPr>
      <w:pStyle w:val="a5"/>
      <w:jc w:val="center"/>
      <w:rPr>
        <w:sz w:val="18"/>
      </w:rPr>
    </w:pPr>
    <w:r w:rsidRPr="00D55809">
      <w:rPr>
        <w:sz w:val="18"/>
      </w:rPr>
      <w:t>Engineering 6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051"/>
    <w:rsid w:val="001A24E7"/>
    <w:rsid w:val="001C6F85"/>
    <w:rsid w:val="003E3DA0"/>
    <w:rsid w:val="004C5EAC"/>
    <w:rsid w:val="00590051"/>
    <w:rsid w:val="00632AC4"/>
    <w:rsid w:val="006A7260"/>
    <w:rsid w:val="007620FF"/>
    <w:rsid w:val="00770591"/>
    <w:rsid w:val="00AD6D4D"/>
    <w:rsid w:val="00AF6BEC"/>
    <w:rsid w:val="00C805EE"/>
    <w:rsid w:val="00CE7687"/>
    <w:rsid w:val="00D32AEE"/>
    <w:rsid w:val="00E87297"/>
    <w:rsid w:val="00F84D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4CFCF"/>
  <w15:chartTrackingRefBased/>
  <w15:docId w15:val="{9A09268D-BEF1-4001-8A83-76C4C59C3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051"/>
    <w:rPr>
      <w:rFonts w:ascii="Times New Roman" w:eastAsia="宋体" w:hAnsi="Times New Roman" w:cs="Times New Roman"/>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rsid w:val="00590051"/>
    <w:rPr>
      <w:sz w:val="16"/>
      <w:szCs w:val="16"/>
    </w:rPr>
  </w:style>
  <w:style w:type="paragraph" w:styleId="a4">
    <w:name w:val="annotation text"/>
    <w:basedOn w:val="a"/>
    <w:link w:val="Char"/>
    <w:uiPriority w:val="99"/>
    <w:semiHidden/>
    <w:rsid w:val="00590051"/>
  </w:style>
  <w:style w:type="character" w:customStyle="1" w:styleId="Char">
    <w:name w:val="批注文字 Char"/>
    <w:basedOn w:val="a0"/>
    <w:link w:val="a4"/>
    <w:uiPriority w:val="99"/>
    <w:semiHidden/>
    <w:rsid w:val="00590051"/>
    <w:rPr>
      <w:rFonts w:ascii="Times New Roman" w:eastAsia="宋体" w:hAnsi="Times New Roman" w:cs="Times New Roman"/>
      <w:kern w:val="0"/>
      <w:sz w:val="24"/>
      <w:szCs w:val="24"/>
      <w:lang w:eastAsia="en-US"/>
    </w:rPr>
  </w:style>
  <w:style w:type="paragraph" w:customStyle="1" w:styleId="happendixhead">
    <w:name w:val="happendixhead"/>
    <w:basedOn w:val="a"/>
    <w:link w:val="happendixheadChar"/>
    <w:rsid w:val="00590051"/>
    <w:pPr>
      <w:keepNext/>
      <w:spacing w:before="240"/>
      <w:outlineLvl w:val="0"/>
    </w:pPr>
    <w:rPr>
      <w:kern w:val="28"/>
      <w:sz w:val="32"/>
      <w:szCs w:val="20"/>
    </w:rPr>
  </w:style>
  <w:style w:type="paragraph" w:customStyle="1" w:styleId="happendixtext">
    <w:name w:val="happendixtext"/>
    <w:basedOn w:val="a"/>
    <w:link w:val="happendixtextChar"/>
    <w:rsid w:val="00590051"/>
    <w:pPr>
      <w:spacing w:before="120"/>
    </w:pPr>
    <w:rPr>
      <w:sz w:val="21"/>
      <w:szCs w:val="20"/>
    </w:rPr>
  </w:style>
  <w:style w:type="character" w:customStyle="1" w:styleId="happendixheadChar">
    <w:name w:val="happendixhead Char"/>
    <w:basedOn w:val="a0"/>
    <w:link w:val="happendixhead"/>
    <w:rsid w:val="00590051"/>
    <w:rPr>
      <w:rFonts w:ascii="Times New Roman" w:eastAsia="宋体" w:hAnsi="Times New Roman" w:cs="Times New Roman"/>
      <w:kern w:val="28"/>
      <w:sz w:val="32"/>
      <w:szCs w:val="20"/>
      <w:lang w:eastAsia="en-US"/>
    </w:rPr>
  </w:style>
  <w:style w:type="character" w:customStyle="1" w:styleId="happendixtextChar">
    <w:name w:val="happendixtext Char"/>
    <w:basedOn w:val="a0"/>
    <w:link w:val="happendixtext"/>
    <w:rsid w:val="00590051"/>
    <w:rPr>
      <w:rFonts w:ascii="Times New Roman" w:eastAsia="宋体" w:hAnsi="Times New Roman" w:cs="Times New Roman"/>
      <w:kern w:val="0"/>
      <w:szCs w:val="20"/>
      <w:lang w:eastAsia="en-US"/>
    </w:rPr>
  </w:style>
  <w:style w:type="paragraph" w:styleId="a5">
    <w:name w:val="header"/>
    <w:basedOn w:val="a"/>
    <w:link w:val="Char0"/>
    <w:uiPriority w:val="99"/>
    <w:qFormat/>
    <w:rsid w:val="00590051"/>
    <w:pPr>
      <w:tabs>
        <w:tab w:val="center" w:pos="4536"/>
        <w:tab w:val="right" w:pos="9072"/>
      </w:tabs>
    </w:pPr>
  </w:style>
  <w:style w:type="character" w:customStyle="1" w:styleId="Char0">
    <w:name w:val="页眉 Char"/>
    <w:basedOn w:val="a0"/>
    <w:link w:val="a5"/>
    <w:rsid w:val="00590051"/>
    <w:rPr>
      <w:rFonts w:ascii="Times New Roman" w:eastAsia="宋体" w:hAnsi="Times New Roman" w:cs="Times New Roman"/>
      <w:kern w:val="0"/>
      <w:sz w:val="24"/>
      <w:szCs w:val="24"/>
      <w:lang w:eastAsia="en-US"/>
    </w:rPr>
  </w:style>
  <w:style w:type="paragraph" w:styleId="a6">
    <w:name w:val="footer"/>
    <w:basedOn w:val="a"/>
    <w:link w:val="Char1"/>
    <w:uiPriority w:val="99"/>
    <w:rsid w:val="00590051"/>
    <w:pPr>
      <w:tabs>
        <w:tab w:val="center" w:pos="4536"/>
        <w:tab w:val="right" w:pos="9072"/>
      </w:tabs>
    </w:pPr>
  </w:style>
  <w:style w:type="character" w:customStyle="1" w:styleId="Char1">
    <w:name w:val="页脚 Char"/>
    <w:basedOn w:val="a0"/>
    <w:link w:val="a6"/>
    <w:uiPriority w:val="99"/>
    <w:rsid w:val="00590051"/>
    <w:rPr>
      <w:rFonts w:ascii="Times New Roman" w:eastAsia="宋体" w:hAnsi="Times New Roman" w:cs="Times New Roman"/>
      <w:kern w:val="0"/>
      <w:sz w:val="24"/>
      <w:szCs w:val="24"/>
      <w:lang w:eastAsia="en-US"/>
    </w:rPr>
  </w:style>
  <w:style w:type="paragraph" w:styleId="a7">
    <w:name w:val="footnote text"/>
    <w:basedOn w:val="a"/>
    <w:link w:val="Char2"/>
    <w:uiPriority w:val="99"/>
    <w:semiHidden/>
    <w:rsid w:val="00590051"/>
    <w:pPr>
      <w:tabs>
        <w:tab w:val="left" w:pos="170"/>
      </w:tabs>
      <w:ind w:left="170" w:hanging="170"/>
    </w:pPr>
    <w:rPr>
      <w:sz w:val="18"/>
    </w:rPr>
  </w:style>
  <w:style w:type="character" w:customStyle="1" w:styleId="Char2">
    <w:name w:val="脚注文本 Char"/>
    <w:basedOn w:val="a0"/>
    <w:link w:val="a7"/>
    <w:uiPriority w:val="99"/>
    <w:semiHidden/>
    <w:rsid w:val="00590051"/>
    <w:rPr>
      <w:rFonts w:ascii="Times New Roman" w:eastAsia="宋体" w:hAnsi="Times New Roman" w:cs="Times New Roman"/>
      <w:kern w:val="0"/>
      <w:sz w:val="18"/>
      <w:szCs w:val="24"/>
      <w:lang w:eastAsia="en-US"/>
    </w:rPr>
  </w:style>
  <w:style w:type="paragraph" w:customStyle="1" w:styleId="haffiliations">
    <w:name w:val="haffiliations"/>
    <w:basedOn w:val="a"/>
    <w:rsid w:val="00590051"/>
    <w:pPr>
      <w:spacing w:before="120"/>
    </w:pPr>
    <w:rPr>
      <w:sz w:val="21"/>
      <w:szCs w:val="20"/>
    </w:rPr>
  </w:style>
  <w:style w:type="paragraph" w:customStyle="1" w:styleId="Paragraph">
    <w:name w:val="Paragraph"/>
    <w:basedOn w:val="a"/>
    <w:rsid w:val="00590051"/>
    <w:pPr>
      <w:spacing w:before="120"/>
      <w:ind w:firstLine="720"/>
    </w:pPr>
    <w:rPr>
      <w:rFonts w:eastAsia="Times New Roman"/>
    </w:rPr>
  </w:style>
  <w:style w:type="paragraph" w:styleId="a8">
    <w:name w:val="Balloon Text"/>
    <w:basedOn w:val="a"/>
    <w:link w:val="Char3"/>
    <w:uiPriority w:val="99"/>
    <w:semiHidden/>
    <w:unhideWhenUsed/>
    <w:rsid w:val="00590051"/>
    <w:rPr>
      <w:sz w:val="18"/>
      <w:szCs w:val="18"/>
    </w:rPr>
  </w:style>
  <w:style w:type="character" w:customStyle="1" w:styleId="Char3">
    <w:name w:val="批注框文本 Char"/>
    <w:basedOn w:val="a0"/>
    <w:link w:val="a8"/>
    <w:uiPriority w:val="99"/>
    <w:semiHidden/>
    <w:rsid w:val="00590051"/>
    <w:rPr>
      <w:rFonts w:ascii="Times New Roman" w:eastAsia="宋体" w:hAnsi="Times New Roman" w:cs="Times New Roman"/>
      <w:kern w:val="0"/>
      <w:sz w:val="18"/>
      <w:szCs w:val="18"/>
      <w:lang w:eastAsia="en-US"/>
    </w:rPr>
  </w:style>
  <w:style w:type="paragraph" w:styleId="a9">
    <w:name w:val="annotation subject"/>
    <w:basedOn w:val="a4"/>
    <w:next w:val="a4"/>
    <w:link w:val="Char4"/>
    <w:uiPriority w:val="99"/>
    <w:semiHidden/>
    <w:unhideWhenUsed/>
    <w:rsid w:val="00F84DCC"/>
    <w:rPr>
      <w:b/>
      <w:bCs/>
    </w:rPr>
  </w:style>
  <w:style w:type="character" w:customStyle="1" w:styleId="Char4">
    <w:name w:val="批注主题 Char"/>
    <w:basedOn w:val="Char"/>
    <w:link w:val="a9"/>
    <w:uiPriority w:val="99"/>
    <w:semiHidden/>
    <w:rsid w:val="00F84DCC"/>
    <w:rPr>
      <w:rFonts w:ascii="Times New Roman" w:eastAsia="宋体" w:hAnsi="Times New Roman" w:cs="Times New Roman"/>
      <w:b/>
      <w:bCs/>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424497">
      <w:bodyDiv w:val="1"/>
      <w:marLeft w:val="0"/>
      <w:marRight w:val="0"/>
      <w:marTop w:val="0"/>
      <w:marBottom w:val="0"/>
      <w:divBdr>
        <w:top w:val="none" w:sz="0" w:space="0" w:color="auto"/>
        <w:left w:val="none" w:sz="0" w:space="0" w:color="auto"/>
        <w:bottom w:val="none" w:sz="0" w:space="0" w:color="auto"/>
        <w:right w:val="none" w:sz="0" w:space="0" w:color="auto"/>
      </w:divBdr>
    </w:div>
    <w:div w:id="136027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958</Words>
  <Characters>5464</Characters>
  <Application>Microsoft Office Word</Application>
  <DocSecurity>0</DocSecurity>
  <Lines>45</Lines>
  <Paragraphs>12</Paragraphs>
  <ScaleCrop>false</ScaleCrop>
  <Company>HP</Company>
  <LinksUpToDate>false</LinksUpToDate>
  <CharactersWithSpaces>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6</cp:revision>
  <dcterms:created xsi:type="dcterms:W3CDTF">2020-06-11T01:31:00Z</dcterms:created>
  <dcterms:modified xsi:type="dcterms:W3CDTF">2020-06-15T01:27:00Z</dcterms:modified>
</cp:coreProperties>
</file>