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2B865" w14:textId="20971C76" w:rsidR="008F379F" w:rsidRPr="005478F9" w:rsidRDefault="008F379F" w:rsidP="008F379F">
      <w:pPr>
        <w:pStyle w:val="8-Title-ENG"/>
        <w:rPr>
          <w:b w:val="0"/>
          <w:bCs w:val="0"/>
          <w:sz w:val="22"/>
          <w:szCs w:val="22"/>
        </w:rPr>
      </w:pPr>
      <w:r>
        <w:rPr>
          <w:rFonts w:eastAsiaTheme="minorEastAsia"/>
          <w:b w:val="0"/>
          <w:bCs w:val="0"/>
          <w:sz w:val="22"/>
          <w:szCs w:val="22"/>
        </w:rPr>
        <w:t>Supplementary data for</w:t>
      </w:r>
    </w:p>
    <w:p w14:paraId="2828DE6C" w14:textId="77777777" w:rsidR="008F379F" w:rsidRDefault="008F379F" w:rsidP="008F379F">
      <w:pPr>
        <w:pStyle w:val="8-Title-ENG"/>
      </w:pPr>
      <w:r>
        <w:t>MOF-5@Ni Derived ZnO@Ni</w:t>
      </w:r>
      <w:r>
        <w:rPr>
          <w:vertAlign w:val="subscript"/>
        </w:rPr>
        <w:t>3</w:t>
      </w:r>
      <w:r>
        <w:t>ZnC</w:t>
      </w:r>
      <w:r>
        <w:rPr>
          <w:vertAlign w:val="subscript"/>
        </w:rPr>
        <w:t>0.7</w:t>
      </w:r>
      <w:r>
        <w:t>/PMS System for Organic Matter Removal: A Thorough Understanding of the Adsorption−Degradation Process</w:t>
      </w:r>
    </w:p>
    <w:p w14:paraId="42E9A615" w14:textId="77777777" w:rsidR="008F379F" w:rsidRDefault="008F379F" w:rsidP="008F379F">
      <w:pPr>
        <w:pStyle w:val="6-Author-ENG"/>
      </w:pPr>
      <w:proofErr w:type="spellStart"/>
      <w:r>
        <w:t>Youwen</w:t>
      </w:r>
      <w:proofErr w:type="spellEnd"/>
      <w:r>
        <w:t xml:space="preserve"> </w:t>
      </w:r>
      <w:proofErr w:type="spellStart"/>
      <w:r>
        <w:t>Shuai</w:t>
      </w:r>
      <w:r>
        <w:rPr>
          <w:vertAlign w:val="superscript"/>
        </w:rPr>
        <w:t>a</w:t>
      </w:r>
      <w:proofErr w:type="spellEnd"/>
      <w:r>
        <w:t xml:space="preserve">, </w:t>
      </w:r>
      <w:proofErr w:type="spellStart"/>
      <w:r>
        <w:t>Xue</w:t>
      </w:r>
      <w:proofErr w:type="spellEnd"/>
      <w:r>
        <w:t xml:space="preserve"> </w:t>
      </w:r>
      <w:proofErr w:type="spellStart"/>
      <w:r>
        <w:t>Huang</w:t>
      </w:r>
      <w:r>
        <w:rPr>
          <w:vertAlign w:val="superscript"/>
        </w:rPr>
        <w:t>a</w:t>
      </w:r>
      <w:proofErr w:type="spellEnd"/>
      <w:r>
        <w:t xml:space="preserve">, </w:t>
      </w:r>
      <w:proofErr w:type="spellStart"/>
      <w:r>
        <w:t>Benyin</w:t>
      </w:r>
      <w:proofErr w:type="spellEnd"/>
      <w:r>
        <w:t xml:space="preserve"> </w:t>
      </w:r>
      <w:proofErr w:type="spellStart"/>
      <w:r>
        <w:t>Zhang</w:t>
      </w:r>
      <w:r>
        <w:rPr>
          <w:vertAlign w:val="superscript"/>
        </w:rPr>
        <w:t>a</w:t>
      </w:r>
      <w:proofErr w:type="spellEnd"/>
      <w:r>
        <w:t xml:space="preserve">, Lu </w:t>
      </w:r>
      <w:proofErr w:type="spellStart"/>
      <w:r>
        <w:t>Xiang</w:t>
      </w:r>
      <w:r>
        <w:rPr>
          <w:vertAlign w:val="superscript"/>
        </w:rPr>
        <w:t>a</w:t>
      </w:r>
      <w:proofErr w:type="spellEnd"/>
      <w:r>
        <w:t xml:space="preserve">, Hao </w:t>
      </w:r>
      <w:proofErr w:type="spellStart"/>
      <w:r>
        <w:t>Xu</w:t>
      </w:r>
      <w:r>
        <w:rPr>
          <w:vertAlign w:val="superscript"/>
        </w:rPr>
        <w:t>a</w:t>
      </w:r>
      <w:proofErr w:type="spellEnd"/>
      <w:r>
        <w:t>, Qian Ye</w:t>
      </w:r>
      <w:r>
        <w:rPr>
          <w:vertAlign w:val="superscript"/>
        </w:rPr>
        <w:t>a</w:t>
      </w:r>
      <w:r>
        <w:t xml:space="preserve">, Jinfeng </w:t>
      </w:r>
      <w:proofErr w:type="spellStart"/>
      <w:proofErr w:type="gramStart"/>
      <w:r>
        <w:t>Lu</w:t>
      </w:r>
      <w:r>
        <w:rPr>
          <w:vertAlign w:val="superscript"/>
        </w:rPr>
        <w:t>b</w:t>
      </w:r>
      <w:proofErr w:type="spellEnd"/>
      <w:r>
        <w:rPr>
          <w:vertAlign w:val="superscript"/>
        </w:rPr>
        <w:t>,*</w:t>
      </w:r>
      <w:proofErr w:type="gramEnd"/>
      <w:r>
        <w:t xml:space="preserve">, Jing </w:t>
      </w:r>
      <w:proofErr w:type="spellStart"/>
      <w:r>
        <w:t>Zhang</w:t>
      </w:r>
      <w:r>
        <w:rPr>
          <w:vertAlign w:val="superscript"/>
        </w:rPr>
        <w:t>a</w:t>
      </w:r>
      <w:proofErr w:type="spellEnd"/>
      <w:r>
        <w:rPr>
          <w:vertAlign w:val="superscript"/>
        </w:rPr>
        <w:t>,*</w:t>
      </w:r>
    </w:p>
    <w:p w14:paraId="18954D19" w14:textId="77777777" w:rsidR="008F379F" w:rsidRDefault="008F379F" w:rsidP="008F379F">
      <w:pPr>
        <w:pStyle w:val="7-Affili-ENG"/>
      </w:pPr>
      <w:r w:rsidRPr="004F3763">
        <w:rPr>
          <w:i w:val="0"/>
          <w:iCs/>
          <w:vertAlign w:val="superscript"/>
        </w:rPr>
        <w:t>a</w:t>
      </w:r>
      <w:r>
        <w:t xml:space="preserve"> College of Architecture and Environment, Sichuan University, Chengdu 610065, China</w:t>
      </w:r>
    </w:p>
    <w:p w14:paraId="32BB66EA" w14:textId="77777777" w:rsidR="008F379F" w:rsidRDefault="008F379F" w:rsidP="008F379F">
      <w:pPr>
        <w:pStyle w:val="7-Affili-ENG"/>
      </w:pPr>
      <w:r w:rsidRPr="004F3763">
        <w:rPr>
          <w:i w:val="0"/>
          <w:iCs/>
          <w:vertAlign w:val="superscript"/>
        </w:rPr>
        <w:t>b</w:t>
      </w:r>
      <w:r>
        <w:t xml:space="preserve"> College of Environmental Science and Engineering, Nankai University, Tianjin 300071, China</w:t>
      </w:r>
    </w:p>
    <w:p w14:paraId="5A67E6A3" w14:textId="77777777" w:rsidR="008F379F" w:rsidRDefault="008F379F" w:rsidP="008F379F">
      <w:pPr>
        <w:pStyle w:val="7-Affili-ENG"/>
      </w:pPr>
    </w:p>
    <w:p w14:paraId="5F07EDEE" w14:textId="77777777" w:rsidR="008F379F" w:rsidRDefault="008F379F" w:rsidP="008F379F">
      <w:pPr>
        <w:pStyle w:val="6-Corre-ENG"/>
      </w:pPr>
      <w:r>
        <w:rPr>
          <w:vertAlign w:val="superscript"/>
        </w:rPr>
        <w:t>*</w:t>
      </w:r>
      <w:r>
        <w:t xml:space="preserve">Corresponding author. </w:t>
      </w:r>
    </w:p>
    <w:p w14:paraId="4E3FA0D2" w14:textId="77777777" w:rsidR="008F379F" w:rsidRDefault="008F379F" w:rsidP="008F379F">
      <w:pPr>
        <w:pStyle w:val="6-Corre-ENG"/>
      </w:pPr>
      <w:r>
        <w:t xml:space="preserve">Email </w:t>
      </w:r>
      <w:r>
        <w:rPr>
          <w:rFonts w:hint="eastAsia"/>
        </w:rPr>
        <w:t>address</w:t>
      </w:r>
      <w:r>
        <w:t xml:space="preserve">es: </w:t>
      </w:r>
      <w:hyperlink r:id="rId8" w:history="1">
        <w:r w:rsidRPr="001E56FC">
          <w:rPr>
            <w:rStyle w:val="af0"/>
          </w:rPr>
          <w:t>zjing428@163.com</w:t>
        </w:r>
      </w:hyperlink>
      <w:r>
        <w:t xml:space="preserve"> (J. Zhang), </w:t>
      </w:r>
      <w:r w:rsidRPr="00502241">
        <w:t>lujinfeng@nankai.edu.cn</w:t>
      </w:r>
      <w:r w:rsidRPr="00502241">
        <w:rPr>
          <w:rStyle w:val="af0"/>
        </w:rPr>
        <w:t xml:space="preserve"> (J. Lu)</w:t>
      </w:r>
    </w:p>
    <w:p w14:paraId="7A097E90" w14:textId="77777777" w:rsidR="008F379F" w:rsidRDefault="008F379F" w:rsidP="008F379F">
      <w:pPr>
        <w:pStyle w:val="6-Corre-ENG"/>
      </w:pPr>
    </w:p>
    <w:p w14:paraId="0D7DE03B" w14:textId="03473539" w:rsidR="00ED7DEE" w:rsidRPr="0026720E" w:rsidRDefault="002A1469" w:rsidP="00ED7DEE">
      <w:pPr>
        <w:jc w:val="center"/>
        <w:rPr>
          <w:rFonts w:ascii="Calibri" w:eastAsia="宋体" w:hAnsi="Calibri" w:cs="Times New Roman"/>
          <w:color w:val="000000" w:themeColor="text1"/>
        </w:rPr>
      </w:pPr>
      <w:r w:rsidRPr="0026720E">
        <w:rPr>
          <w:rFonts w:ascii="Calibri" w:eastAsia="宋体" w:hAnsi="Calibri" w:cs="Times New Roman"/>
          <w:noProof/>
          <w:color w:val="000000" w:themeColor="text1"/>
        </w:rPr>
        <w:drawing>
          <wp:inline distT="0" distB="0" distL="0" distR="0" wp14:anchorId="5DD17969" wp14:editId="35E821F1">
            <wp:extent cx="4418839" cy="3070904"/>
            <wp:effectExtent l="0" t="0" r="127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214D.tmp"/>
                    <pic:cNvPicPr/>
                  </pic:nvPicPr>
                  <pic:blipFill>
                    <a:blip r:embed="rId9">
                      <a:extLst>
                        <a:ext uri="{28A0092B-C50C-407E-A947-70E740481C1C}">
                          <a14:useLocalDpi xmlns:a14="http://schemas.microsoft.com/office/drawing/2010/main" val="0"/>
                        </a:ext>
                      </a:extLst>
                    </a:blip>
                    <a:stretch>
                      <a:fillRect/>
                    </a:stretch>
                  </pic:blipFill>
                  <pic:spPr>
                    <a:xfrm>
                      <a:off x="0" y="0"/>
                      <a:ext cx="4424635" cy="3074932"/>
                    </a:xfrm>
                    <a:prstGeom prst="rect">
                      <a:avLst/>
                    </a:prstGeom>
                  </pic:spPr>
                </pic:pic>
              </a:graphicData>
            </a:graphic>
          </wp:inline>
        </w:drawing>
      </w:r>
    </w:p>
    <w:p w14:paraId="310FFC98" w14:textId="0219EFFE" w:rsidR="00ED7DEE" w:rsidRDefault="008A35B8" w:rsidP="001C16B4">
      <w:pPr>
        <w:pStyle w:val="4-Fig-ENG"/>
      </w:pPr>
      <w:bookmarkStart w:id="0" w:name="OLE_LINK321"/>
      <w:bookmarkStart w:id="1" w:name="OLE_LINK322"/>
      <w:bookmarkStart w:id="2" w:name="_Hlk53249285"/>
      <w:r w:rsidRPr="0026720E">
        <w:rPr>
          <w:b/>
          <w:bCs/>
        </w:rPr>
        <w:t>Fig.</w:t>
      </w:r>
      <w:r w:rsidR="001B7A45" w:rsidRPr="0026720E">
        <w:rPr>
          <w:b/>
          <w:bCs/>
        </w:rPr>
        <w:t xml:space="preserve"> </w:t>
      </w:r>
      <w:r w:rsidR="008F379F">
        <w:rPr>
          <w:b/>
          <w:bCs/>
        </w:rPr>
        <w:t>S</w:t>
      </w:r>
      <w:r w:rsidR="00AD1AE3" w:rsidRPr="0026720E">
        <w:rPr>
          <w:b/>
          <w:bCs/>
        </w:rPr>
        <w:t>1</w:t>
      </w:r>
      <w:r w:rsidR="001B7A45" w:rsidRPr="0026720E">
        <w:rPr>
          <w:b/>
          <w:bCs/>
        </w:rPr>
        <w:t>.</w:t>
      </w:r>
      <w:r w:rsidR="00ED7DEE" w:rsidRPr="0026720E">
        <w:t xml:space="preserve"> </w:t>
      </w:r>
      <w:bookmarkEnd w:id="0"/>
      <w:bookmarkEnd w:id="1"/>
      <w:r w:rsidR="00E615BC" w:rsidRPr="0026720E">
        <w:t xml:space="preserve">Removal efficiency of </w:t>
      </w:r>
      <w:proofErr w:type="spellStart"/>
      <w:r w:rsidR="00E615BC" w:rsidRPr="0026720E">
        <w:t>RhB</w:t>
      </w:r>
      <w:proofErr w:type="spellEnd"/>
      <w:r w:rsidR="00E615BC" w:rsidRPr="0026720E">
        <w:t xml:space="preserve"> under different conditions</w:t>
      </w:r>
      <w:r w:rsidR="00ED7DEE" w:rsidRPr="0026720E">
        <w:t>.</w:t>
      </w:r>
      <w:bookmarkEnd w:id="2"/>
      <w:r w:rsidR="00ED7DEE" w:rsidRPr="0026720E">
        <w:t xml:space="preserve"> Reaction condition: [ZN-</w:t>
      </w:r>
      <w:r w:rsidR="00E92D86" w:rsidRPr="0026720E">
        <w:t>CS] =</w:t>
      </w:r>
      <w:r w:rsidR="00ED7DEE" w:rsidRPr="0026720E">
        <w:t xml:space="preserve"> 100</w:t>
      </w:r>
      <w:r w:rsidR="002A1469" w:rsidRPr="0026720E">
        <w:rPr>
          <w:rFonts w:hint="eastAsia"/>
        </w:rPr>
        <w:t xml:space="preserve"> </w:t>
      </w:r>
      <w:r w:rsidR="00ED7DEE" w:rsidRPr="0026720E">
        <w:t>m g/L, [Zn(Ⅱ</w:t>
      </w:r>
      <w:r w:rsidR="00E92D86" w:rsidRPr="0026720E">
        <w:t>)] =</w:t>
      </w:r>
      <w:r w:rsidR="00ED7DEE" w:rsidRPr="0026720E">
        <w:t xml:space="preserve"> 15.85</w:t>
      </w:r>
      <w:r w:rsidR="002A1469" w:rsidRPr="0026720E">
        <w:rPr>
          <w:rFonts w:hint="eastAsia"/>
        </w:rPr>
        <w:t xml:space="preserve"> </w:t>
      </w:r>
      <w:r w:rsidR="00ED7DEE" w:rsidRPr="0026720E">
        <w:t>m g/L, [Ni(Ⅱ</w:t>
      </w:r>
      <w:r w:rsidR="00E92D86" w:rsidRPr="0026720E">
        <w:t>)] =</w:t>
      </w:r>
      <w:r w:rsidR="00ED7DEE" w:rsidRPr="0026720E">
        <w:t xml:space="preserve"> 6.28</w:t>
      </w:r>
      <w:r w:rsidR="002A1469" w:rsidRPr="0026720E">
        <w:rPr>
          <w:rFonts w:hint="eastAsia"/>
        </w:rPr>
        <w:t xml:space="preserve"> </w:t>
      </w:r>
      <w:r w:rsidR="00ED7DEE" w:rsidRPr="0026720E">
        <w:t>m g/L, [PMS] = 200</w:t>
      </w:r>
      <w:r w:rsidR="002A1469" w:rsidRPr="0026720E">
        <w:rPr>
          <w:rFonts w:hint="eastAsia"/>
        </w:rPr>
        <w:t xml:space="preserve"> </w:t>
      </w:r>
      <w:r w:rsidR="00ED7DEE" w:rsidRPr="0026720E">
        <w:t>mg/L, [</w:t>
      </w:r>
      <w:proofErr w:type="spellStart"/>
      <w:r w:rsidR="00ED7DEE" w:rsidRPr="0026720E">
        <w:t>RhB</w:t>
      </w:r>
      <w:proofErr w:type="spellEnd"/>
      <w:r w:rsidR="00ED7DEE" w:rsidRPr="0026720E">
        <w:t>] = 7.6 mg/L.</w:t>
      </w:r>
    </w:p>
    <w:p w14:paraId="38188584" w14:textId="77777777" w:rsidR="00A516BA" w:rsidRPr="0026720E" w:rsidRDefault="00A516BA" w:rsidP="001C16B4">
      <w:pPr>
        <w:pStyle w:val="4-Fig-ENG"/>
      </w:pPr>
    </w:p>
    <w:p w14:paraId="41BFF111" w14:textId="77777777" w:rsidR="00A516BA" w:rsidRPr="0026720E" w:rsidRDefault="00A516BA" w:rsidP="00A516BA">
      <w:pPr>
        <w:jc w:val="center"/>
        <w:rPr>
          <w:rFonts w:cs="Times New Roman"/>
          <w:color w:val="000000" w:themeColor="text1"/>
        </w:rPr>
      </w:pPr>
      <w:r w:rsidRPr="0026720E">
        <w:rPr>
          <w:rFonts w:cs="Times New Roman"/>
          <w:noProof/>
          <w:color w:val="000000" w:themeColor="text1"/>
        </w:rPr>
        <w:drawing>
          <wp:inline distT="0" distB="0" distL="0" distR="0" wp14:anchorId="5AF22311" wp14:editId="16381F6A">
            <wp:extent cx="3826934" cy="2780047"/>
            <wp:effectExtent l="0" t="0" r="0" b="12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6247"/>
                    <a:stretch/>
                  </pic:blipFill>
                  <pic:spPr bwMode="auto">
                    <a:xfrm>
                      <a:off x="0" y="0"/>
                      <a:ext cx="3848335" cy="2795594"/>
                    </a:xfrm>
                    <a:prstGeom prst="rect">
                      <a:avLst/>
                    </a:prstGeom>
                    <a:ln>
                      <a:noFill/>
                    </a:ln>
                    <a:extLst>
                      <a:ext uri="{53640926-AAD7-44D8-BBD7-CCE9431645EC}">
                        <a14:shadowObscured xmlns:a14="http://schemas.microsoft.com/office/drawing/2010/main"/>
                      </a:ext>
                    </a:extLst>
                  </pic:spPr>
                </pic:pic>
              </a:graphicData>
            </a:graphic>
          </wp:inline>
        </w:drawing>
      </w:r>
    </w:p>
    <w:p w14:paraId="7B8FE932" w14:textId="77777777" w:rsidR="00A516BA" w:rsidRPr="0026720E" w:rsidRDefault="00A516BA" w:rsidP="00A516BA">
      <w:pPr>
        <w:pStyle w:val="4-Fig-ENG"/>
        <w:rPr>
          <w:color w:val="000000" w:themeColor="text1"/>
        </w:rPr>
      </w:pPr>
      <w:r w:rsidRPr="0026720E">
        <w:rPr>
          <w:b/>
          <w:bCs/>
        </w:rPr>
        <w:t xml:space="preserve">Fig. </w:t>
      </w:r>
      <w:r>
        <w:rPr>
          <w:b/>
          <w:bCs/>
        </w:rPr>
        <w:t>S2</w:t>
      </w:r>
      <w:r w:rsidRPr="0026720E">
        <w:rPr>
          <w:b/>
          <w:bCs/>
        </w:rPr>
        <w:t xml:space="preserve">. </w:t>
      </w:r>
      <w:r w:rsidRPr="0026720E">
        <w:t>The pH change of the solution during the removal process. Reaction conditions: catalyst dose</w:t>
      </w:r>
      <w:r w:rsidRPr="0026720E">
        <w:rPr>
          <w:rFonts w:hint="eastAsia"/>
        </w:rPr>
        <w:t xml:space="preserve"> </w:t>
      </w:r>
      <w:r w:rsidRPr="0026720E">
        <w:t>= 100 mg/L,</w:t>
      </w:r>
      <w:r w:rsidRPr="0026720E">
        <w:rPr>
          <w:rFonts w:hint="eastAsia"/>
        </w:rPr>
        <w:t xml:space="preserve"> </w:t>
      </w:r>
      <w:r w:rsidRPr="0026720E">
        <w:t>PMS dose = 200</w:t>
      </w:r>
      <w:r w:rsidRPr="0026720E">
        <w:rPr>
          <w:rFonts w:hint="eastAsia"/>
        </w:rPr>
        <w:t xml:space="preserve"> m</w:t>
      </w:r>
      <w:r w:rsidRPr="0026720E">
        <w:t xml:space="preserve">g/L, initial </w:t>
      </w:r>
      <w:proofErr w:type="spellStart"/>
      <w:r w:rsidRPr="0026720E">
        <w:t>RhB</w:t>
      </w:r>
      <w:proofErr w:type="spellEnd"/>
      <w:r w:rsidRPr="0026720E">
        <w:t xml:space="preserve"> concentration = 7.6 mg/L. </w:t>
      </w:r>
    </w:p>
    <w:p w14:paraId="11D41EEB" w14:textId="11C6ADA1" w:rsidR="00ED7DEE" w:rsidRPr="00A516BA" w:rsidRDefault="00ED7DEE" w:rsidP="00D3381F">
      <w:pPr>
        <w:rPr>
          <w:rFonts w:eastAsia="等线"/>
          <w:color w:val="000000" w:themeColor="text1"/>
        </w:rPr>
      </w:pPr>
    </w:p>
    <w:p w14:paraId="07E9206A" w14:textId="77777777" w:rsidR="00576A09" w:rsidRPr="0026720E" w:rsidRDefault="00576A09" w:rsidP="00576A09">
      <w:pPr>
        <w:jc w:val="center"/>
        <w:rPr>
          <w:rFonts w:cs="Times New Roman"/>
          <w:color w:val="000000" w:themeColor="text1"/>
        </w:rPr>
      </w:pPr>
      <w:r w:rsidRPr="0026720E">
        <w:rPr>
          <w:rFonts w:cs="Times New Roman"/>
          <w:noProof/>
          <w:color w:val="000000" w:themeColor="text1"/>
        </w:rPr>
        <w:lastRenderedPageBreak/>
        <w:drawing>
          <wp:inline distT="0" distB="0" distL="0" distR="0" wp14:anchorId="670922F2" wp14:editId="648E9D71">
            <wp:extent cx="4335332" cy="3174658"/>
            <wp:effectExtent l="0" t="0" r="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50228" cy="3185566"/>
                    </a:xfrm>
                    <a:prstGeom prst="rect">
                      <a:avLst/>
                    </a:prstGeom>
                  </pic:spPr>
                </pic:pic>
              </a:graphicData>
            </a:graphic>
          </wp:inline>
        </w:drawing>
      </w:r>
    </w:p>
    <w:p w14:paraId="32173CC2" w14:textId="3E1E5935" w:rsidR="00576A09" w:rsidRPr="0026720E" w:rsidRDefault="00576A09" w:rsidP="001C16B4">
      <w:pPr>
        <w:pStyle w:val="4-Fig-ENG"/>
        <w:rPr>
          <w:rFonts w:ascii="宋体" w:hAnsi="宋体"/>
        </w:rPr>
      </w:pPr>
      <w:r w:rsidRPr="0026720E">
        <w:rPr>
          <w:b/>
          <w:bCs/>
        </w:rPr>
        <w:t xml:space="preserve">Fig. </w:t>
      </w:r>
      <w:r w:rsidR="008F379F">
        <w:rPr>
          <w:b/>
          <w:bCs/>
        </w:rPr>
        <w:t>S</w:t>
      </w:r>
      <w:r w:rsidR="00A516BA">
        <w:rPr>
          <w:b/>
          <w:bCs/>
        </w:rPr>
        <w:t>3</w:t>
      </w:r>
      <w:r w:rsidRPr="0026720E">
        <w:rPr>
          <w:b/>
          <w:bCs/>
        </w:rPr>
        <w:t>.</w:t>
      </w:r>
      <w:r w:rsidRPr="0026720E">
        <w:rPr>
          <w:rFonts w:hint="eastAsia"/>
          <w:b/>
          <w:bCs/>
        </w:rPr>
        <w:t xml:space="preserve"> </w:t>
      </w:r>
      <w:r w:rsidRPr="0026720E">
        <w:t>Adsorption and degradation efficiency on different catalyst. Reaction conditions: catalyst dose</w:t>
      </w:r>
      <w:r w:rsidRPr="0026720E">
        <w:rPr>
          <w:rFonts w:hint="eastAsia"/>
        </w:rPr>
        <w:t xml:space="preserve"> </w:t>
      </w:r>
      <w:r w:rsidRPr="0026720E">
        <w:t>= 100 mg/L,</w:t>
      </w:r>
      <w:r w:rsidRPr="0026720E">
        <w:rPr>
          <w:rFonts w:hint="eastAsia"/>
        </w:rPr>
        <w:t xml:space="preserve"> </w:t>
      </w:r>
      <w:r w:rsidRPr="0026720E">
        <w:t>PMS dose = 200</w:t>
      </w:r>
      <w:r w:rsidRPr="0026720E">
        <w:rPr>
          <w:rFonts w:hint="eastAsia"/>
        </w:rPr>
        <w:t xml:space="preserve"> m</w:t>
      </w:r>
      <w:r w:rsidRPr="0026720E">
        <w:t xml:space="preserve">g/L, initial </w:t>
      </w:r>
      <w:proofErr w:type="spellStart"/>
      <w:r w:rsidRPr="0026720E">
        <w:t>RhB</w:t>
      </w:r>
      <w:proofErr w:type="spellEnd"/>
      <w:r w:rsidRPr="0026720E">
        <w:t xml:space="preserve"> concentration = 7.6 mg/L, room temperature</w:t>
      </w:r>
      <w:r w:rsidRPr="0026720E">
        <w:rPr>
          <w:rFonts w:hint="eastAsia"/>
        </w:rPr>
        <w:t>,</w:t>
      </w:r>
      <w:r w:rsidRPr="0026720E">
        <w:t xml:space="preserve"> pH</w:t>
      </w:r>
      <w:r w:rsidRPr="0026720E">
        <w:rPr>
          <w:rFonts w:hint="eastAsia"/>
        </w:rPr>
        <w:t xml:space="preserve"> </w:t>
      </w:r>
      <w:r w:rsidRPr="0026720E">
        <w:t>=</w:t>
      </w:r>
      <w:r w:rsidRPr="0026720E">
        <w:rPr>
          <w:rFonts w:hint="eastAsia"/>
        </w:rPr>
        <w:t xml:space="preserve"> </w:t>
      </w:r>
      <w:r w:rsidRPr="0026720E">
        <w:t>pH</w:t>
      </w:r>
      <w:r w:rsidRPr="0026720E">
        <w:rPr>
          <w:vertAlign w:val="subscript"/>
        </w:rPr>
        <w:t>0</w:t>
      </w:r>
      <w:r w:rsidRPr="0026720E">
        <w:t>.</w:t>
      </w:r>
    </w:p>
    <w:p w14:paraId="5165184A" w14:textId="77777777" w:rsidR="00DD251B" w:rsidRPr="0026720E" w:rsidRDefault="00DD251B" w:rsidP="005916E3">
      <w:pPr>
        <w:rPr>
          <w:rFonts w:ascii="宋体" w:hAnsi="宋体"/>
          <w:color w:val="000000" w:themeColor="text1"/>
        </w:rPr>
      </w:pPr>
    </w:p>
    <w:p w14:paraId="7F07C698" w14:textId="040D7176" w:rsidR="00467798" w:rsidRPr="0026720E" w:rsidRDefault="002A1469" w:rsidP="00467798">
      <w:pPr>
        <w:pStyle w:val="ab"/>
        <w:rPr>
          <w:rFonts w:eastAsia="等线 Light"/>
          <w:color w:val="000000" w:themeColor="text1"/>
        </w:rPr>
      </w:pPr>
      <w:r w:rsidRPr="0026720E">
        <w:rPr>
          <w:rFonts w:eastAsia="等线 Light"/>
          <w:noProof/>
          <w:color w:val="000000" w:themeColor="text1"/>
        </w:rPr>
        <w:drawing>
          <wp:inline distT="0" distB="0" distL="0" distR="0" wp14:anchorId="42CA9E2B" wp14:editId="6169428F">
            <wp:extent cx="4078626" cy="2912337"/>
            <wp:effectExtent l="0" t="0" r="0" b="25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FE95.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7197" cy="2911316"/>
                    </a:xfrm>
                    <a:prstGeom prst="rect">
                      <a:avLst/>
                    </a:prstGeom>
                  </pic:spPr>
                </pic:pic>
              </a:graphicData>
            </a:graphic>
          </wp:inline>
        </w:drawing>
      </w:r>
    </w:p>
    <w:p w14:paraId="54BFEE2D" w14:textId="79F89685" w:rsidR="004A1A3B" w:rsidRDefault="008A35B8" w:rsidP="001C16B4">
      <w:pPr>
        <w:pStyle w:val="4-Fig-ENG"/>
      </w:pPr>
      <w:r w:rsidRPr="0026720E">
        <w:rPr>
          <w:b/>
          <w:bCs/>
        </w:rPr>
        <w:t>Fig.</w:t>
      </w:r>
      <w:r w:rsidR="001B7A45" w:rsidRPr="0026720E">
        <w:rPr>
          <w:b/>
          <w:bCs/>
        </w:rPr>
        <w:t xml:space="preserve"> </w:t>
      </w:r>
      <w:r w:rsidR="008F379F">
        <w:rPr>
          <w:b/>
          <w:bCs/>
        </w:rPr>
        <w:t>S</w:t>
      </w:r>
      <w:bookmarkStart w:id="3" w:name="_Hlk53249317"/>
      <w:r w:rsidR="00A516BA">
        <w:rPr>
          <w:b/>
          <w:bCs/>
        </w:rPr>
        <w:t>4</w:t>
      </w:r>
      <w:r w:rsidR="001B7A45" w:rsidRPr="0026720E">
        <w:rPr>
          <w:b/>
          <w:bCs/>
          <w:noProof/>
        </w:rPr>
        <w:t>.</w:t>
      </w:r>
      <w:r w:rsidR="00467798" w:rsidRPr="0026720E">
        <w:t xml:space="preserve"> Utilization of PMS in degradation system.</w:t>
      </w:r>
      <w:bookmarkEnd w:id="3"/>
      <w:r w:rsidR="00467798" w:rsidRPr="0026720E">
        <w:t xml:space="preserve"> Reaction condition: [ZN-CS]</w:t>
      </w:r>
      <w:r w:rsidR="00D0611D" w:rsidRPr="0026720E">
        <w:rPr>
          <w:rFonts w:eastAsiaTheme="minorEastAsia" w:hint="eastAsia"/>
        </w:rPr>
        <w:t xml:space="preserve"> </w:t>
      </w:r>
      <w:r w:rsidR="00467798" w:rsidRPr="0026720E">
        <w:t>= 100mg/L, [</w:t>
      </w:r>
      <w:proofErr w:type="spellStart"/>
      <w:r w:rsidR="00467798" w:rsidRPr="0026720E">
        <w:t>RhB</w:t>
      </w:r>
      <w:proofErr w:type="spellEnd"/>
      <w:r w:rsidR="00467798" w:rsidRPr="0026720E">
        <w:t>] = 7.6 mg/L, [PMS]</w:t>
      </w:r>
      <w:r w:rsidR="00D0611D" w:rsidRPr="0026720E">
        <w:rPr>
          <w:rFonts w:eastAsiaTheme="minorEastAsia" w:hint="eastAsia"/>
        </w:rPr>
        <w:t xml:space="preserve"> </w:t>
      </w:r>
      <w:r w:rsidR="00467798" w:rsidRPr="0026720E">
        <w:t>= 200mg/L.</w:t>
      </w:r>
    </w:p>
    <w:p w14:paraId="0D06AB46" w14:textId="77777777" w:rsidR="00A516BA" w:rsidRPr="0026720E" w:rsidRDefault="00A516BA" w:rsidP="00A516BA">
      <w:pPr>
        <w:jc w:val="center"/>
        <w:rPr>
          <w:color w:val="000000" w:themeColor="text1"/>
        </w:rPr>
      </w:pPr>
      <w:r w:rsidRPr="0026720E">
        <w:rPr>
          <w:noProof/>
          <w:color w:val="000000" w:themeColor="text1"/>
        </w:rPr>
        <w:lastRenderedPageBreak/>
        <w:drawing>
          <wp:inline distT="0" distB="0" distL="0" distR="0" wp14:anchorId="1EC16E42" wp14:editId="7DAF9C82">
            <wp:extent cx="3834581" cy="2973387"/>
            <wp:effectExtent l="0" t="0" r="127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48920" cy="2984505"/>
                    </a:xfrm>
                    <a:prstGeom prst="rect">
                      <a:avLst/>
                    </a:prstGeom>
                  </pic:spPr>
                </pic:pic>
              </a:graphicData>
            </a:graphic>
          </wp:inline>
        </w:drawing>
      </w:r>
    </w:p>
    <w:p w14:paraId="53E54CD5" w14:textId="77777777" w:rsidR="00A516BA" w:rsidRDefault="00A516BA" w:rsidP="00A516BA">
      <w:pPr>
        <w:pStyle w:val="4-Fig-ENG"/>
      </w:pPr>
      <w:r w:rsidRPr="0026720E">
        <w:rPr>
          <w:b/>
          <w:bCs/>
        </w:rPr>
        <w:t xml:space="preserve">Fig. </w:t>
      </w:r>
      <w:r>
        <w:rPr>
          <w:b/>
          <w:bCs/>
        </w:rPr>
        <w:t>S5</w:t>
      </w:r>
      <w:r w:rsidRPr="0026720E">
        <w:rPr>
          <w:b/>
          <w:bCs/>
        </w:rPr>
        <w:t xml:space="preserve">. </w:t>
      </w:r>
      <w:r w:rsidRPr="0026720E">
        <w:t>C</w:t>
      </w:r>
      <w:r w:rsidRPr="0026720E">
        <w:rPr>
          <w:rFonts w:hint="eastAsia"/>
        </w:rPr>
        <w:t>om</w:t>
      </w:r>
      <w:r w:rsidRPr="0026720E">
        <w:t>parison between one-step process and two-step process to e</w:t>
      </w:r>
      <w:r w:rsidRPr="0026720E">
        <w:rPr>
          <w:rFonts w:hint="eastAsia"/>
        </w:rPr>
        <w:t>l</w:t>
      </w:r>
      <w:r w:rsidRPr="0026720E">
        <w:t xml:space="preserve">iminate </w:t>
      </w:r>
      <w:proofErr w:type="spellStart"/>
      <w:r w:rsidRPr="0026720E">
        <w:t>RhB</w:t>
      </w:r>
      <w:proofErr w:type="spellEnd"/>
      <w:r w:rsidRPr="0026720E">
        <w:t>. Reaction condition: [</w:t>
      </w:r>
      <w:proofErr w:type="spellStart"/>
      <w:r w:rsidRPr="0026720E">
        <w:t>RhB</w:t>
      </w:r>
      <w:proofErr w:type="spellEnd"/>
      <w:r w:rsidRPr="0026720E">
        <w:t>] = 7.6 mg/L, [ZN-CS]</w:t>
      </w:r>
      <w:r w:rsidRPr="0026720E">
        <w:rPr>
          <w:rFonts w:hint="eastAsia"/>
        </w:rPr>
        <w:t xml:space="preserve"> </w:t>
      </w:r>
      <w:r w:rsidRPr="0026720E">
        <w:t>=</w:t>
      </w:r>
      <w:r w:rsidRPr="0026720E">
        <w:rPr>
          <w:rFonts w:hint="eastAsia"/>
        </w:rPr>
        <w:t xml:space="preserve"> </w:t>
      </w:r>
      <w:r w:rsidRPr="0026720E">
        <w:t>100</w:t>
      </w:r>
      <w:r w:rsidRPr="0026720E">
        <w:rPr>
          <w:rFonts w:hint="eastAsia"/>
        </w:rPr>
        <w:t xml:space="preserve"> </w:t>
      </w:r>
      <w:r w:rsidRPr="0026720E">
        <w:t>mg/L, [PMS]</w:t>
      </w:r>
      <w:r w:rsidRPr="0026720E">
        <w:rPr>
          <w:rFonts w:hint="eastAsia"/>
        </w:rPr>
        <w:t xml:space="preserve"> </w:t>
      </w:r>
      <w:r w:rsidRPr="0026720E">
        <w:t>=</w:t>
      </w:r>
      <w:r w:rsidRPr="0026720E">
        <w:rPr>
          <w:rFonts w:hint="eastAsia"/>
        </w:rPr>
        <w:t xml:space="preserve"> </w:t>
      </w:r>
      <w:r w:rsidRPr="0026720E">
        <w:t>200</w:t>
      </w:r>
      <w:r w:rsidRPr="0026720E">
        <w:rPr>
          <w:rFonts w:hint="eastAsia"/>
        </w:rPr>
        <w:t xml:space="preserve"> </w:t>
      </w:r>
      <w:r w:rsidRPr="0026720E">
        <w:t>mg/L</w:t>
      </w:r>
      <w:r w:rsidRPr="0026720E">
        <w:rPr>
          <w:rFonts w:hint="eastAsia"/>
        </w:rPr>
        <w:t>.</w:t>
      </w:r>
    </w:p>
    <w:p w14:paraId="50B363C0" w14:textId="77777777" w:rsidR="00A516BA" w:rsidRPr="00A516BA" w:rsidRDefault="00A516BA" w:rsidP="001C16B4">
      <w:pPr>
        <w:pStyle w:val="4-Fig-ENG"/>
        <w:rPr>
          <w:rFonts w:eastAsiaTheme="minorEastAsia"/>
          <w:color w:val="000000" w:themeColor="text1"/>
        </w:rPr>
      </w:pPr>
    </w:p>
    <w:p w14:paraId="0BF99041" w14:textId="77777777" w:rsidR="004A1A3B" w:rsidRPr="0026720E" w:rsidRDefault="004A1A3B" w:rsidP="004A1A3B">
      <w:pPr>
        <w:rPr>
          <w:rFonts w:cs="Times New Roman"/>
          <w:color w:val="000000" w:themeColor="text1"/>
        </w:rPr>
      </w:pPr>
      <w:r w:rsidRPr="0026720E">
        <w:rPr>
          <w:noProof/>
          <w:color w:val="000000" w:themeColor="text1"/>
        </w:rPr>
        <w:drawing>
          <wp:inline distT="0" distB="0" distL="0" distR="0" wp14:anchorId="5FC623ED" wp14:editId="7FABCC8D">
            <wp:extent cx="6037943" cy="265924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28" t="3405"/>
                    <a:stretch/>
                  </pic:blipFill>
                  <pic:spPr bwMode="auto">
                    <a:xfrm>
                      <a:off x="0" y="0"/>
                      <a:ext cx="6059390" cy="2668695"/>
                    </a:xfrm>
                    <a:prstGeom prst="rect">
                      <a:avLst/>
                    </a:prstGeom>
                    <a:ln>
                      <a:noFill/>
                    </a:ln>
                    <a:extLst>
                      <a:ext uri="{53640926-AAD7-44D8-BBD7-CCE9431645EC}">
                        <a14:shadowObscured xmlns:a14="http://schemas.microsoft.com/office/drawing/2010/main"/>
                      </a:ext>
                    </a:extLst>
                  </pic:spPr>
                </pic:pic>
              </a:graphicData>
            </a:graphic>
          </wp:inline>
        </w:drawing>
      </w:r>
    </w:p>
    <w:p w14:paraId="02EE650E" w14:textId="0EA7777F" w:rsidR="00A516BA" w:rsidRDefault="004A1A3B" w:rsidP="00A516BA">
      <w:pPr>
        <w:pStyle w:val="4-Fig-ENG"/>
        <w:jc w:val="left"/>
        <w:rPr>
          <w:b/>
          <w:bCs/>
        </w:rPr>
      </w:pPr>
      <w:bookmarkStart w:id="4" w:name="OLE_LINK463"/>
      <w:bookmarkStart w:id="5" w:name="OLE_LINK464"/>
      <w:r w:rsidRPr="0026720E">
        <w:rPr>
          <w:b/>
          <w:bCs/>
        </w:rPr>
        <w:t xml:space="preserve">Fig. </w:t>
      </w:r>
      <w:r w:rsidR="008F379F">
        <w:rPr>
          <w:b/>
          <w:bCs/>
        </w:rPr>
        <w:t>S</w:t>
      </w:r>
      <w:r w:rsidR="00A516BA">
        <w:rPr>
          <w:b/>
          <w:bCs/>
        </w:rPr>
        <w:t>6</w:t>
      </w:r>
      <w:r w:rsidRPr="0026720E">
        <w:rPr>
          <w:b/>
          <w:bCs/>
        </w:rPr>
        <w:t xml:space="preserve">. </w:t>
      </w:r>
      <w:r w:rsidRPr="0026720E">
        <w:t xml:space="preserve">The scanning </w:t>
      </w:r>
      <w:r w:rsidRPr="0026720E">
        <w:rPr>
          <w:rFonts w:hint="eastAsia"/>
        </w:rPr>
        <w:t>area</w:t>
      </w:r>
      <w:r w:rsidRPr="0026720E">
        <w:t xml:space="preserve"> </w:t>
      </w:r>
      <w:r w:rsidRPr="0026720E">
        <w:rPr>
          <w:rFonts w:hint="eastAsia"/>
        </w:rPr>
        <w:t>of</w:t>
      </w:r>
      <w:r w:rsidRPr="0026720E">
        <w:t xml:space="preserve"> EDS </w:t>
      </w:r>
      <w:bookmarkStart w:id="6" w:name="OLE_LINK91"/>
      <w:bookmarkStart w:id="7" w:name="OLE_LINK92"/>
      <w:r w:rsidRPr="0026720E">
        <w:t>and elemental content peak of different area (a), (b) and (c).</w:t>
      </w:r>
      <w:bookmarkEnd w:id="6"/>
      <w:bookmarkEnd w:id="7"/>
      <w:r w:rsidRPr="0026720E">
        <w:rPr>
          <w:b/>
          <w:bCs/>
        </w:rPr>
        <w:t xml:space="preserve"> </w:t>
      </w:r>
      <w:bookmarkEnd w:id="4"/>
      <w:bookmarkEnd w:id="5"/>
    </w:p>
    <w:p w14:paraId="499FF976" w14:textId="77777777" w:rsidR="00A516BA" w:rsidRDefault="00A516BA" w:rsidP="00A516BA">
      <w:pPr>
        <w:pStyle w:val="4-Fig-ENG"/>
        <w:jc w:val="left"/>
        <w:rPr>
          <w:b/>
          <w:bCs/>
        </w:rPr>
      </w:pPr>
    </w:p>
    <w:p w14:paraId="4F67CA01" w14:textId="551432D1" w:rsidR="00ED7DEE" w:rsidRPr="0026720E" w:rsidRDefault="0088116D" w:rsidP="00A516BA">
      <w:pPr>
        <w:pStyle w:val="4-Fig-ENG"/>
        <w:jc w:val="left"/>
        <w:rPr>
          <w:rFonts w:ascii="Calibri" w:eastAsia="宋体" w:hAnsi="Calibri"/>
          <w:color w:val="000000" w:themeColor="text1"/>
        </w:rPr>
      </w:pPr>
      <w:r w:rsidRPr="0026720E">
        <w:rPr>
          <w:rFonts w:ascii="Calibri" w:eastAsia="宋体" w:hAnsi="Calibri"/>
          <w:noProof/>
          <w:color w:val="000000" w:themeColor="text1"/>
        </w:rPr>
        <w:drawing>
          <wp:inline distT="0" distB="0" distL="0" distR="0" wp14:anchorId="584D6E83" wp14:editId="76FE602D">
            <wp:extent cx="4175583" cy="2938674"/>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349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75918" cy="2938910"/>
                    </a:xfrm>
                    <a:prstGeom prst="rect">
                      <a:avLst/>
                    </a:prstGeom>
                  </pic:spPr>
                </pic:pic>
              </a:graphicData>
            </a:graphic>
          </wp:inline>
        </w:drawing>
      </w:r>
    </w:p>
    <w:p w14:paraId="5BBD6101" w14:textId="47F181DE" w:rsidR="00ED7DEE" w:rsidRPr="0026720E" w:rsidRDefault="008A35B8" w:rsidP="001C16B4">
      <w:pPr>
        <w:pStyle w:val="4-Fig-ENG"/>
      </w:pPr>
      <w:bookmarkStart w:id="8" w:name="_Hlk53249355"/>
      <w:r w:rsidRPr="0026720E">
        <w:rPr>
          <w:b/>
          <w:bCs/>
        </w:rPr>
        <w:t>Fig.</w:t>
      </w:r>
      <w:r w:rsidR="001B7A45" w:rsidRPr="0026720E">
        <w:rPr>
          <w:b/>
          <w:bCs/>
        </w:rPr>
        <w:t xml:space="preserve"> </w:t>
      </w:r>
      <w:r w:rsidR="008F379F">
        <w:rPr>
          <w:b/>
          <w:bCs/>
        </w:rPr>
        <w:t>S</w:t>
      </w:r>
      <w:r w:rsidR="00A516BA">
        <w:rPr>
          <w:b/>
          <w:bCs/>
        </w:rPr>
        <w:t>7</w:t>
      </w:r>
      <w:r w:rsidR="001B7A45" w:rsidRPr="0026720E">
        <w:rPr>
          <w:b/>
          <w:bCs/>
          <w:noProof/>
        </w:rPr>
        <w:t>.</w:t>
      </w:r>
      <w:r w:rsidR="00ED7DEE" w:rsidRPr="0026720E">
        <w:t xml:space="preserve"> Zeta potential value of ZN-CS under different pH conditions.</w:t>
      </w:r>
    </w:p>
    <w:bookmarkEnd w:id="8"/>
    <w:p w14:paraId="285C1A70" w14:textId="3D8DC7C7" w:rsidR="00ED7DEE" w:rsidRDefault="00ED7DEE" w:rsidP="00A13643">
      <w:pPr>
        <w:rPr>
          <w:rFonts w:eastAsia="等线"/>
          <w:color w:val="000000" w:themeColor="text1"/>
        </w:rPr>
      </w:pPr>
    </w:p>
    <w:p w14:paraId="3C858C2B" w14:textId="77777777" w:rsidR="00A516BA" w:rsidRPr="0026720E" w:rsidRDefault="00A516BA" w:rsidP="00A516BA">
      <w:pPr>
        <w:rPr>
          <w:rFonts w:eastAsia="宋体" w:cs="Times New Roman"/>
          <w:color w:val="000000" w:themeColor="text1"/>
        </w:rPr>
      </w:pPr>
      <w:bookmarkStart w:id="9" w:name="OLE_LINK105"/>
      <w:bookmarkStart w:id="10" w:name="OLE_LINK106"/>
      <w:r w:rsidRPr="0026720E">
        <w:rPr>
          <w:rFonts w:eastAsia="宋体" w:cs="Times New Roman"/>
          <w:noProof/>
          <w:color w:val="000000" w:themeColor="text1"/>
        </w:rPr>
        <w:lastRenderedPageBreak/>
        <w:drawing>
          <wp:inline distT="0" distB="0" distL="0" distR="0" wp14:anchorId="5C7FEDCF" wp14:editId="32D3097F">
            <wp:extent cx="6053959" cy="2005149"/>
            <wp:effectExtent l="0" t="0" r="444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C47.tmp"/>
                    <pic:cNvPicPr/>
                  </pic:nvPicPr>
                  <pic:blipFill>
                    <a:blip r:embed="rId16">
                      <a:extLst>
                        <a:ext uri="{28A0092B-C50C-407E-A947-70E740481C1C}">
                          <a14:useLocalDpi xmlns:a14="http://schemas.microsoft.com/office/drawing/2010/main" val="0"/>
                        </a:ext>
                      </a:extLst>
                    </a:blip>
                    <a:stretch>
                      <a:fillRect/>
                    </a:stretch>
                  </pic:blipFill>
                  <pic:spPr>
                    <a:xfrm>
                      <a:off x="0" y="0"/>
                      <a:ext cx="6063828" cy="2008418"/>
                    </a:xfrm>
                    <a:prstGeom prst="rect">
                      <a:avLst/>
                    </a:prstGeom>
                  </pic:spPr>
                </pic:pic>
              </a:graphicData>
            </a:graphic>
          </wp:inline>
        </w:drawing>
      </w:r>
    </w:p>
    <w:p w14:paraId="6A5F139A" w14:textId="657FB3C4" w:rsidR="00A516BA" w:rsidRPr="0026720E" w:rsidRDefault="00A516BA" w:rsidP="00A516BA">
      <w:pPr>
        <w:pStyle w:val="4-Fig-ENG"/>
        <w:rPr>
          <w:color w:val="000000" w:themeColor="text1"/>
        </w:rPr>
      </w:pPr>
      <w:bookmarkStart w:id="11" w:name="_Hlk53249409"/>
      <w:bookmarkStart w:id="12" w:name="_Hlk529743306"/>
      <w:r w:rsidRPr="0026720E">
        <w:rPr>
          <w:b/>
          <w:bCs/>
        </w:rPr>
        <w:t xml:space="preserve">Fig. </w:t>
      </w:r>
      <w:bookmarkStart w:id="13" w:name="_Hlk19133048"/>
      <w:r>
        <w:rPr>
          <w:b/>
          <w:bCs/>
        </w:rPr>
        <w:t>S</w:t>
      </w:r>
      <w:r>
        <w:rPr>
          <w:rFonts w:eastAsiaTheme="minorEastAsia"/>
          <w:b/>
          <w:bCs/>
        </w:rPr>
        <w:t>8</w:t>
      </w:r>
      <w:r w:rsidRPr="0026720E">
        <w:rPr>
          <w:rFonts w:eastAsiaTheme="minorEastAsia"/>
          <w:b/>
          <w:bCs/>
        </w:rPr>
        <w:t>.</w:t>
      </w:r>
      <w:r w:rsidRPr="0026720E">
        <w:t xml:space="preserve"> </w:t>
      </w:r>
      <w:bookmarkStart w:id="14" w:name="_Hlk53249670"/>
      <w:r w:rsidRPr="0026720E">
        <w:t xml:space="preserve">Influence of the operational parameters on </w:t>
      </w:r>
      <w:proofErr w:type="spellStart"/>
      <w:r w:rsidRPr="0026720E">
        <w:t>R</w:t>
      </w:r>
      <w:r w:rsidRPr="0026720E">
        <w:rPr>
          <w:rFonts w:hint="eastAsia"/>
        </w:rPr>
        <w:t>h</w:t>
      </w:r>
      <w:r w:rsidRPr="0026720E">
        <w:t>B</w:t>
      </w:r>
      <w:proofErr w:type="spellEnd"/>
      <w:r w:rsidRPr="0026720E">
        <w:t xml:space="preserve"> degradation by ZN-CS/PMS system</w:t>
      </w:r>
      <w:bookmarkEnd w:id="14"/>
      <w:r w:rsidRPr="0026720E">
        <w:t>: (a)</w:t>
      </w:r>
      <w:bookmarkEnd w:id="13"/>
      <w:r w:rsidRPr="0026720E">
        <w:t xml:space="preserve"> </w:t>
      </w:r>
      <w:r w:rsidRPr="0026720E">
        <w:rPr>
          <w:rFonts w:hint="eastAsia"/>
        </w:rPr>
        <w:t>catalyst</w:t>
      </w:r>
      <w:r w:rsidRPr="0026720E">
        <w:t xml:space="preserve"> </w:t>
      </w:r>
      <w:r w:rsidRPr="0026720E">
        <w:rPr>
          <w:rFonts w:hint="eastAsia"/>
        </w:rPr>
        <w:t>dosage</w:t>
      </w:r>
      <w:r w:rsidRPr="0026720E">
        <w:t xml:space="preserve">; (b) </w:t>
      </w:r>
      <w:proofErr w:type="spellStart"/>
      <w:r w:rsidRPr="0026720E">
        <w:t>R</w:t>
      </w:r>
      <w:r w:rsidRPr="0026720E">
        <w:rPr>
          <w:rFonts w:hint="eastAsia"/>
        </w:rPr>
        <w:t>h</w:t>
      </w:r>
      <w:r w:rsidRPr="0026720E">
        <w:t>B</w:t>
      </w:r>
      <w:proofErr w:type="spellEnd"/>
      <w:r w:rsidRPr="0026720E">
        <w:t xml:space="preserve"> concentration; (c) initial PH</w:t>
      </w:r>
      <w:r w:rsidRPr="0026720E">
        <w:rPr>
          <w:rFonts w:hint="eastAsia"/>
        </w:rPr>
        <w:t xml:space="preserve">. </w:t>
      </w:r>
      <w:bookmarkEnd w:id="11"/>
      <w:r w:rsidRPr="0026720E">
        <w:t>Except the studied parameters, other parameters</w:t>
      </w:r>
      <w:r w:rsidRPr="0026720E">
        <w:rPr>
          <w:rFonts w:hint="eastAsia"/>
        </w:rPr>
        <w:t xml:space="preserve"> </w:t>
      </w:r>
      <w:r w:rsidRPr="0026720E">
        <w:t xml:space="preserve">fixed at </w:t>
      </w:r>
      <w:bookmarkStart w:id="15" w:name="_Hlk22332123"/>
      <w:r w:rsidRPr="0026720E">
        <w:t>pH</w:t>
      </w:r>
      <w:r w:rsidRPr="0026720E">
        <w:rPr>
          <w:vertAlign w:val="subscript"/>
        </w:rPr>
        <w:t>0</w:t>
      </w:r>
      <w:r w:rsidRPr="0026720E">
        <w:t>,</w:t>
      </w:r>
      <w:bookmarkStart w:id="16" w:name="_Hlk21875123"/>
      <w:r w:rsidRPr="0026720E">
        <w:t xml:space="preserve"> </w:t>
      </w:r>
      <w:bookmarkStart w:id="17" w:name="_Hlk22331945"/>
      <w:bookmarkEnd w:id="15"/>
      <w:r w:rsidRPr="0026720E">
        <w:t>[ZN-CS]</w:t>
      </w:r>
      <w:r w:rsidRPr="0026720E">
        <w:rPr>
          <w:rFonts w:hint="eastAsia"/>
        </w:rPr>
        <w:t xml:space="preserve"> </w:t>
      </w:r>
      <w:r w:rsidRPr="0026720E">
        <w:t>= 100mg/L, [PMS] = 200</w:t>
      </w:r>
      <w:r w:rsidRPr="0026720E">
        <w:rPr>
          <w:rFonts w:hint="eastAsia"/>
        </w:rPr>
        <w:t>mg/</w:t>
      </w:r>
      <w:r w:rsidRPr="0026720E">
        <w:t>L, [</w:t>
      </w:r>
      <w:proofErr w:type="spellStart"/>
      <w:r w:rsidRPr="0026720E">
        <w:t>R</w:t>
      </w:r>
      <w:r w:rsidRPr="0026720E">
        <w:rPr>
          <w:rFonts w:hint="eastAsia"/>
        </w:rPr>
        <w:t>h</w:t>
      </w:r>
      <w:r w:rsidRPr="0026720E">
        <w:t>B</w:t>
      </w:r>
      <w:proofErr w:type="spellEnd"/>
      <w:r w:rsidRPr="0026720E">
        <w:t>] = 7.6 mg/L and room temperature</w:t>
      </w:r>
      <w:bookmarkEnd w:id="16"/>
      <w:r w:rsidRPr="0026720E">
        <w:t>.</w:t>
      </w:r>
      <w:bookmarkEnd w:id="9"/>
      <w:bookmarkEnd w:id="10"/>
      <w:bookmarkEnd w:id="12"/>
      <w:bookmarkEnd w:id="17"/>
    </w:p>
    <w:p w14:paraId="0335FF3A" w14:textId="77777777" w:rsidR="00A516BA" w:rsidRPr="00A516BA" w:rsidRDefault="00A516BA" w:rsidP="00A13643">
      <w:pPr>
        <w:rPr>
          <w:rFonts w:eastAsia="等线"/>
          <w:color w:val="000000" w:themeColor="text1"/>
        </w:rPr>
      </w:pPr>
    </w:p>
    <w:p w14:paraId="0EE6F140" w14:textId="590DC666" w:rsidR="00ED7DEE" w:rsidRPr="0026720E" w:rsidRDefault="0088116D" w:rsidP="00ED7DEE">
      <w:pPr>
        <w:jc w:val="center"/>
        <w:rPr>
          <w:rFonts w:ascii="Calibri" w:eastAsia="宋体" w:hAnsi="Calibri" w:cs="Times New Roman"/>
          <w:color w:val="000000" w:themeColor="text1"/>
        </w:rPr>
      </w:pPr>
      <w:r w:rsidRPr="0026720E">
        <w:rPr>
          <w:rFonts w:ascii="Calibri" w:eastAsia="宋体" w:hAnsi="Calibri" w:cs="Times New Roman"/>
          <w:noProof/>
          <w:color w:val="000000" w:themeColor="text1"/>
        </w:rPr>
        <w:drawing>
          <wp:inline distT="0" distB="0" distL="0" distR="0" wp14:anchorId="774EE290" wp14:editId="3A6EA426">
            <wp:extent cx="4157673" cy="2927350"/>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C44C4.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59164" cy="2928400"/>
                    </a:xfrm>
                    <a:prstGeom prst="rect">
                      <a:avLst/>
                    </a:prstGeom>
                  </pic:spPr>
                </pic:pic>
              </a:graphicData>
            </a:graphic>
          </wp:inline>
        </w:drawing>
      </w:r>
    </w:p>
    <w:p w14:paraId="6A02B7D2" w14:textId="44F4187D" w:rsidR="00ED7DEE" w:rsidRDefault="008A35B8" w:rsidP="001C16B4">
      <w:pPr>
        <w:pStyle w:val="4-Fig-ENG"/>
      </w:pPr>
      <w:bookmarkStart w:id="18" w:name="_Hlk53249377"/>
      <w:bookmarkStart w:id="19" w:name="_Hlk22332249"/>
      <w:r w:rsidRPr="0026720E">
        <w:rPr>
          <w:b/>
          <w:bCs/>
        </w:rPr>
        <w:t>Fig.</w:t>
      </w:r>
      <w:r w:rsidR="001B7A45" w:rsidRPr="0026720E">
        <w:rPr>
          <w:b/>
          <w:bCs/>
        </w:rPr>
        <w:t xml:space="preserve"> </w:t>
      </w:r>
      <w:r w:rsidR="008F379F">
        <w:rPr>
          <w:b/>
          <w:bCs/>
        </w:rPr>
        <w:t>S</w:t>
      </w:r>
      <w:r w:rsidR="00A516BA">
        <w:rPr>
          <w:b/>
          <w:bCs/>
        </w:rPr>
        <w:t>9</w:t>
      </w:r>
      <w:r w:rsidR="001B7A45" w:rsidRPr="0026720E">
        <w:rPr>
          <w:b/>
          <w:bCs/>
          <w:noProof/>
        </w:rPr>
        <w:t>.</w:t>
      </w:r>
      <w:r w:rsidR="00ED7DEE" w:rsidRPr="0026720E">
        <w:t xml:space="preserve"> Influence of masking agent (phosphate) in adsorption process. </w:t>
      </w:r>
      <w:bookmarkEnd w:id="18"/>
      <w:r w:rsidR="00ED7DEE" w:rsidRPr="0026720E">
        <w:t>Reaction conditions: pH=</w:t>
      </w:r>
      <w:r w:rsidR="00D0611D" w:rsidRPr="0026720E">
        <w:rPr>
          <w:rFonts w:hint="eastAsia"/>
        </w:rPr>
        <w:t xml:space="preserve"> </w:t>
      </w:r>
      <w:r w:rsidR="00ED7DEE" w:rsidRPr="0026720E">
        <w:t>8.6, [ZN-</w:t>
      </w:r>
      <w:proofErr w:type="gramStart"/>
      <w:r w:rsidR="00ED7DEE" w:rsidRPr="0026720E">
        <w:t>CS]=</w:t>
      </w:r>
      <w:proofErr w:type="gramEnd"/>
      <w:r w:rsidR="00ED7DEE" w:rsidRPr="0026720E">
        <w:t xml:space="preserve"> 100mg/L, [</w:t>
      </w:r>
      <w:proofErr w:type="spellStart"/>
      <w:r w:rsidR="00ED7DEE" w:rsidRPr="0026720E">
        <w:t>R</w:t>
      </w:r>
      <w:r w:rsidR="00ED7DEE" w:rsidRPr="0026720E">
        <w:rPr>
          <w:rFonts w:hint="eastAsia"/>
        </w:rPr>
        <w:t>h</w:t>
      </w:r>
      <w:r w:rsidR="00ED7DEE" w:rsidRPr="0026720E">
        <w:t>B</w:t>
      </w:r>
      <w:proofErr w:type="spellEnd"/>
      <w:r w:rsidR="00ED7DEE" w:rsidRPr="0026720E">
        <w:t>]</w:t>
      </w:r>
      <w:r w:rsidR="00ED7DEE" w:rsidRPr="0026720E">
        <w:rPr>
          <w:vertAlign w:val="subscript"/>
        </w:rPr>
        <w:t>0</w:t>
      </w:r>
      <w:r w:rsidR="00D0611D" w:rsidRPr="0026720E">
        <w:t>= 5.0 mg/L , [phosphate]</w:t>
      </w:r>
      <w:r w:rsidR="00ED7DEE" w:rsidRPr="0026720E">
        <w:t>= 3.25mmol/L and room temperature.</w:t>
      </w:r>
      <w:bookmarkEnd w:id="19"/>
    </w:p>
    <w:p w14:paraId="38ED021E" w14:textId="77777777" w:rsidR="00A516BA" w:rsidRPr="0026720E" w:rsidRDefault="00A516BA" w:rsidP="001C16B4">
      <w:pPr>
        <w:pStyle w:val="4-Fig-ENG"/>
      </w:pPr>
    </w:p>
    <w:p w14:paraId="25611C30" w14:textId="77777777" w:rsidR="00117933" w:rsidRPr="0026720E" w:rsidRDefault="00117933" w:rsidP="00117933">
      <w:pPr>
        <w:jc w:val="center"/>
        <w:rPr>
          <w:rFonts w:cs="Times New Roman"/>
          <w:color w:val="000000" w:themeColor="text1"/>
        </w:rPr>
      </w:pPr>
      <w:bookmarkStart w:id="20" w:name="_Hlk53249455"/>
      <w:bookmarkStart w:id="21" w:name="_Hlk53249626"/>
      <w:r w:rsidRPr="0026720E">
        <w:rPr>
          <w:rFonts w:cs="Times New Roman"/>
          <w:noProof/>
          <w:color w:val="000000" w:themeColor="text1"/>
        </w:rPr>
        <w:drawing>
          <wp:inline distT="0" distB="0" distL="0" distR="0" wp14:anchorId="585162F5" wp14:editId="454E3841">
            <wp:extent cx="3798276" cy="261662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a:blip r:embed="rId18"/>
                    <a:stretch>
                      <a:fillRect/>
                    </a:stretch>
                  </pic:blipFill>
                  <pic:spPr>
                    <a:xfrm>
                      <a:off x="0" y="0"/>
                      <a:ext cx="3805664" cy="2621712"/>
                    </a:xfrm>
                    <a:prstGeom prst="rect">
                      <a:avLst/>
                    </a:prstGeom>
                  </pic:spPr>
                </pic:pic>
              </a:graphicData>
            </a:graphic>
          </wp:inline>
        </w:drawing>
      </w:r>
    </w:p>
    <w:p w14:paraId="0D0F932B" w14:textId="59C89098" w:rsidR="0027378F" w:rsidRPr="0026720E" w:rsidRDefault="00117933" w:rsidP="001C16B4">
      <w:pPr>
        <w:pStyle w:val="4-Fig-ENG"/>
      </w:pPr>
      <w:r w:rsidRPr="0026720E">
        <w:rPr>
          <w:b/>
          <w:bCs/>
        </w:rPr>
        <w:t xml:space="preserve">Fig. </w:t>
      </w:r>
      <w:r w:rsidR="008F379F">
        <w:rPr>
          <w:b/>
          <w:bCs/>
        </w:rPr>
        <w:t>S</w:t>
      </w:r>
      <w:r w:rsidR="00A516BA">
        <w:rPr>
          <w:b/>
          <w:bCs/>
        </w:rPr>
        <w:t>10</w:t>
      </w:r>
      <w:r w:rsidRPr="0026720E">
        <w:rPr>
          <w:b/>
          <w:bCs/>
        </w:rPr>
        <w:t>.</w:t>
      </w:r>
      <w:r w:rsidRPr="0026720E">
        <w:t xml:space="preserve"> Plot of </w:t>
      </w:r>
      <w:proofErr w:type="spellStart"/>
      <w:r w:rsidRPr="0026720E">
        <w:t>RlnK</w:t>
      </w:r>
      <w:r w:rsidRPr="0026720E">
        <w:rPr>
          <w:rFonts w:hint="eastAsia"/>
        </w:rPr>
        <w:t>d</w:t>
      </w:r>
      <w:proofErr w:type="spellEnd"/>
      <w:r w:rsidRPr="0026720E">
        <w:t xml:space="preserve"> vs. 1/T for the estimation of thermodynamic parameters for sorption of </w:t>
      </w:r>
      <w:proofErr w:type="spellStart"/>
      <w:r w:rsidRPr="0026720E">
        <w:t>R</w:t>
      </w:r>
      <w:r w:rsidRPr="0026720E">
        <w:rPr>
          <w:rFonts w:hint="eastAsia"/>
        </w:rPr>
        <w:t>h</w:t>
      </w:r>
      <w:r w:rsidRPr="0026720E">
        <w:t>B</w:t>
      </w:r>
      <w:proofErr w:type="spellEnd"/>
      <w:r w:rsidRPr="0026720E">
        <w:rPr>
          <w:rFonts w:hint="eastAsia"/>
        </w:rPr>
        <w:t xml:space="preserve"> </w:t>
      </w:r>
      <w:r w:rsidRPr="0026720E">
        <w:t>onto ZN-CS.</w:t>
      </w:r>
    </w:p>
    <w:p w14:paraId="26C3943C" w14:textId="77777777" w:rsidR="00081E92" w:rsidRPr="0026720E" w:rsidRDefault="00081E92" w:rsidP="00081E92">
      <w:pPr>
        <w:rPr>
          <w:color w:val="000000" w:themeColor="text1"/>
        </w:rPr>
      </w:pPr>
    </w:p>
    <w:p w14:paraId="608DF1A2" w14:textId="77777777" w:rsidR="007E4364" w:rsidRPr="0026720E" w:rsidRDefault="007E4364" w:rsidP="005916E3">
      <w:pPr>
        <w:jc w:val="left"/>
        <w:rPr>
          <w:rFonts w:cs="Times New Roman"/>
          <w:b/>
          <w:bCs/>
          <w:color w:val="000000" w:themeColor="text1"/>
          <w:szCs w:val="24"/>
        </w:rPr>
      </w:pPr>
      <w:r w:rsidRPr="0026720E">
        <w:rPr>
          <w:rFonts w:cs="Times New Roman" w:hint="eastAsia"/>
          <w:b/>
          <w:bCs/>
          <w:noProof/>
          <w:color w:val="000000" w:themeColor="text1"/>
          <w:szCs w:val="24"/>
        </w:rPr>
        <w:lastRenderedPageBreak/>
        <w:drawing>
          <wp:inline distT="0" distB="0" distL="0" distR="0" wp14:anchorId="643ECB69" wp14:editId="5E1E2467">
            <wp:extent cx="6016336" cy="2225803"/>
            <wp:effectExtent l="0" t="0" r="381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pic:nvPicPr>
                  <pic:blipFill>
                    <a:blip r:embed="rId19"/>
                    <a:stretch>
                      <a:fillRect/>
                    </a:stretch>
                  </pic:blipFill>
                  <pic:spPr>
                    <a:xfrm>
                      <a:off x="0" y="0"/>
                      <a:ext cx="6052194" cy="2239069"/>
                    </a:xfrm>
                    <a:prstGeom prst="rect">
                      <a:avLst/>
                    </a:prstGeom>
                  </pic:spPr>
                </pic:pic>
              </a:graphicData>
            </a:graphic>
          </wp:inline>
        </w:drawing>
      </w:r>
    </w:p>
    <w:p w14:paraId="407BB0EA" w14:textId="4B9BDF9A" w:rsidR="007E4364" w:rsidRPr="0026720E" w:rsidRDefault="007E4364" w:rsidP="001C16B4">
      <w:pPr>
        <w:pStyle w:val="4-Fig-ENG"/>
        <w:rPr>
          <w:b/>
          <w:bCs/>
        </w:rPr>
      </w:pPr>
      <w:bookmarkStart w:id="22" w:name="OLE_LINK461"/>
      <w:bookmarkStart w:id="23" w:name="OLE_LINK462"/>
      <w:r w:rsidRPr="0026720E">
        <w:rPr>
          <w:b/>
          <w:bCs/>
        </w:rPr>
        <w:t xml:space="preserve">Fig. </w:t>
      </w:r>
      <w:r w:rsidR="008F379F">
        <w:rPr>
          <w:b/>
          <w:bCs/>
        </w:rPr>
        <w:t>S</w:t>
      </w:r>
      <w:r w:rsidR="00E66989" w:rsidRPr="0026720E">
        <w:rPr>
          <w:b/>
          <w:bCs/>
        </w:rPr>
        <w:t>1</w:t>
      </w:r>
      <w:r w:rsidR="00A516BA">
        <w:rPr>
          <w:b/>
          <w:bCs/>
        </w:rPr>
        <w:t>1</w:t>
      </w:r>
      <w:r w:rsidRPr="0026720E">
        <w:rPr>
          <w:b/>
          <w:bCs/>
        </w:rPr>
        <w:t>.</w:t>
      </w:r>
      <w:r w:rsidRPr="0026720E">
        <w:t xml:space="preserve"> Different target contaminants absorbed and degraded by ZN-CS/PMS and PMS system</w:t>
      </w:r>
      <w:r w:rsidR="002A45D8" w:rsidRPr="0026720E">
        <w:t>.</w:t>
      </w:r>
      <w:r w:rsidRPr="0026720E">
        <w:t xml:space="preserve"> </w:t>
      </w:r>
      <w:bookmarkEnd w:id="22"/>
      <w:bookmarkEnd w:id="23"/>
      <w:r w:rsidRPr="0026720E">
        <w:t>([ZN-CS]</w:t>
      </w:r>
      <w:r w:rsidRPr="0026720E">
        <w:rPr>
          <w:rFonts w:hint="eastAsia"/>
        </w:rPr>
        <w:t xml:space="preserve"> </w:t>
      </w:r>
      <w:r w:rsidRPr="0026720E">
        <w:t>= 100</w:t>
      </w:r>
      <w:r w:rsidRPr="0026720E">
        <w:rPr>
          <w:rFonts w:hint="eastAsia"/>
        </w:rPr>
        <w:t xml:space="preserve"> </w:t>
      </w:r>
      <w:r w:rsidRPr="0026720E">
        <w:t>mg/L, [PMS] = 200</w:t>
      </w:r>
      <w:r w:rsidRPr="0026720E">
        <w:rPr>
          <w:rFonts w:hint="eastAsia"/>
        </w:rPr>
        <w:t xml:space="preserve"> </w:t>
      </w:r>
      <w:r w:rsidRPr="0026720E">
        <w:t xml:space="preserve">mg/L, </w:t>
      </w:r>
      <w:proofErr w:type="spellStart"/>
      <w:r w:rsidRPr="0026720E">
        <w:t>pH</w:t>
      </w:r>
      <w:r w:rsidRPr="0026720E">
        <w:rPr>
          <w:rFonts w:hint="eastAsia"/>
        </w:rPr>
        <w:t>in</w:t>
      </w:r>
      <w:proofErr w:type="spellEnd"/>
      <w:r w:rsidRPr="0026720E">
        <w:rPr>
          <w:rFonts w:hint="eastAsia"/>
        </w:rPr>
        <w:t xml:space="preserve"> </w:t>
      </w:r>
      <w:r w:rsidRPr="0026720E">
        <w:t>= pH0</w:t>
      </w:r>
      <w:r w:rsidR="002A45D8" w:rsidRPr="0026720E">
        <w:t>)</w:t>
      </w:r>
      <w:r w:rsidRPr="0026720E">
        <w:t>: (a)</w:t>
      </w:r>
      <w:r w:rsidRPr="0026720E">
        <w:rPr>
          <w:rFonts w:hint="eastAsia"/>
        </w:rPr>
        <w:t>.</w:t>
      </w:r>
      <w:r w:rsidRPr="0026720E">
        <w:t xml:space="preserve"> Norfloxacin (Nor). Reaction condition: [Nor] = 5.0 mg/L; (b)</w:t>
      </w:r>
      <w:r w:rsidRPr="0026720E">
        <w:rPr>
          <w:rFonts w:hint="eastAsia"/>
        </w:rPr>
        <w:t>.</w:t>
      </w:r>
      <w:r w:rsidRPr="0026720E">
        <w:t xml:space="preserve"> Tetracycline hydrochloride. Reaction condition: [TC] = 10 mg/L.</w:t>
      </w:r>
    </w:p>
    <w:p w14:paraId="426C82CC" w14:textId="77777777" w:rsidR="00843B9A" w:rsidRPr="0026720E" w:rsidRDefault="00843B9A" w:rsidP="00FC5C85">
      <w:pPr>
        <w:rPr>
          <w:color w:val="000000" w:themeColor="text1"/>
        </w:rPr>
      </w:pPr>
    </w:p>
    <w:p w14:paraId="1AFE416F" w14:textId="77777777" w:rsidR="00843B9A" w:rsidRPr="0026720E" w:rsidRDefault="00843B9A" w:rsidP="00843B9A">
      <w:pPr>
        <w:jc w:val="center"/>
        <w:rPr>
          <w:rFonts w:ascii="宋体" w:hAnsi="宋体"/>
          <w:color w:val="000000" w:themeColor="text1"/>
        </w:rPr>
      </w:pPr>
      <w:r w:rsidRPr="0026720E">
        <w:rPr>
          <w:rFonts w:ascii="宋体" w:hAnsi="宋体"/>
          <w:noProof/>
          <w:color w:val="000000" w:themeColor="text1"/>
        </w:rPr>
        <w:drawing>
          <wp:inline distT="0" distB="0" distL="0" distR="0" wp14:anchorId="3AD51D2F" wp14:editId="74BBB725">
            <wp:extent cx="3981450" cy="3073400"/>
            <wp:effectExtent l="0" t="0" r="635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90385" cy="3080297"/>
                    </a:xfrm>
                    <a:prstGeom prst="rect">
                      <a:avLst/>
                    </a:prstGeom>
                  </pic:spPr>
                </pic:pic>
              </a:graphicData>
            </a:graphic>
          </wp:inline>
        </w:drawing>
      </w:r>
    </w:p>
    <w:p w14:paraId="272112A5" w14:textId="5E3E5665" w:rsidR="00843B9A" w:rsidRPr="0026720E" w:rsidRDefault="00843B9A" w:rsidP="001C16B4">
      <w:pPr>
        <w:pStyle w:val="4-Fig-ENG"/>
      </w:pPr>
      <w:r w:rsidRPr="0026720E">
        <w:rPr>
          <w:b/>
          <w:bCs/>
        </w:rPr>
        <w:t xml:space="preserve">Fig. </w:t>
      </w:r>
      <w:r w:rsidR="008F379F">
        <w:rPr>
          <w:b/>
          <w:bCs/>
        </w:rPr>
        <w:t>S</w:t>
      </w:r>
      <w:r w:rsidRPr="0026720E">
        <w:rPr>
          <w:b/>
          <w:bCs/>
        </w:rPr>
        <w:t>1</w:t>
      </w:r>
      <w:r w:rsidR="00A516BA">
        <w:rPr>
          <w:b/>
          <w:bCs/>
        </w:rPr>
        <w:t>2</w:t>
      </w:r>
      <w:r w:rsidRPr="0026720E">
        <w:rPr>
          <w:b/>
          <w:bCs/>
        </w:rPr>
        <w:t xml:space="preserve">. </w:t>
      </w:r>
      <w:bookmarkStart w:id="24" w:name="OLE_LINK622"/>
      <w:bookmarkStart w:id="25" w:name="OLE_LINK623"/>
      <w:r w:rsidRPr="0026720E">
        <w:t>E</w:t>
      </w:r>
      <w:r w:rsidRPr="0026720E">
        <w:rPr>
          <w:rFonts w:hint="eastAsia"/>
        </w:rPr>
        <w:t>l</w:t>
      </w:r>
      <w:r w:rsidRPr="0026720E">
        <w:t>iminat</w:t>
      </w:r>
      <w:r w:rsidRPr="0026720E">
        <w:rPr>
          <w:rFonts w:hint="eastAsia"/>
        </w:rPr>
        <w:t>ion</w:t>
      </w:r>
      <w:r w:rsidRPr="0026720E">
        <w:t xml:space="preserve"> of </w:t>
      </w:r>
      <w:proofErr w:type="spellStart"/>
      <w:r w:rsidRPr="0026720E">
        <w:t>RhB</w:t>
      </w:r>
      <w:proofErr w:type="spellEnd"/>
      <w:r w:rsidRPr="0026720E">
        <w:t xml:space="preserve"> in real water sampl</w:t>
      </w:r>
      <w:r w:rsidRPr="0026720E">
        <w:rPr>
          <w:rFonts w:hint="eastAsia"/>
        </w:rPr>
        <w:t>e</w:t>
      </w:r>
      <w:r w:rsidRPr="0026720E">
        <w:t xml:space="preserve"> under PMS and PMS/ZN-CS systems</w:t>
      </w:r>
      <w:bookmarkEnd w:id="24"/>
      <w:bookmarkEnd w:id="25"/>
      <w:r w:rsidRPr="0026720E">
        <w:t>. Reaction condition: [</w:t>
      </w:r>
      <w:proofErr w:type="spellStart"/>
      <w:r w:rsidRPr="0026720E">
        <w:t>RhB</w:t>
      </w:r>
      <w:proofErr w:type="spellEnd"/>
      <w:r w:rsidRPr="0026720E">
        <w:t>] = 7.6 mg/L, [ZN-CS]</w:t>
      </w:r>
      <w:r w:rsidRPr="0026720E">
        <w:rPr>
          <w:rFonts w:hint="eastAsia"/>
        </w:rPr>
        <w:t xml:space="preserve"> </w:t>
      </w:r>
      <w:r w:rsidRPr="0026720E">
        <w:t>=</w:t>
      </w:r>
      <w:r w:rsidRPr="0026720E">
        <w:rPr>
          <w:rFonts w:hint="eastAsia"/>
        </w:rPr>
        <w:t xml:space="preserve"> </w:t>
      </w:r>
      <w:r w:rsidRPr="0026720E">
        <w:t>100</w:t>
      </w:r>
      <w:r w:rsidRPr="0026720E">
        <w:rPr>
          <w:rFonts w:hint="eastAsia"/>
        </w:rPr>
        <w:t xml:space="preserve"> </w:t>
      </w:r>
      <w:r w:rsidRPr="0026720E">
        <w:t>mg/L, [PMS]</w:t>
      </w:r>
      <w:r w:rsidRPr="0026720E">
        <w:rPr>
          <w:rFonts w:hint="eastAsia"/>
        </w:rPr>
        <w:t xml:space="preserve"> </w:t>
      </w:r>
      <w:r w:rsidRPr="0026720E">
        <w:t>=</w:t>
      </w:r>
      <w:r w:rsidRPr="0026720E">
        <w:rPr>
          <w:rFonts w:hint="eastAsia"/>
        </w:rPr>
        <w:t xml:space="preserve"> </w:t>
      </w:r>
      <w:r w:rsidRPr="0026720E">
        <w:t>200</w:t>
      </w:r>
      <w:r w:rsidRPr="0026720E">
        <w:rPr>
          <w:rFonts w:hint="eastAsia"/>
        </w:rPr>
        <w:t xml:space="preserve"> </w:t>
      </w:r>
      <w:r w:rsidRPr="0026720E">
        <w:t>mg/L</w:t>
      </w:r>
      <w:r w:rsidRPr="0026720E">
        <w:rPr>
          <w:rFonts w:hint="eastAsia"/>
        </w:rPr>
        <w:t>.</w:t>
      </w:r>
    </w:p>
    <w:p w14:paraId="76E9A56E" w14:textId="77777777" w:rsidR="00E477E5" w:rsidRPr="0026720E" w:rsidRDefault="00E477E5" w:rsidP="001C16B4">
      <w:pPr>
        <w:pStyle w:val="4-Fig-ENG"/>
      </w:pPr>
    </w:p>
    <w:p w14:paraId="3F9C3C5D" w14:textId="77777777" w:rsidR="00E477E5" w:rsidRDefault="00E477E5">
      <w:pPr>
        <w:widowControl/>
        <w:spacing w:line="240" w:lineRule="auto"/>
        <w:jc w:val="left"/>
        <w:rPr>
          <w:rFonts w:eastAsia="等线" w:cs="Times New Roman"/>
          <w:b/>
          <w:bCs/>
          <w:kern w:val="44"/>
          <w:sz w:val="21"/>
          <w:szCs w:val="28"/>
        </w:rPr>
      </w:pPr>
      <w:r>
        <w:br w:type="page"/>
      </w:r>
    </w:p>
    <w:p w14:paraId="7DFF3237" w14:textId="77777777" w:rsidR="00A516BA" w:rsidRPr="0026720E" w:rsidRDefault="00A516BA" w:rsidP="00A516BA">
      <w:pPr>
        <w:pStyle w:val="0-1-ENG"/>
        <w:spacing w:before="163" w:after="163"/>
      </w:pPr>
      <w:r w:rsidRPr="0026720E">
        <w:lastRenderedPageBreak/>
        <w:t>Text</w:t>
      </w:r>
      <w:r>
        <w:t xml:space="preserve"> S1</w:t>
      </w:r>
      <w:r w:rsidRPr="0026720E">
        <w:t xml:space="preserve">. </w:t>
      </w:r>
      <w:r w:rsidRPr="0026720E">
        <w:rPr>
          <w:rFonts w:hint="eastAsia"/>
        </w:rPr>
        <w:t>T</w:t>
      </w:r>
      <w:r w:rsidRPr="0026720E">
        <w:t xml:space="preserve">he kinetics of </w:t>
      </w:r>
      <w:proofErr w:type="spellStart"/>
      <w:r w:rsidRPr="0026720E">
        <w:t>RhB</w:t>
      </w:r>
      <w:proofErr w:type="spellEnd"/>
      <w:r w:rsidRPr="0026720E">
        <w:t xml:space="preserve"> degradation.</w:t>
      </w:r>
    </w:p>
    <w:p w14:paraId="423664F6" w14:textId="77777777" w:rsidR="00A516BA" w:rsidRPr="0026720E" w:rsidRDefault="00A516BA" w:rsidP="00A516BA">
      <w:pPr>
        <w:pStyle w:val="3-mainbody-ENG"/>
        <w:ind w:firstLine="210"/>
      </w:pPr>
      <w:bookmarkStart w:id="26" w:name="OLE_LINK385"/>
      <w:bookmarkStart w:id="27" w:name="OLE_LINK386"/>
      <w:r w:rsidRPr="0026720E">
        <w:rPr>
          <w:rFonts w:hint="eastAsia"/>
        </w:rPr>
        <w:t>T</w:t>
      </w:r>
      <w:r w:rsidRPr="0026720E">
        <w:t xml:space="preserve">he kinetics of </w:t>
      </w:r>
      <w:proofErr w:type="spellStart"/>
      <w:r w:rsidRPr="0026720E">
        <w:t>RhB</w:t>
      </w:r>
      <w:proofErr w:type="spellEnd"/>
      <w:r w:rsidRPr="0026720E">
        <w:t xml:space="preserve"> degradation (</w:t>
      </w:r>
      <m:oMath>
        <m:sSub>
          <m:sSubPr>
            <m:ctrlPr>
              <w:rPr>
                <w:rFonts w:ascii="Cambria Math" w:hAnsi="Cambria Math"/>
              </w:rPr>
            </m:ctrlPr>
          </m:sSubPr>
          <m:e>
            <m:r>
              <w:rPr>
                <w:rFonts w:ascii="Cambria Math" w:hAnsi="Cambria Math" w:hint="eastAsia"/>
              </w:rPr>
              <m:t>k</m:t>
            </m:r>
          </m:e>
          <m:sub>
            <m:r>
              <w:rPr>
                <w:rFonts w:ascii="Cambria Math" w:hAnsi="Cambria Math" w:hint="eastAsia"/>
              </w:rPr>
              <m:t>o</m:t>
            </m:r>
            <m:r>
              <w:rPr>
                <w:rFonts w:ascii="Cambria Math" w:hAnsi="Cambria Math"/>
              </w:rPr>
              <m:t>bs</m:t>
            </m:r>
          </m:sub>
        </m:sSub>
        <w:bookmarkEnd w:id="26"/>
        <w:bookmarkEnd w:id="27"/>
        <m:r>
          <w:rPr>
            <w:rFonts w:ascii="Cambria Math" w:hAnsi="Cambria Math"/>
          </w:rPr>
          <m:t>)</m:t>
        </m:r>
      </m:oMath>
      <w:r w:rsidRPr="0026720E">
        <w:t xml:space="preserve"> could be well simulated with pseudo-second-order rate law by Eq. (</w:t>
      </w:r>
      <w:r>
        <w:t>S</w:t>
      </w:r>
      <w:r w:rsidRPr="0026720E">
        <w:t xml:space="preserve">26). </w:t>
      </w:r>
    </w:p>
    <w:p w14:paraId="3BCC0A4F" w14:textId="77777777" w:rsidR="00A516BA" w:rsidRPr="0026720E" w:rsidRDefault="00445426" w:rsidP="00A516BA">
      <w:pPr>
        <w:spacing w:line="600" w:lineRule="auto"/>
        <w:rPr>
          <w:rFonts w:cs="Times New Roman (正文 CS 字体)"/>
          <w:color w:val="000000" w:themeColor="text1"/>
        </w:rPr>
      </w:pPr>
      <m:oMathPara>
        <m:oMathParaPr>
          <m:jc m:val="center"/>
        </m:oMathParaPr>
        <m:oMath>
          <m:f>
            <m:fPr>
              <m:ctrlPr>
                <w:rPr>
                  <w:rFonts w:ascii="Cambria Math" w:hAnsi="Cambria Math" w:cs="Times New Roman (正文 CS 字体)"/>
                  <w:i/>
                  <w:color w:val="000000" w:themeColor="text1"/>
                </w:rPr>
              </m:ctrlPr>
            </m:fPr>
            <m:num>
              <m:r>
                <w:rPr>
                  <w:rFonts w:ascii="Cambria Math" w:hAnsi="Cambria Math" w:cs="Times New Roman (正文 CS 字体)"/>
                  <w:color w:val="000000" w:themeColor="text1"/>
                </w:rPr>
                <m:t>d</m:t>
              </m:r>
              <m:d>
                <m:dPr>
                  <m:begChr m:val="["/>
                  <m:endChr m:val="]"/>
                  <m:ctrlPr>
                    <w:rPr>
                      <w:rFonts w:ascii="Cambria Math" w:hAnsi="Cambria Math" w:cs="Times New Roman (正文 CS 字体)"/>
                      <w:i/>
                      <w:color w:val="000000" w:themeColor="text1"/>
                    </w:rPr>
                  </m:ctrlPr>
                </m:dPr>
                <m:e>
                  <m:r>
                    <w:rPr>
                      <w:rFonts w:ascii="Cambria Math" w:hAnsi="Cambria Math" w:cs="Times New Roman (正文 CS 字体)"/>
                      <w:color w:val="000000" w:themeColor="text1"/>
                    </w:rPr>
                    <m:t>RhB</m:t>
                  </m:r>
                </m:e>
              </m:d>
            </m:num>
            <m:den>
              <m:r>
                <w:rPr>
                  <w:rFonts w:ascii="Cambria Math" w:hAnsi="Cambria Math" w:cs="Times New Roman (正文 CS 字体)"/>
                  <w:color w:val="000000" w:themeColor="text1"/>
                </w:rPr>
                <m:t>dt</m:t>
              </m:r>
            </m:den>
          </m:f>
          <m:r>
            <w:rPr>
              <w:rFonts w:ascii="Cambria Math" w:hAnsi="Cambria Math" w:cs="Times New Roman (正文 CS 字体)"/>
              <w:color w:val="000000" w:themeColor="text1"/>
            </w:rPr>
            <m:t>=-</m:t>
          </m:r>
          <w:bookmarkStart w:id="28" w:name="OLE_LINK59"/>
          <w:bookmarkStart w:id="29" w:name="OLE_LINK60"/>
          <m:sSub>
            <m:sSubPr>
              <m:ctrlPr>
                <w:rPr>
                  <w:rFonts w:ascii="Cambria Math" w:hAnsi="Cambria Math" w:cs="Times New Roman (正文 CS 字体)"/>
                  <w:i/>
                  <w:color w:val="000000" w:themeColor="text1"/>
                </w:rPr>
              </m:ctrlPr>
            </m:sSubPr>
            <m:e>
              <m:r>
                <w:rPr>
                  <w:rFonts w:ascii="Cambria Math" w:hAnsi="Cambria Math" w:cs="Times New Roman (正文 CS 字体)"/>
                  <w:color w:val="000000" w:themeColor="text1"/>
                </w:rPr>
                <m:t>k</m:t>
              </m:r>
            </m:e>
            <m:sub>
              <m:r>
                <w:rPr>
                  <w:rFonts w:ascii="Cambria Math" w:hAnsi="Cambria Math" w:cs="Times New Roman (正文 CS 字体)"/>
                  <w:color w:val="000000" w:themeColor="text1"/>
                </w:rPr>
                <m:t>obs</m:t>
              </m:r>
            </m:sub>
          </m:sSub>
          <w:bookmarkEnd w:id="28"/>
          <w:bookmarkEnd w:id="29"/>
          <m:sSup>
            <m:sSupPr>
              <m:ctrlPr>
                <w:rPr>
                  <w:rFonts w:ascii="Cambria Math" w:hAnsi="Cambria Math" w:cs="Times New Roman (正文 CS 字体)"/>
                  <w:i/>
                  <w:color w:val="000000" w:themeColor="text1"/>
                </w:rPr>
              </m:ctrlPr>
            </m:sSupPr>
            <m:e>
              <m:d>
                <m:dPr>
                  <m:begChr m:val="["/>
                  <m:endChr m:val="]"/>
                  <m:ctrlPr>
                    <w:rPr>
                      <w:rFonts w:ascii="Cambria Math" w:hAnsi="Cambria Math" w:cs="Times New Roman (正文 CS 字体)"/>
                      <w:i/>
                      <w:color w:val="000000" w:themeColor="text1"/>
                    </w:rPr>
                  </m:ctrlPr>
                </m:dPr>
                <m:e>
                  <m:r>
                    <w:rPr>
                      <w:rFonts w:ascii="Cambria Math" w:hAnsi="Cambria Math" w:cs="Times New Roman (正文 CS 字体)"/>
                      <w:color w:val="000000" w:themeColor="text1"/>
                    </w:rPr>
                    <m:t>RhB</m:t>
                  </m:r>
                </m:e>
              </m:d>
            </m:e>
            <m:sup>
              <m:r>
                <w:rPr>
                  <w:rFonts w:ascii="Cambria Math" w:hAnsi="Cambria Math" w:cs="Times New Roman (正文 CS 字体)"/>
                  <w:color w:val="000000" w:themeColor="text1"/>
                </w:rPr>
                <m:t>2</m:t>
              </m:r>
            </m:sup>
          </m:sSup>
          <m:r>
            <w:rPr>
              <w:rFonts w:ascii="Cambria Math" w:hAnsi="Cambria Math" w:cs="Times New Roman (正文 CS 字体)"/>
              <w:color w:val="000000" w:themeColor="text1"/>
            </w:rPr>
            <m:t xml:space="preserve">                       </m:t>
          </m:r>
          <m:r>
            <m:rPr>
              <m:sty m:val="p"/>
            </m:rPr>
            <w:rPr>
              <w:rFonts w:ascii="Cambria Math" w:hAnsi="Cambria Math" w:cs="Times New Roman (正文 CS 字体)"/>
              <w:color w:val="000000" w:themeColor="text1"/>
            </w:rPr>
            <m:t xml:space="preserve"> Eq.  (S26)</m:t>
          </m:r>
        </m:oMath>
      </m:oMathPara>
    </w:p>
    <w:p w14:paraId="194B6F72" w14:textId="7B061933" w:rsidR="00A516BA" w:rsidRDefault="00A516BA" w:rsidP="00A516BA">
      <w:pPr>
        <w:pStyle w:val="3-mainbody-ENG"/>
        <w:ind w:firstLineChars="0" w:firstLine="0"/>
      </w:pPr>
      <w:r w:rsidRPr="0026720E">
        <w:t xml:space="preserve">Where </w:t>
      </w:r>
      <m:oMath>
        <m:sSub>
          <m:sSubPr>
            <m:ctrlPr>
              <w:rPr>
                <w:rFonts w:ascii="Cambria Math" w:hAnsi="Cambria Math"/>
                <w:i/>
              </w:rPr>
            </m:ctrlPr>
          </m:sSubPr>
          <m:e>
            <m:r>
              <w:rPr>
                <w:rFonts w:ascii="Cambria Math" w:hAnsi="Cambria Math"/>
              </w:rPr>
              <m:t>k</m:t>
            </m:r>
          </m:e>
          <m:sub>
            <m:r>
              <w:rPr>
                <w:rFonts w:ascii="Cambria Math" w:hAnsi="Cambria Math"/>
              </w:rPr>
              <m:t>obs</m:t>
            </m:r>
          </m:sub>
        </m:sSub>
      </m:oMath>
      <w:r w:rsidRPr="0026720E">
        <w:t xml:space="preserve"> is the pseudo-second-order rate constant (mg</w:t>
      </w:r>
      <w:r w:rsidRPr="0026720E">
        <w:rPr>
          <w:rFonts w:hint="eastAsia"/>
        </w:rPr>
        <w:t>·</w:t>
      </w:r>
      <w:r w:rsidRPr="0026720E">
        <w:t>L</w:t>
      </w:r>
      <w:r w:rsidRPr="0026720E">
        <w:rPr>
          <w:vertAlign w:val="superscript"/>
        </w:rPr>
        <w:t>-1</w:t>
      </w:r>
      <w:r w:rsidRPr="0026720E">
        <w:t>·min</w:t>
      </w:r>
      <w:r w:rsidRPr="0026720E">
        <w:rPr>
          <w:vertAlign w:val="superscript"/>
        </w:rPr>
        <w:t>-1</w:t>
      </w:r>
      <w:r w:rsidRPr="0026720E">
        <w:t xml:space="preserve">) of </w:t>
      </w:r>
      <w:proofErr w:type="spellStart"/>
      <w:r w:rsidRPr="0026720E">
        <w:t>RhB</w:t>
      </w:r>
      <w:proofErr w:type="spellEnd"/>
      <w:r w:rsidRPr="0026720E">
        <w:t xml:space="preserve"> degradation by ZN-CS/PMS system.</w:t>
      </w:r>
      <w:r w:rsidRPr="0026720E">
        <w:rPr>
          <w:rFonts w:hint="eastAsia"/>
        </w:rPr>
        <w:t> </w:t>
      </w:r>
      <w:r w:rsidRPr="0026720E">
        <w:t xml:space="preserve">And </w:t>
      </w:r>
      <w:r w:rsidRPr="0026720E">
        <w:rPr>
          <w:rFonts w:hint="eastAsia"/>
        </w:rPr>
        <w:t xml:space="preserve">the calculation results are </w:t>
      </w:r>
      <w:r w:rsidRPr="0026720E">
        <w:t xml:space="preserve">represented in </w:t>
      </w:r>
      <w:r w:rsidRPr="0026720E">
        <w:rPr>
          <w:rFonts w:eastAsia="宋体" w:cs="宋体"/>
          <w:kern w:val="0"/>
          <w:szCs w:val="24"/>
        </w:rPr>
        <w:t>Table</w:t>
      </w:r>
      <w:r>
        <w:rPr>
          <w:rFonts w:eastAsia="宋体" w:cs="宋体"/>
          <w:kern w:val="0"/>
          <w:szCs w:val="24"/>
        </w:rPr>
        <w:t xml:space="preserve"> S</w:t>
      </w:r>
      <w:r w:rsidRPr="0026720E">
        <w:rPr>
          <w:rFonts w:eastAsia="宋体" w:cs="宋体"/>
          <w:kern w:val="0"/>
          <w:szCs w:val="24"/>
        </w:rPr>
        <w:t>4</w:t>
      </w:r>
      <w:r w:rsidRPr="0026720E">
        <w:t>(a, b, c, d).</w:t>
      </w:r>
    </w:p>
    <w:p w14:paraId="5DB052CB" w14:textId="156E0E71" w:rsidR="0027378F" w:rsidRPr="0026720E" w:rsidRDefault="0027378F" w:rsidP="001C16B4">
      <w:pPr>
        <w:pStyle w:val="0-1-ENG"/>
        <w:spacing w:before="163" w:after="163"/>
      </w:pPr>
      <w:r w:rsidRPr="0026720E">
        <w:t>Text</w:t>
      </w:r>
      <w:r w:rsidR="008F379F">
        <w:t xml:space="preserve"> S</w:t>
      </w:r>
      <w:r w:rsidR="00A516BA">
        <w:t>2</w:t>
      </w:r>
      <w:r w:rsidRPr="0026720E">
        <w:t xml:space="preserve">. Adsorption kinetics simulation method. </w:t>
      </w:r>
      <w:bookmarkEnd w:id="20"/>
    </w:p>
    <w:bookmarkEnd w:id="21"/>
    <w:p w14:paraId="5065229E" w14:textId="71463538" w:rsidR="0027378F" w:rsidRPr="0026720E" w:rsidRDefault="00445426" w:rsidP="004A1AC1">
      <w:pPr>
        <w:tabs>
          <w:tab w:val="left" w:pos="2661"/>
        </w:tabs>
        <w:spacing w:line="480" w:lineRule="auto"/>
        <w:ind w:leftChars="200" w:left="480" w:firstLineChars="500" w:firstLine="1200"/>
        <w:rPr>
          <w:rFonts w:eastAsia="宋体" w:cs="Times New Roman"/>
          <w:i/>
          <w:iCs/>
          <w:color w:val="000000" w:themeColor="text1"/>
        </w:rPr>
      </w:pPr>
      <m:oMathPara>
        <m:oMathParaPr>
          <m:jc m:val="center"/>
        </m:oMathParaPr>
        <m:oMath>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t</m:t>
              </m:r>
            </m:sub>
          </m:sSub>
          <m:r>
            <w:rPr>
              <w:rFonts w:ascii="Cambria Math" w:eastAsia="宋体" w:hAnsi="Cambria Math" w:cs="Times New Roman"/>
              <w:color w:val="000000" w:themeColor="text1"/>
            </w:rPr>
            <m:t>=</m:t>
          </m:r>
          <m:f>
            <m:fPr>
              <m:ctrlPr>
                <w:rPr>
                  <w:rFonts w:ascii="Cambria Math" w:eastAsia="宋体" w:hAnsi="Cambria Math" w:cs="Times New Roman"/>
                  <w:i/>
                  <w:iCs/>
                  <w:color w:val="000000" w:themeColor="text1"/>
                </w:rPr>
              </m:ctrlPr>
            </m:fPr>
            <m:num>
              <m:r>
                <w:rPr>
                  <w:rFonts w:ascii="Cambria Math" w:eastAsia="宋体" w:hAnsi="Cambria Math" w:cs="Times New Roman"/>
                  <w:color w:val="000000" w:themeColor="text1"/>
                </w:rPr>
                <m:t>（</m:t>
              </m:r>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C</m:t>
                  </m:r>
                </m:e>
                <m:sub>
                  <m:r>
                    <w:rPr>
                      <w:rFonts w:ascii="Cambria Math" w:eastAsia="宋体" w:hAnsi="Cambria Math" w:cs="Times New Roman"/>
                      <w:color w:val="000000" w:themeColor="text1"/>
                    </w:rPr>
                    <m:t>0</m:t>
                  </m:r>
                </m:sub>
              </m:sSub>
              <m:r>
                <w:rPr>
                  <w:rFonts w:ascii="Cambria Math" w:eastAsia="宋体" w:hAnsi="Cambria Math" w:cs="Times New Roman"/>
                  <w:color w:val="000000" w:themeColor="text1"/>
                </w:rPr>
                <m:t>-</m:t>
              </m:r>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C</m:t>
                  </m:r>
                </m:e>
                <m:sub>
                  <m:r>
                    <w:rPr>
                      <w:rFonts w:ascii="Cambria Math" w:eastAsia="宋体" w:hAnsi="Cambria Math" w:cs="Times New Roman"/>
                      <w:color w:val="000000" w:themeColor="text1"/>
                    </w:rPr>
                    <m:t>t</m:t>
                  </m:r>
                </m:sub>
              </m:sSub>
              <m:r>
                <w:rPr>
                  <w:rFonts w:ascii="Cambria Math" w:eastAsia="宋体" w:hAnsi="Cambria Math" w:cs="Times New Roman"/>
                  <w:color w:val="000000" w:themeColor="text1"/>
                </w:rPr>
                <m:t>）</m:t>
              </m:r>
              <m:r>
                <w:rPr>
                  <w:rFonts w:ascii="Cambria Math" w:eastAsia="宋体" w:hAnsi="Cambria Math" w:cs="Times New Roman"/>
                  <w:color w:val="000000" w:themeColor="text1"/>
                </w:rPr>
                <m:t>V</m:t>
              </m:r>
            </m:num>
            <m:den>
              <m:r>
                <w:rPr>
                  <w:rFonts w:ascii="Cambria Math" w:eastAsia="宋体" w:hAnsi="Cambria Math" w:cs="Times New Roman"/>
                  <w:color w:val="000000" w:themeColor="text1"/>
                </w:rPr>
                <m:t>W</m:t>
              </m:r>
            </m:den>
          </m:f>
          <m:r>
            <w:rPr>
              <w:rFonts w:ascii="Cambria Math" w:eastAsia="宋体" w:hAnsi="Cambria Math" w:cs="Times New Roman"/>
              <w:color w:val="000000" w:themeColor="text1"/>
            </w:rPr>
            <m:t xml:space="preserve">                                     </m:t>
          </m:r>
          <m:r>
            <m:rPr>
              <m:sty m:val="p"/>
            </m:rPr>
            <w:rPr>
              <w:rFonts w:ascii="Cambria Math" w:eastAsia="宋体" w:hAnsi="Cambria Math" w:cs="Times New Roman"/>
              <w:color w:val="000000" w:themeColor="text1"/>
            </w:rPr>
            <m:t>Eq.   (S1)</m:t>
          </m:r>
        </m:oMath>
      </m:oMathPara>
    </w:p>
    <w:p w14:paraId="52EDDE50" w14:textId="270E790A" w:rsidR="0027378F" w:rsidRPr="0026720E" w:rsidRDefault="00445426" w:rsidP="004A1AC1">
      <w:pPr>
        <w:tabs>
          <w:tab w:val="left" w:pos="2661"/>
        </w:tabs>
        <w:spacing w:line="480" w:lineRule="auto"/>
        <w:ind w:leftChars="200" w:left="480" w:firstLineChars="200" w:firstLine="480"/>
        <w:rPr>
          <w:rFonts w:eastAsia="宋体" w:cs="Times New Roman"/>
          <w:i/>
          <w:iCs/>
          <w:color w:val="000000" w:themeColor="text1"/>
        </w:rPr>
      </w:pPr>
      <m:oMathPara>
        <m:oMathParaPr>
          <m:jc m:val="center"/>
        </m:oMathParaPr>
        <m:oMath>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e</m:t>
              </m:r>
            </m:sub>
          </m:sSub>
          <m:r>
            <w:rPr>
              <w:rFonts w:ascii="Cambria Math" w:eastAsia="宋体" w:hAnsi="Cambria Math" w:cs="Times New Roman"/>
              <w:color w:val="000000" w:themeColor="text1"/>
            </w:rPr>
            <m:t>=</m:t>
          </m:r>
          <m:f>
            <m:fPr>
              <m:ctrlPr>
                <w:rPr>
                  <w:rFonts w:ascii="Cambria Math" w:eastAsia="宋体" w:hAnsi="Cambria Math" w:cs="Times New Roman"/>
                  <w:i/>
                  <w:iCs/>
                  <w:color w:val="000000" w:themeColor="text1"/>
                </w:rPr>
              </m:ctrlPr>
            </m:fPr>
            <m:num>
              <m:r>
                <w:rPr>
                  <w:rFonts w:ascii="Cambria Math" w:eastAsia="宋体" w:hAnsi="Cambria Math" w:cs="Times New Roman"/>
                  <w:color w:val="000000" w:themeColor="text1"/>
                </w:rPr>
                <m:t>（</m:t>
              </m:r>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C</m:t>
                  </m:r>
                </m:e>
                <m:sub>
                  <m:r>
                    <w:rPr>
                      <w:rFonts w:ascii="Cambria Math" w:eastAsia="宋体" w:hAnsi="Cambria Math" w:cs="Times New Roman"/>
                      <w:color w:val="000000" w:themeColor="text1"/>
                    </w:rPr>
                    <m:t>0</m:t>
                  </m:r>
                </m:sub>
              </m:sSub>
              <m:r>
                <w:rPr>
                  <w:rFonts w:ascii="Cambria Math" w:eastAsia="宋体" w:hAnsi="Cambria Math" w:cs="Times New Roman"/>
                  <w:color w:val="000000" w:themeColor="text1"/>
                </w:rPr>
                <m:t>-</m:t>
              </m:r>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C</m:t>
                  </m:r>
                </m:e>
                <m:sub>
                  <m:r>
                    <w:rPr>
                      <w:rFonts w:ascii="Cambria Math" w:eastAsia="宋体" w:hAnsi="Cambria Math" w:cs="Times New Roman"/>
                      <w:color w:val="000000" w:themeColor="text1"/>
                    </w:rPr>
                    <m:t>e</m:t>
                  </m:r>
                </m:sub>
              </m:sSub>
              <m:r>
                <w:rPr>
                  <w:rFonts w:ascii="Cambria Math" w:eastAsia="宋体" w:hAnsi="Cambria Math" w:cs="Times New Roman"/>
                  <w:color w:val="000000" w:themeColor="text1"/>
                </w:rPr>
                <m:t>）</m:t>
              </m:r>
              <m:r>
                <w:rPr>
                  <w:rFonts w:ascii="Cambria Math" w:eastAsia="宋体" w:hAnsi="Cambria Math" w:cs="Times New Roman"/>
                  <w:color w:val="000000" w:themeColor="text1"/>
                </w:rPr>
                <m:t>V</m:t>
              </m:r>
            </m:num>
            <m:den>
              <m:r>
                <w:rPr>
                  <w:rFonts w:ascii="Cambria Math" w:eastAsia="宋体" w:hAnsi="Cambria Math" w:cs="Times New Roman"/>
                  <w:color w:val="000000" w:themeColor="text1"/>
                </w:rPr>
                <m:t>W</m:t>
              </m:r>
            </m:den>
          </m:f>
          <m:r>
            <w:rPr>
              <w:rFonts w:ascii="Cambria Math" w:eastAsia="宋体" w:hAnsi="Cambria Math" w:cs="Times New Roman"/>
              <w:color w:val="000000" w:themeColor="text1"/>
            </w:rPr>
            <m:t xml:space="preserve">                                    </m:t>
          </m:r>
          <m:r>
            <m:rPr>
              <m:sty m:val="p"/>
            </m:rPr>
            <w:rPr>
              <w:rFonts w:ascii="Cambria Math" w:eastAsia="宋体" w:hAnsi="Cambria Math" w:cs="Times New Roman"/>
              <w:color w:val="000000" w:themeColor="text1"/>
            </w:rPr>
            <m:t>Eq.  (S2)</m:t>
          </m:r>
        </m:oMath>
      </m:oMathPara>
    </w:p>
    <w:p w14:paraId="0A7697E1" w14:textId="0774CDF9" w:rsidR="0027378F" w:rsidRPr="0026720E" w:rsidRDefault="00445426" w:rsidP="004A1AC1">
      <w:pPr>
        <w:tabs>
          <w:tab w:val="left" w:pos="2661"/>
        </w:tabs>
        <w:spacing w:line="480" w:lineRule="auto"/>
        <w:ind w:leftChars="200" w:left="480" w:firstLineChars="200" w:firstLine="480"/>
        <w:rPr>
          <w:rFonts w:eastAsia="宋体" w:cs="Times New Roman"/>
          <w:i/>
          <w:iCs/>
          <w:color w:val="000000" w:themeColor="text1"/>
        </w:rPr>
      </w:pPr>
      <m:oMathPara>
        <m:oMathParaPr>
          <m:jc m:val="center"/>
        </m:oMathParaPr>
        <m:oMath>
          <m:func>
            <m:funcPr>
              <m:ctrlPr>
                <w:rPr>
                  <w:rFonts w:ascii="Cambria Math" w:eastAsia="宋体" w:hAnsi="Cambria Math" w:cs="Times New Roman"/>
                  <w:i/>
                  <w:iCs/>
                  <w:color w:val="000000" w:themeColor="text1"/>
                </w:rPr>
              </m:ctrlPr>
            </m:funcPr>
            <m:fName>
              <m:r>
                <w:rPr>
                  <w:rFonts w:ascii="Cambria Math" w:eastAsia="宋体" w:hAnsi="Cambria Math" w:cs="Times New Roman"/>
                  <w:color w:val="000000" w:themeColor="text1"/>
                </w:rPr>
                <m:t>log</m:t>
              </m:r>
            </m:fName>
            <m:e>
              <m:d>
                <m:dPr>
                  <m:begChr m:val="（"/>
                  <m:endChr m:val="）"/>
                  <m:ctrlPr>
                    <w:rPr>
                      <w:rFonts w:ascii="Cambria Math" w:eastAsia="宋体" w:hAnsi="Cambria Math" w:cs="Times New Roman"/>
                      <w:i/>
                      <w:iCs/>
                      <w:color w:val="000000" w:themeColor="text1"/>
                    </w:rPr>
                  </m:ctrlPr>
                </m:dPr>
                <m:e>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e</m:t>
                      </m:r>
                    </m:sub>
                  </m:sSub>
                  <m:r>
                    <w:rPr>
                      <w:rFonts w:ascii="Cambria Math" w:eastAsia="微软雅黑" w:hAnsi="Cambria Math" w:cs="Times New Roman"/>
                      <w:color w:val="000000" w:themeColor="text1"/>
                    </w:rPr>
                    <m:t>-</m:t>
                  </m:r>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t</m:t>
                      </m:r>
                    </m:sub>
                  </m:sSub>
                </m:e>
              </m:d>
            </m:e>
          </m:func>
          <m:r>
            <w:rPr>
              <w:rFonts w:ascii="Cambria Math" w:eastAsia="宋体" w:hAnsi="Cambria Math" w:cs="Times New Roman"/>
              <w:color w:val="000000" w:themeColor="text1"/>
            </w:rPr>
            <m:t>=log</m:t>
          </m:r>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e</m:t>
              </m:r>
            </m:sub>
          </m:sSub>
          <m:r>
            <w:rPr>
              <w:rFonts w:ascii="Cambria Math" w:eastAsia="微软雅黑" w:hAnsi="Cambria Math" w:cs="Times New Roman"/>
              <w:color w:val="000000" w:themeColor="text1"/>
            </w:rPr>
            <m:t>-</m:t>
          </m:r>
          <m:f>
            <m:fPr>
              <m:ctrlPr>
                <w:rPr>
                  <w:rFonts w:ascii="Cambria Math" w:eastAsia="宋体" w:hAnsi="Cambria Math" w:cs="Times New Roman"/>
                  <w:i/>
                  <w:iCs/>
                  <w:color w:val="000000" w:themeColor="text1"/>
                </w:rPr>
              </m:ctrlPr>
            </m:fPr>
            <m:num>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k</m:t>
                  </m:r>
                </m:e>
                <m:sub>
                  <m:r>
                    <w:rPr>
                      <w:rFonts w:ascii="Cambria Math" w:eastAsia="宋体" w:hAnsi="Cambria Math" w:cs="Times New Roman"/>
                      <w:color w:val="000000" w:themeColor="text1"/>
                    </w:rPr>
                    <m:t>1</m:t>
                  </m:r>
                </m:sub>
              </m:sSub>
            </m:num>
            <m:den>
              <m:r>
                <w:rPr>
                  <w:rFonts w:ascii="Cambria Math" w:eastAsia="宋体" w:hAnsi="Cambria Math" w:cs="Times New Roman"/>
                  <w:color w:val="000000" w:themeColor="text1"/>
                </w:rPr>
                <m:t>2.303</m:t>
              </m:r>
            </m:den>
          </m:f>
          <m:r>
            <w:rPr>
              <w:rFonts w:ascii="Cambria Math" w:eastAsia="宋体" w:hAnsi="Cambria Math" w:cs="Times New Roman"/>
              <w:color w:val="000000" w:themeColor="text1"/>
            </w:rPr>
            <m:t xml:space="preserve">t           </m:t>
          </m:r>
          <m:r>
            <m:rPr>
              <m:sty m:val="p"/>
            </m:rPr>
            <w:rPr>
              <w:rFonts w:ascii="Cambria Math" w:eastAsia="宋体" w:hAnsi="Cambria Math" w:cs="Times New Roman"/>
              <w:color w:val="000000" w:themeColor="text1"/>
            </w:rPr>
            <m:t xml:space="preserve">  Eq.  (S3)</m:t>
          </m:r>
        </m:oMath>
      </m:oMathPara>
    </w:p>
    <w:p w14:paraId="02AD4D09" w14:textId="726AD4DB" w:rsidR="0027378F" w:rsidRPr="0026720E" w:rsidRDefault="00445426" w:rsidP="004A1AC1">
      <w:pPr>
        <w:tabs>
          <w:tab w:val="left" w:pos="2661"/>
        </w:tabs>
        <w:spacing w:line="480" w:lineRule="auto"/>
        <w:ind w:leftChars="200" w:left="480" w:firstLineChars="200" w:firstLine="480"/>
        <w:rPr>
          <w:rFonts w:eastAsia="宋体" w:cs="Times New Roman"/>
          <w:i/>
          <w:iCs/>
          <w:color w:val="000000" w:themeColor="text1"/>
        </w:rPr>
      </w:pPr>
      <m:oMathPara>
        <m:oMathParaPr>
          <m:jc m:val="center"/>
        </m:oMathParaPr>
        <m:oMath>
          <m:f>
            <m:fPr>
              <m:ctrlPr>
                <w:rPr>
                  <w:rFonts w:ascii="Cambria Math" w:eastAsia="宋体" w:hAnsi="Cambria Math" w:cs="Times New Roman"/>
                  <w:i/>
                  <w:iCs/>
                  <w:color w:val="000000" w:themeColor="text1"/>
                </w:rPr>
              </m:ctrlPr>
            </m:fPr>
            <m:num>
              <m:r>
                <w:rPr>
                  <w:rFonts w:ascii="Cambria Math" w:eastAsia="宋体" w:hAnsi="Cambria Math" w:cs="Times New Roman"/>
                  <w:color w:val="000000" w:themeColor="text1"/>
                </w:rPr>
                <m:t>t</m:t>
              </m:r>
            </m:num>
            <m:den>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t</m:t>
                  </m:r>
                </m:sub>
              </m:sSub>
            </m:den>
          </m:f>
          <m:r>
            <w:rPr>
              <w:rFonts w:ascii="Cambria Math" w:eastAsia="宋体" w:hAnsi="Cambria Math" w:cs="Times New Roman"/>
              <w:color w:val="000000" w:themeColor="text1"/>
            </w:rPr>
            <m:t>=</m:t>
          </m:r>
          <m:f>
            <m:fPr>
              <m:ctrlPr>
                <w:rPr>
                  <w:rFonts w:ascii="Cambria Math" w:eastAsia="宋体" w:hAnsi="Cambria Math" w:cs="Times New Roman"/>
                  <w:i/>
                  <w:iCs/>
                  <w:color w:val="000000" w:themeColor="text1"/>
                </w:rPr>
              </m:ctrlPr>
            </m:fPr>
            <m:num>
              <m:r>
                <w:rPr>
                  <w:rFonts w:ascii="Cambria Math" w:eastAsia="宋体" w:hAnsi="Cambria Math" w:cs="Times New Roman"/>
                  <w:color w:val="000000" w:themeColor="text1"/>
                </w:rPr>
                <m:t>1</m:t>
              </m:r>
            </m:num>
            <m:den>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k</m:t>
                  </m:r>
                </m:e>
                <m:sub>
                  <m:r>
                    <w:rPr>
                      <w:rFonts w:ascii="Cambria Math" w:eastAsia="宋体" w:hAnsi="Cambria Math" w:cs="Times New Roman"/>
                      <w:color w:val="000000" w:themeColor="text1"/>
                    </w:rPr>
                    <m:t>2</m:t>
                  </m:r>
                </m:sub>
              </m:sSub>
              <m:sSubSup>
                <m:sSubSupPr>
                  <m:ctrlPr>
                    <w:rPr>
                      <w:rFonts w:ascii="Cambria Math" w:eastAsia="宋体" w:hAnsi="Cambria Math" w:cs="Times New Roman"/>
                      <w:i/>
                      <w:iCs/>
                      <w:color w:val="000000" w:themeColor="text1"/>
                    </w:rPr>
                  </m:ctrlPr>
                </m:sSubSup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e</m:t>
                  </m:r>
                </m:sub>
                <m:sup>
                  <m:r>
                    <w:rPr>
                      <w:rFonts w:ascii="Cambria Math" w:eastAsia="宋体" w:hAnsi="Cambria Math" w:cs="Times New Roman"/>
                      <w:color w:val="000000" w:themeColor="text1"/>
                    </w:rPr>
                    <m:t>2</m:t>
                  </m:r>
                </m:sup>
              </m:sSubSup>
            </m:den>
          </m:f>
          <m:r>
            <w:rPr>
              <w:rFonts w:ascii="Cambria Math" w:eastAsia="宋体" w:hAnsi="Cambria Math" w:cs="Times New Roman"/>
              <w:color w:val="000000" w:themeColor="text1"/>
            </w:rPr>
            <m:t>+</m:t>
          </m:r>
          <m:f>
            <m:fPr>
              <m:ctrlPr>
                <w:rPr>
                  <w:rFonts w:ascii="Cambria Math" w:eastAsia="宋体" w:hAnsi="Cambria Math" w:cs="Times New Roman"/>
                  <w:i/>
                  <w:iCs/>
                  <w:color w:val="000000" w:themeColor="text1"/>
                </w:rPr>
              </m:ctrlPr>
            </m:fPr>
            <m:num>
              <m:r>
                <w:rPr>
                  <w:rFonts w:ascii="Cambria Math" w:eastAsia="宋体" w:hAnsi="Cambria Math" w:cs="Times New Roman"/>
                  <w:color w:val="000000" w:themeColor="text1"/>
                </w:rPr>
                <m:t>t</m:t>
              </m:r>
            </m:num>
            <m:den>
              <m:sSub>
                <m:sSubPr>
                  <m:ctrlPr>
                    <w:rPr>
                      <w:rFonts w:ascii="Cambria Math" w:eastAsia="宋体" w:hAnsi="Cambria Math" w:cs="Times New Roman"/>
                      <w:i/>
                      <w:iCs/>
                      <w:color w:val="000000" w:themeColor="text1"/>
                    </w:rPr>
                  </m:ctrlPr>
                </m:sSubPr>
                <m:e>
                  <m:r>
                    <w:rPr>
                      <w:rFonts w:ascii="Cambria Math" w:eastAsia="宋体" w:hAnsi="Cambria Math" w:cs="Times New Roman"/>
                      <w:color w:val="000000" w:themeColor="text1"/>
                    </w:rPr>
                    <m:t>q</m:t>
                  </m:r>
                </m:e>
                <m:sub>
                  <m:r>
                    <w:rPr>
                      <w:rFonts w:ascii="Cambria Math" w:eastAsia="宋体" w:hAnsi="Cambria Math" w:cs="Times New Roman"/>
                      <w:color w:val="000000" w:themeColor="text1"/>
                    </w:rPr>
                    <m:t>e</m:t>
                  </m:r>
                </m:sub>
              </m:sSub>
            </m:den>
          </m:f>
          <m:r>
            <w:rPr>
              <w:rFonts w:ascii="Cambria Math" w:eastAsia="宋体" w:hAnsi="Cambria Math" w:cs="Times New Roman"/>
              <w:color w:val="000000" w:themeColor="text1"/>
            </w:rPr>
            <m:t xml:space="preserve">                                          </m:t>
          </m:r>
          <m:r>
            <m:rPr>
              <m:sty m:val="p"/>
            </m:rPr>
            <w:rPr>
              <w:rFonts w:ascii="Cambria Math" w:eastAsia="宋体" w:hAnsi="Cambria Math" w:cs="Times New Roman"/>
              <w:color w:val="000000" w:themeColor="text1"/>
            </w:rPr>
            <m:t xml:space="preserve"> Eq.   (S4)</m:t>
          </m:r>
        </m:oMath>
      </m:oMathPara>
    </w:p>
    <w:p w14:paraId="1395A536" w14:textId="59FEA5E1" w:rsidR="0027378F" w:rsidRDefault="0027378F" w:rsidP="001C16B4">
      <w:pPr>
        <w:pStyle w:val="3-mainbody-ENG"/>
        <w:ind w:firstLine="210"/>
      </w:pPr>
      <w:r w:rsidRPr="0026720E">
        <w:t xml:space="preserve">The quantity of </w:t>
      </w:r>
      <w:proofErr w:type="spellStart"/>
      <w:r w:rsidRPr="0026720E">
        <w:t>R</w:t>
      </w:r>
      <w:r w:rsidRPr="0026720E">
        <w:rPr>
          <w:rFonts w:hint="eastAsia"/>
        </w:rPr>
        <w:t>h</w:t>
      </w:r>
      <w:r w:rsidRPr="0026720E">
        <w:t>B</w:t>
      </w:r>
      <w:proofErr w:type="spellEnd"/>
      <w:r w:rsidRPr="0026720E">
        <w:t xml:space="preserve"> a</w:t>
      </w:r>
      <w:r w:rsidRPr="0026720E">
        <w:rPr>
          <w:rFonts w:hint="eastAsia"/>
        </w:rPr>
        <w:t>b</w:t>
      </w:r>
      <w:r w:rsidRPr="0026720E">
        <w:t xml:space="preserve">sorbed onto the </w:t>
      </w:r>
      <w:r w:rsidRPr="0026720E">
        <w:rPr>
          <w:rFonts w:hint="eastAsia"/>
        </w:rPr>
        <w:t>catalyst</w:t>
      </w:r>
      <w:r w:rsidRPr="0026720E">
        <w:t>s at time t [q</w:t>
      </w:r>
      <w:r w:rsidRPr="0026720E">
        <w:rPr>
          <w:vertAlign w:val="subscript"/>
        </w:rPr>
        <w:t>t</w:t>
      </w:r>
      <w:r w:rsidRPr="0026720E">
        <w:t xml:space="preserve"> (mg/g)] was calculated by Eq. </w:t>
      </w:r>
      <w:r w:rsidR="007B778B" w:rsidRPr="0026720E">
        <w:t>(</w:t>
      </w:r>
      <w:r w:rsidR="0091114D">
        <w:t>S</w:t>
      </w:r>
      <w:r w:rsidRPr="0026720E">
        <w:t>1</w:t>
      </w:r>
      <w:r w:rsidR="007B778B" w:rsidRPr="0026720E">
        <w:t>)</w:t>
      </w:r>
      <w:r w:rsidRPr="0026720E">
        <w:t xml:space="preserve">. The </w:t>
      </w:r>
      <w:proofErr w:type="spellStart"/>
      <w:r w:rsidRPr="0026720E">
        <w:t>R</w:t>
      </w:r>
      <w:r w:rsidRPr="0026720E">
        <w:rPr>
          <w:rFonts w:hint="eastAsia"/>
        </w:rPr>
        <w:t>h</w:t>
      </w:r>
      <w:r w:rsidRPr="0026720E">
        <w:t>B</w:t>
      </w:r>
      <w:proofErr w:type="spellEnd"/>
      <w:r w:rsidRPr="0026720E">
        <w:t xml:space="preserve"> adsorption amount at equilibrium, </w:t>
      </w:r>
      <w:proofErr w:type="spellStart"/>
      <w:r w:rsidRPr="0026720E">
        <w:t>q</w:t>
      </w:r>
      <w:r w:rsidRPr="0026720E">
        <w:rPr>
          <w:vertAlign w:val="subscript"/>
        </w:rPr>
        <w:t>e</w:t>
      </w:r>
      <w:proofErr w:type="spellEnd"/>
      <w:r w:rsidRPr="0026720E">
        <w:rPr>
          <w:rFonts w:hint="eastAsia"/>
        </w:rPr>
        <w:t xml:space="preserve"> </w:t>
      </w:r>
      <w:r w:rsidRPr="0026720E">
        <w:t xml:space="preserve">(mg/g), was calculated by </w:t>
      </w:r>
      <w:bookmarkStart w:id="30" w:name="_Hlk22375923"/>
      <w:r w:rsidRPr="0026720E">
        <w:t xml:space="preserve">Eq. </w:t>
      </w:r>
      <w:r w:rsidR="007B778B" w:rsidRPr="0026720E">
        <w:t>(</w:t>
      </w:r>
      <w:r w:rsidR="0091114D">
        <w:t>S</w:t>
      </w:r>
      <w:r w:rsidRPr="0026720E">
        <w:t>2</w:t>
      </w:r>
      <w:bookmarkEnd w:id="30"/>
      <w:r w:rsidR="007B778B" w:rsidRPr="0026720E">
        <w:t>)</w:t>
      </w:r>
      <w:r w:rsidRPr="0026720E">
        <w:rPr>
          <w:rFonts w:hint="eastAsia"/>
        </w:rPr>
        <w:t xml:space="preserve">, </w:t>
      </w:r>
      <w:r w:rsidRPr="0026720E">
        <w:t>where C</w:t>
      </w:r>
      <w:r w:rsidRPr="0026720E">
        <w:rPr>
          <w:vertAlign w:val="subscript"/>
        </w:rPr>
        <w:t>0</w:t>
      </w:r>
      <w:r w:rsidRPr="0026720E">
        <w:t xml:space="preserve"> and C</w:t>
      </w:r>
      <w:r w:rsidRPr="0026720E">
        <w:rPr>
          <w:vertAlign w:val="subscript"/>
        </w:rPr>
        <w:t>t</w:t>
      </w:r>
      <w:r w:rsidRPr="0026720E">
        <w:t xml:space="preserve"> and C</w:t>
      </w:r>
      <w:r w:rsidRPr="0026720E">
        <w:rPr>
          <w:vertAlign w:val="subscript"/>
        </w:rPr>
        <w:t>e</w:t>
      </w:r>
      <w:r w:rsidRPr="0026720E">
        <w:rPr>
          <w:rFonts w:hint="eastAsia"/>
        </w:rPr>
        <w:t xml:space="preserve"> </w:t>
      </w:r>
      <w:r w:rsidRPr="0026720E">
        <w:t xml:space="preserve">(all in the unit of mg/L) are </w:t>
      </w:r>
      <w:bookmarkStart w:id="31" w:name="_Hlk93482172"/>
      <w:proofErr w:type="spellStart"/>
      <w:r w:rsidRPr="0026720E">
        <w:t>RhB</w:t>
      </w:r>
      <w:proofErr w:type="spellEnd"/>
      <w:r w:rsidRPr="0026720E">
        <w:t xml:space="preserve"> concentrations initially</w:t>
      </w:r>
      <w:bookmarkEnd w:id="31"/>
      <w:r w:rsidRPr="0026720E">
        <w:t xml:space="preserve">, at time t, and equilibrium. And V (L) and W (g) are the </w:t>
      </w:r>
      <w:proofErr w:type="spellStart"/>
      <w:r w:rsidRPr="0026720E">
        <w:t>RhB</w:t>
      </w:r>
      <w:proofErr w:type="spellEnd"/>
      <w:r w:rsidRPr="0026720E">
        <w:t xml:space="preserve"> solution volume and the adsorbent mass, respectively.</w:t>
      </w:r>
      <w:r w:rsidRPr="0026720E">
        <w:rPr>
          <w:rFonts w:hint="eastAsia"/>
        </w:rPr>
        <w:t xml:space="preserve"> </w:t>
      </w:r>
      <w:r w:rsidRPr="0026720E">
        <w:t xml:space="preserve">Where </w:t>
      </w:r>
      <w:bookmarkStart w:id="32" w:name="_Hlk93481039"/>
      <w:r w:rsidRPr="00630218">
        <w:rPr>
          <w:i/>
          <w:iCs/>
        </w:rPr>
        <w:t>k</w:t>
      </w:r>
      <w:r w:rsidRPr="0026720E">
        <w:rPr>
          <w:vertAlign w:val="subscript"/>
        </w:rPr>
        <w:t>1</w:t>
      </w:r>
      <w:r w:rsidRPr="0026720E">
        <w:t xml:space="preserve"> (min</w:t>
      </w:r>
      <w:r w:rsidRPr="0026720E">
        <w:rPr>
          <w:vertAlign w:val="superscript"/>
        </w:rPr>
        <w:t>−1</w:t>
      </w:r>
      <w:r w:rsidRPr="0026720E">
        <w:t xml:space="preserve">) and </w:t>
      </w:r>
      <w:r w:rsidRPr="00630218">
        <w:rPr>
          <w:i/>
          <w:iCs/>
        </w:rPr>
        <w:t>k</w:t>
      </w:r>
      <w:r w:rsidRPr="0026720E">
        <w:rPr>
          <w:vertAlign w:val="subscript"/>
        </w:rPr>
        <w:t>2</w:t>
      </w:r>
      <w:r w:rsidRPr="0026720E">
        <w:t xml:space="preserve"> (g</w:t>
      </w:r>
      <w:r w:rsidRPr="0026720E">
        <w:sym w:font="Symbol" w:char="F0D7"/>
      </w:r>
      <w:r w:rsidRPr="0026720E">
        <w:t>mg</w:t>
      </w:r>
      <w:r w:rsidRPr="0026720E">
        <w:rPr>
          <w:vertAlign w:val="superscript"/>
        </w:rPr>
        <w:t>−1</w:t>
      </w:r>
      <w:r w:rsidRPr="0026720E">
        <w:sym w:font="Symbol" w:char="F0D7"/>
      </w:r>
      <w:r w:rsidRPr="0026720E">
        <w:t>min</w:t>
      </w:r>
      <w:r w:rsidRPr="0026720E">
        <w:rPr>
          <w:vertAlign w:val="superscript"/>
        </w:rPr>
        <w:t>−1</w:t>
      </w:r>
      <w:r w:rsidRPr="0026720E">
        <w:t>) are the adsorption rate constants of the pseudo-first-order and the pseudo-second-order models, respectively</w:t>
      </w:r>
      <w:bookmarkEnd w:id="32"/>
      <w:r w:rsidRPr="0026720E">
        <w:t>.</w:t>
      </w:r>
    </w:p>
    <w:p w14:paraId="1F68CEB8" w14:textId="62311362" w:rsidR="005C095B" w:rsidRPr="0026720E" w:rsidRDefault="005C095B" w:rsidP="001C16B4">
      <w:pPr>
        <w:pStyle w:val="0-1-ENG"/>
        <w:spacing w:before="163" w:after="163"/>
      </w:pPr>
      <w:bookmarkStart w:id="33" w:name="OLE_LINK368"/>
      <w:bookmarkStart w:id="34" w:name="OLE_LINK369"/>
      <w:bookmarkStart w:id="35" w:name="OLE_LINK376"/>
      <w:bookmarkStart w:id="36" w:name="OLE_LINK408"/>
      <w:r w:rsidRPr="0026720E">
        <w:t>Text</w:t>
      </w:r>
      <w:r w:rsidR="008F379F">
        <w:t xml:space="preserve"> S</w:t>
      </w:r>
      <w:r w:rsidR="00A516BA">
        <w:t>3</w:t>
      </w:r>
      <w:r w:rsidRPr="0026720E">
        <w:t xml:space="preserve">. Adsorption </w:t>
      </w:r>
      <w:r w:rsidR="00E51E10" w:rsidRPr="0026720E">
        <w:rPr>
          <w:rFonts w:hint="eastAsia"/>
        </w:rPr>
        <w:t>isotherm</w:t>
      </w:r>
      <w:r w:rsidR="00E51E10" w:rsidRPr="0026720E">
        <w:t xml:space="preserve"> </w:t>
      </w:r>
      <w:r w:rsidR="00E51E10" w:rsidRPr="0026720E">
        <w:rPr>
          <w:rFonts w:hint="eastAsia"/>
        </w:rPr>
        <w:t>models</w:t>
      </w:r>
      <w:r w:rsidRPr="0026720E">
        <w:rPr>
          <w:rFonts w:hint="eastAsia"/>
        </w:rPr>
        <w:t>.</w:t>
      </w:r>
      <w:r w:rsidRPr="0026720E">
        <w:t xml:space="preserve"> </w:t>
      </w:r>
    </w:p>
    <w:bookmarkEnd w:id="33"/>
    <w:bookmarkEnd w:id="34"/>
    <w:bookmarkEnd w:id="35"/>
    <w:p w14:paraId="66659AE1" w14:textId="672027B5" w:rsidR="00DE7795" w:rsidRPr="0026720E" w:rsidRDefault="00E51E10" w:rsidP="001C16B4">
      <w:pPr>
        <w:pStyle w:val="3-mainbody-ENG"/>
        <w:ind w:firstLine="210"/>
      </w:pPr>
      <w:r w:rsidRPr="0026720E">
        <w:rPr>
          <w:b/>
          <w:bCs/>
        </w:rPr>
        <w:t xml:space="preserve">(a) </w:t>
      </w:r>
      <w:bookmarkStart w:id="37" w:name="OLE_LINK349"/>
      <w:bookmarkStart w:id="38" w:name="OLE_LINK350"/>
      <w:proofErr w:type="spellStart"/>
      <w:r w:rsidRPr="0026720E">
        <w:t>Dubinin</w:t>
      </w:r>
      <w:proofErr w:type="spellEnd"/>
      <w:r w:rsidRPr="0026720E">
        <w:t>–</w:t>
      </w:r>
      <w:proofErr w:type="spellStart"/>
      <w:r w:rsidRPr="0026720E">
        <w:t>Redushckevich</w:t>
      </w:r>
      <w:proofErr w:type="spellEnd"/>
      <w:r w:rsidRPr="0026720E">
        <w:t xml:space="preserve"> (D–R) model</w:t>
      </w:r>
      <w:bookmarkEnd w:id="37"/>
      <w:bookmarkEnd w:id="38"/>
      <w:r w:rsidR="00D2220A" w:rsidRPr="0026720E">
        <w:t>:</w:t>
      </w:r>
    </w:p>
    <w:p w14:paraId="4368654A" w14:textId="7C77F505" w:rsidR="00E51E10" w:rsidRPr="0026720E" w:rsidRDefault="00E51E10" w:rsidP="001C16B4">
      <w:pPr>
        <w:pStyle w:val="3-mainbody-ENG"/>
        <w:ind w:firstLine="210"/>
      </w:pPr>
      <w:proofErr w:type="spellStart"/>
      <w:r w:rsidRPr="0026720E">
        <w:t>Dubinin</w:t>
      </w:r>
      <w:proofErr w:type="spellEnd"/>
      <w:r w:rsidRPr="0026720E">
        <w:t>–</w:t>
      </w:r>
      <w:proofErr w:type="spellStart"/>
      <w:r w:rsidRPr="0026720E">
        <w:t>Redushckevich</w:t>
      </w:r>
      <w:proofErr w:type="spellEnd"/>
      <w:r w:rsidRPr="0026720E">
        <w:t xml:space="preserve"> (D–R) model is applied to further reveal the mechanism of the adsorption process whether it is physical or chemical. It is reported that </w:t>
      </w:r>
      <w:r w:rsidRPr="0026720E">
        <w:fldChar w:fldCharType="begin" w:fldLock="1"/>
      </w:r>
      <w:r w:rsidR="00E304DE" w:rsidRPr="0026720E">
        <w:instrText>ADDIN CSL_CITATION {"citationItems":[{"id":"ITEM-1","itemData":{"DOI":"10.1007/s00128-009-9899-x","ISSN":"0007-4861","abstract":"The sorption characteristics of gyttja to remove copper (Cu 2+) ions from aqueous solutions were satisfactorily described with the Freundlich, Langmuir and Dubinin-Redushckevich (D-R) models. The sorption capacity (q max) of gyttja was 11.76 mg g -1. The D-R model indicated that the sorption of Cu 2+ by gyttja was almost taken place by chemisorption. Thermodynamic parameters such as change in free energy (ΔG), enthalpy (ΔH), and entropy (ΔS) suggested that the adsorption process of Cu 2+ by gyttja was feasible, spontaneous and endothermic in nature. Kinetic examination of the equilibrium data showed that the sorption processes of Cu 2+ ions followed well pseudo-second-order kinetics model. © 2009 Springer Science+Business Media, LLC.","author":[{"dropping-particle":"","family":"Dikici","given":"Hüseyin","non-dropping-particle":"","parse-names":false,"suffix":""},{"dropping-particle":"","family":"Saltali","given":"Kadir","non-dropping-particle":"","parse-names":false,"suffix":""},{"dropping-particle":"","family":"Bingölbalı","given":"Serap","non-dropping-particle":"","parse-names":false,"suffix":""}],"container-title":"Bulletin of Environmental Contamination and Toxicology","id":"ITEM-1","issue":"1","issued":{"date-parts":[["2010","1","12"]]},"page":"147-151","title":"Equilibrium and Kinetics Characteristics of Copper (II) Sorption onto Gyttja","type":"article-journal","volume":"84"},"uris":["http://www.mendeley.com/documents/?uuid=7a3a64d9-ca19-3c77-a714-71d27e83c634"]}],"mendeley":{"formattedCitation":"[1]","plainTextFormattedCitation":"[1]","previouslyFormattedCitation":"[1]"},"properties":{"noteIndex":0},"schema":"https://github.com/citation-style-language/schema/raw/master/csl-citation.json"}</w:instrText>
      </w:r>
      <w:r w:rsidRPr="0026720E">
        <w:fldChar w:fldCharType="separate"/>
      </w:r>
      <w:r w:rsidR="009F4A30" w:rsidRPr="0026720E">
        <w:rPr>
          <w:noProof/>
        </w:rPr>
        <w:t>[1]</w:t>
      </w:r>
      <w:r w:rsidRPr="0026720E">
        <w:fldChar w:fldCharType="end"/>
      </w:r>
      <w:r w:rsidRPr="0026720E">
        <w:t xml:space="preserve"> the D–R isotherm is more general than the Langmuir isotherm, because it does not assume a homogeneous surface or constant adsorption potential. The equilibrium data were also examined by the </w:t>
      </w:r>
      <w:proofErr w:type="spellStart"/>
      <w:r w:rsidRPr="0026720E">
        <w:t>Dubinin</w:t>
      </w:r>
      <w:proofErr w:type="spellEnd"/>
      <w:r w:rsidRPr="0026720E">
        <w:t>–</w:t>
      </w:r>
      <w:proofErr w:type="spellStart"/>
      <w:r w:rsidRPr="0026720E">
        <w:t>Radushkevich</w:t>
      </w:r>
      <w:proofErr w:type="spellEnd"/>
      <w:r w:rsidRPr="0026720E">
        <w:t xml:space="preserve"> (D–R) model to determine the nature of adsorption processes whether it is physical or chemical. The linear form of the D–R isotherm equation </w:t>
      </w:r>
      <w:r w:rsidRPr="0026720E">
        <w:fldChar w:fldCharType="begin" w:fldLock="1"/>
      </w:r>
      <w:r w:rsidR="009F4A30" w:rsidRPr="0026720E">
        <w:instrText>ADDIN CSL_CITATION {"citationItems":[{"id":"ITEM-1","itemData":{"abstract":"A series of 9 active carbons was prepared by heating sugar charcoal at 850.degree. or 1000.degree. for different lengths of time in CO2. The weight loss of 850.degree. ranged from 3.7% for carbon B 1 to 62.5% for carbon B 6. The liquid volume of C6H6 adsorbed at 20.degree. from the vapor at the relative pressure p = 1 ranged from 0.101 cc./g. for B 1 to 0.880 for B 6. The liquid vols. adsorbed at 20.degree. were for benzene and p = 0.17, 0.07, and 0.81, and for MeOH and p = 0.53, 0.14, and 0.85 cc./g., resp. These values should be equal to the volume of the micropores in the two carbons. The value for C6H6 and B 1 is too small, because many pores of B 1 are too small for the C6H6 mol. This effect of ultraporosity is seen also in the adsorption of solutes (cf. C.A. 31, 222.6). The adsorption of C6H6 and MeOH vapors by these carbons is completely reversible. With the exception of the carbons produced with a weight loss greater than 50%, the adsorbed amount a satisfies the equation log a = log A - B (log p)2 which can be derived from the potential theory of adsorption by assuming that the volume in which the adsorption potential ε is proportional to exp. (-kε2), k being a constant B is a constant, and A is the amount adsorbed in saturated vapor. For the majority of the carbons, the calculated A agreed with that observed. A 10th specimen was made by heating CO with Fe at 450.degree.. The adsorption of C6H6 and MeOH by this carbon did not satisfy the above equation but was accounted for by the theory of Brunauer, et al., C.A. 32, 4037.9. The specific surface of this carbon was 164 sq. m./g. The applicability of the theory of Brunauer, et al. to this nonporous carbon shows that the theory is not valid for porous carbons because of the presence of pores which make the surface energetically inhomogeneous.","author":[{"dropping-particle":"","family":"Dubinin MM, Zaverina ED","given":"Radushkevich LV","non-dropping-particle":"","parse-names":false,"suffix":""}],"container-title":"Zhurnal Fizicheskoi Khimii","id":"ITEM-1","issued":{"date-parts":[["1947"]]},"page":"1351–1362","title":"Equilibrium and Kinetics Characteristics of Copper (I) Sorption onto Gyttja","type":"article-journal","volume":"21"},"uris":["http://www.mendeley.com/documents/?uuid=926023d8-ca7c-4b26-a2b2-6816ddf4056e"]}],"mendeley":{"formattedCitation":"[2]","plainTextFormattedCitation":"[2]","previouslyFormattedCitation":"[2]"},"properties":{"noteIndex":0},"schema":"https://github.com/citation-style-language/schema/raw/master/csl-citation.json"}</w:instrText>
      </w:r>
      <w:r w:rsidRPr="0026720E">
        <w:fldChar w:fldCharType="separate"/>
      </w:r>
      <w:r w:rsidR="009F4A30" w:rsidRPr="0026720E">
        <w:rPr>
          <w:noProof/>
        </w:rPr>
        <w:t>[2]</w:t>
      </w:r>
      <w:r w:rsidRPr="0026720E">
        <w:fldChar w:fldCharType="end"/>
      </w:r>
      <w:r w:rsidRPr="0026720E">
        <w:t xml:space="preserve"> is shown in Eq. </w:t>
      </w:r>
      <w:r w:rsidR="0091114D">
        <w:t>S</w:t>
      </w:r>
      <w:r w:rsidRPr="0026720E">
        <w:t>(5) :</w:t>
      </w:r>
    </w:p>
    <w:p w14:paraId="17029B22" w14:textId="2CDB4174" w:rsidR="00E51E10" w:rsidRPr="0026720E" w:rsidRDefault="00E51E10" w:rsidP="00E51E10">
      <w:pPr>
        <w:widowControl/>
        <w:rPr>
          <w:rFonts w:ascii="Georgia" w:eastAsia="宋体" w:hAnsi="Georgia" w:cs="宋体"/>
          <w:color w:val="000000" w:themeColor="text1"/>
          <w:kern w:val="0"/>
          <w:szCs w:val="24"/>
        </w:rPr>
      </w:pPr>
      <m:oMathPara>
        <m:oMath>
          <m:r>
            <w:rPr>
              <w:rFonts w:ascii="Cambria Math" w:eastAsia="宋体" w:hAnsi="Cambria Math" w:cs="宋体"/>
              <w:color w:val="000000" w:themeColor="text1"/>
              <w:kern w:val="0"/>
              <w:szCs w:val="24"/>
            </w:rPr>
            <m:t>ln</m:t>
          </m:r>
          <m:sSub>
            <m:sSubPr>
              <m:ctrlPr>
                <w:rPr>
                  <w:rFonts w:ascii="Cambria Math" w:eastAsia="宋体" w:hAnsi="Cambria Math" w:cs="宋体"/>
                  <w:i/>
                  <w:color w:val="000000" w:themeColor="text1"/>
                  <w:kern w:val="0"/>
                  <w:szCs w:val="24"/>
                </w:rPr>
              </m:ctrlPr>
            </m:sSubPr>
            <m:e>
              <m:r>
                <w:rPr>
                  <w:rFonts w:ascii="Cambria Math" w:eastAsia="宋体" w:hAnsi="Cambria Math" w:cs="宋体"/>
                  <w:color w:val="000000" w:themeColor="text1"/>
                  <w:kern w:val="0"/>
                  <w:szCs w:val="24"/>
                </w:rPr>
                <m:t>q</m:t>
              </m:r>
            </m:e>
            <m:sub>
              <m:r>
                <w:rPr>
                  <w:rFonts w:ascii="Cambria Math" w:eastAsia="宋体" w:hAnsi="Cambria Math" w:cs="宋体"/>
                  <w:color w:val="000000" w:themeColor="text1"/>
                  <w:kern w:val="0"/>
                  <w:szCs w:val="24"/>
                </w:rPr>
                <m:t>e</m:t>
              </m:r>
            </m:sub>
          </m:sSub>
          <m:r>
            <w:rPr>
              <w:rFonts w:ascii="Cambria Math" w:eastAsia="宋体" w:hAnsi="Cambria Math" w:cs="宋体"/>
              <w:color w:val="000000" w:themeColor="text1"/>
              <w:kern w:val="0"/>
              <w:szCs w:val="24"/>
            </w:rPr>
            <m:t>=ln</m:t>
          </m:r>
          <m:sSub>
            <m:sSubPr>
              <m:ctrlPr>
                <w:rPr>
                  <w:rFonts w:ascii="Cambria Math" w:eastAsia="宋体" w:hAnsi="Cambria Math" w:cs="宋体"/>
                  <w:i/>
                  <w:color w:val="000000" w:themeColor="text1"/>
                  <w:kern w:val="0"/>
                  <w:szCs w:val="24"/>
                </w:rPr>
              </m:ctrlPr>
            </m:sSubPr>
            <m:e>
              <m:r>
                <w:rPr>
                  <w:rFonts w:ascii="Cambria Math" w:eastAsia="宋体" w:hAnsi="Cambria Math" w:cs="宋体"/>
                  <w:color w:val="000000" w:themeColor="text1"/>
                  <w:kern w:val="0"/>
                  <w:szCs w:val="24"/>
                </w:rPr>
                <m:t>q</m:t>
              </m:r>
            </m:e>
            <m:sub>
              <m:r>
                <w:rPr>
                  <w:rFonts w:ascii="Cambria Math" w:eastAsia="宋体" w:hAnsi="Cambria Math" w:cs="宋体"/>
                  <w:color w:val="000000" w:themeColor="text1"/>
                  <w:kern w:val="0"/>
                  <w:szCs w:val="24"/>
                </w:rPr>
                <m:t>m</m:t>
              </m:r>
            </m:sub>
          </m:sSub>
          <m:r>
            <w:rPr>
              <w:rFonts w:ascii="Cambria Math" w:eastAsia="宋体" w:hAnsi="Cambria Math" w:cs="宋体"/>
              <w:color w:val="000000" w:themeColor="text1"/>
              <w:kern w:val="0"/>
              <w:szCs w:val="24"/>
            </w:rPr>
            <m:t>-β</m:t>
          </m:r>
          <m:sSup>
            <m:sSupPr>
              <m:ctrlPr>
                <w:rPr>
                  <w:rFonts w:ascii="Cambria Math" w:eastAsia="宋体" w:hAnsi="Cambria Math" w:cs="宋体"/>
                  <w:i/>
                  <w:color w:val="000000" w:themeColor="text1"/>
                  <w:kern w:val="0"/>
                  <w:szCs w:val="24"/>
                </w:rPr>
              </m:ctrlPr>
            </m:sSupPr>
            <m:e>
              <m:r>
                <w:rPr>
                  <w:rFonts w:ascii="Cambria Math" w:eastAsia="宋体" w:hAnsi="Cambria Math" w:cs="宋体"/>
                  <w:color w:val="000000" w:themeColor="text1"/>
                  <w:kern w:val="0"/>
                  <w:szCs w:val="24"/>
                </w:rPr>
                <m:t>ε</m:t>
              </m:r>
            </m:e>
            <m:sup>
              <m:r>
                <w:rPr>
                  <w:rFonts w:ascii="Cambria Math" w:eastAsia="宋体" w:hAnsi="Cambria Math" w:cs="宋体"/>
                  <w:color w:val="000000" w:themeColor="text1"/>
                  <w:kern w:val="0"/>
                  <w:szCs w:val="24"/>
                </w:rPr>
                <m:t>2</m:t>
              </m:r>
            </m:sup>
          </m:sSup>
          <m:r>
            <w:rPr>
              <w:rFonts w:ascii="Cambria Math" w:eastAsia="宋体" w:hAnsi="Cambria Math" w:cs="宋体"/>
              <w:color w:val="000000" w:themeColor="text1"/>
              <w:kern w:val="0"/>
              <w:szCs w:val="24"/>
            </w:rPr>
            <m:t xml:space="preserve">             </m:t>
          </m:r>
          <m:r>
            <m:rPr>
              <m:sty m:val="p"/>
            </m:rPr>
            <w:rPr>
              <w:rFonts w:ascii="Cambria Math" w:eastAsia="宋体" w:hAnsi="Cambria Math" w:cs="宋体"/>
              <w:color w:val="000000" w:themeColor="text1"/>
              <w:kern w:val="0"/>
              <w:szCs w:val="24"/>
            </w:rPr>
            <m:t xml:space="preserve"> Eq.  (S5)</m:t>
          </m:r>
        </m:oMath>
      </m:oMathPara>
    </w:p>
    <w:p w14:paraId="5A061342" w14:textId="46E62EE7" w:rsidR="00E51E10" w:rsidRPr="0026720E" w:rsidRDefault="00E51E10" w:rsidP="0091114D">
      <w:pPr>
        <w:pStyle w:val="3-mainbody-ENG"/>
        <w:ind w:firstLineChars="0" w:firstLine="0"/>
      </w:pPr>
      <w:r w:rsidRPr="0026720E">
        <w:t xml:space="preserve">where </w:t>
      </w:r>
      <m:oMath>
        <m:sSub>
          <m:sSubPr>
            <m:ctrlPr>
              <w:rPr>
                <w:rFonts w:ascii="Cambria Math" w:hAnsi="Cambria Math"/>
              </w:rPr>
            </m:ctrlPr>
          </m:sSubPr>
          <m:e>
            <m:r>
              <w:rPr>
                <w:rFonts w:ascii="Cambria Math" w:hAnsi="Cambria Math"/>
              </w:rPr>
              <m:t>q</m:t>
            </m:r>
          </m:e>
          <m:sub>
            <m:r>
              <w:rPr>
                <w:rFonts w:ascii="Cambria Math" w:hAnsi="Cambria Math"/>
              </w:rPr>
              <m:t>e</m:t>
            </m:r>
          </m:sub>
        </m:sSub>
      </m:oMath>
      <w:r w:rsidRPr="0026720E">
        <w:t xml:space="preserve"> is the amount of RhB adsorbed on per unit weight of catalyst (mol g</w:t>
      </w:r>
      <w:r w:rsidRPr="0026720E">
        <w:rPr>
          <w:vertAlign w:val="superscript"/>
        </w:rPr>
        <w:t>−1</w:t>
      </w:r>
      <w:r w:rsidRPr="0026720E">
        <w:t xml:space="preserve">), </w:t>
      </w:r>
      <m:oMath>
        <m:sSub>
          <m:sSubPr>
            <m:ctrlPr>
              <w:rPr>
                <w:rFonts w:ascii="Cambria Math" w:hAnsi="Cambria Math"/>
              </w:rPr>
            </m:ctrlPr>
          </m:sSubPr>
          <m:e>
            <m:r>
              <w:rPr>
                <w:rFonts w:ascii="Cambria Math" w:hAnsi="Cambria Math"/>
              </w:rPr>
              <m:t>q</m:t>
            </m:r>
          </m:e>
          <m:sub>
            <m:r>
              <w:rPr>
                <w:rFonts w:ascii="Cambria Math" w:hAnsi="Cambria Math"/>
              </w:rPr>
              <m:t>m</m:t>
            </m:r>
          </m:sub>
        </m:sSub>
      </m:oMath>
      <w:r w:rsidRPr="0026720E">
        <w:t xml:space="preserve"> is the maximum sorption capacity (mol g</w:t>
      </w:r>
      <w:r w:rsidRPr="0026720E">
        <w:rPr>
          <w:vertAlign w:val="superscript"/>
        </w:rPr>
        <w:t>−1</w:t>
      </w:r>
      <w:r w:rsidRPr="0026720E">
        <w:t>), β is the activity coefficient related to mean sorption energy (mol</w:t>
      </w:r>
      <w:r w:rsidRPr="0026720E">
        <w:rPr>
          <w:vertAlign w:val="superscript"/>
        </w:rPr>
        <w:t>2</w:t>
      </w:r>
      <w:r w:rsidRPr="0026720E">
        <w:t xml:space="preserve"> J</w:t>
      </w:r>
      <w:r w:rsidRPr="0026720E">
        <w:rPr>
          <w:vertAlign w:val="superscript"/>
        </w:rPr>
        <w:t>−2</w:t>
      </w:r>
      <w:r w:rsidRPr="0026720E">
        <w:t>), and ε is the Polanyi potential (J mol</w:t>
      </w:r>
      <w:r w:rsidRPr="0026720E">
        <w:rPr>
          <w:vertAlign w:val="superscript"/>
        </w:rPr>
        <w:t>−1</w:t>
      </w:r>
      <w:r w:rsidRPr="0026720E">
        <w:t>) that can be written by Eq. (</w:t>
      </w:r>
      <w:r w:rsidR="0091114D">
        <w:t>S</w:t>
      </w:r>
      <w:r w:rsidRPr="0026720E">
        <w:t xml:space="preserve">6). Ce is the equilibrium concentration of the </w:t>
      </w:r>
      <w:proofErr w:type="spellStart"/>
      <w:r w:rsidRPr="0026720E">
        <w:t>R</w:t>
      </w:r>
      <w:r w:rsidRPr="0026720E">
        <w:rPr>
          <w:rFonts w:hint="eastAsia"/>
        </w:rPr>
        <w:t>h</w:t>
      </w:r>
      <w:r w:rsidRPr="0026720E">
        <w:t>B</w:t>
      </w:r>
      <w:proofErr w:type="spellEnd"/>
      <w:r w:rsidRPr="0026720E">
        <w:t xml:space="preserve"> (m</w:t>
      </w:r>
      <w:r w:rsidRPr="0026720E">
        <w:rPr>
          <w:rFonts w:hint="eastAsia"/>
        </w:rPr>
        <w:t>g</w:t>
      </w:r>
      <w:r w:rsidRPr="0026720E">
        <w:t> L</w:t>
      </w:r>
      <w:r w:rsidRPr="0026720E">
        <w:rPr>
          <w:vertAlign w:val="superscript"/>
        </w:rPr>
        <w:t>−1</w:t>
      </w:r>
      <w:r w:rsidRPr="0026720E">
        <w:t>)</w:t>
      </w:r>
    </w:p>
    <w:p w14:paraId="361DB5C0" w14:textId="1CD184AA" w:rsidR="00E51E10" w:rsidRPr="0026720E" w:rsidRDefault="00E51E10" w:rsidP="00E51E10">
      <w:pPr>
        <w:widowControl/>
        <w:rPr>
          <w:rFonts w:ascii="Georgia" w:eastAsia="宋体" w:hAnsi="Georgia" w:cs="宋体"/>
          <w:color w:val="000000" w:themeColor="text1"/>
          <w:kern w:val="0"/>
          <w:szCs w:val="24"/>
        </w:rPr>
      </w:pPr>
      <m:oMathPara>
        <m:oMath>
          <m:r>
            <w:rPr>
              <w:rFonts w:ascii="Cambria Math" w:eastAsia="宋体" w:hAnsi="Cambria Math" w:cs="宋体"/>
              <w:color w:val="000000" w:themeColor="text1"/>
              <w:kern w:val="0"/>
              <w:szCs w:val="24"/>
            </w:rPr>
            <m:t>ε=RTln(1+</m:t>
          </m:r>
          <m:f>
            <m:fPr>
              <m:ctrlPr>
                <w:rPr>
                  <w:rFonts w:ascii="Cambria Math" w:eastAsia="宋体" w:hAnsi="Cambria Math" w:cs="宋体"/>
                  <w:i/>
                  <w:color w:val="000000" w:themeColor="text1"/>
                  <w:kern w:val="0"/>
                  <w:szCs w:val="24"/>
                </w:rPr>
              </m:ctrlPr>
            </m:fPr>
            <m:num>
              <m:r>
                <w:rPr>
                  <w:rFonts w:ascii="Cambria Math" w:eastAsia="宋体" w:hAnsi="Cambria Math" w:cs="宋体"/>
                  <w:color w:val="000000" w:themeColor="text1"/>
                  <w:kern w:val="0"/>
                  <w:szCs w:val="24"/>
                </w:rPr>
                <m:t>1</m:t>
              </m:r>
            </m:num>
            <m:den>
              <m:sSub>
                <m:sSubPr>
                  <m:ctrlPr>
                    <w:rPr>
                      <w:rFonts w:ascii="Cambria Math" w:eastAsia="宋体" w:hAnsi="Cambria Math" w:cs="宋体"/>
                      <w:i/>
                      <w:color w:val="000000" w:themeColor="text1"/>
                      <w:kern w:val="0"/>
                      <w:szCs w:val="24"/>
                    </w:rPr>
                  </m:ctrlPr>
                </m:sSubPr>
                <m:e>
                  <m:r>
                    <w:rPr>
                      <w:rFonts w:ascii="Cambria Math" w:eastAsia="宋体" w:hAnsi="Cambria Math" w:cs="宋体"/>
                      <w:color w:val="000000" w:themeColor="text1"/>
                      <w:kern w:val="0"/>
                      <w:szCs w:val="24"/>
                    </w:rPr>
                    <m:t>C</m:t>
                  </m:r>
                </m:e>
                <m:sub>
                  <m:r>
                    <w:rPr>
                      <w:rFonts w:ascii="Cambria Math" w:eastAsia="宋体" w:hAnsi="Cambria Math" w:cs="宋体"/>
                      <w:color w:val="000000" w:themeColor="text1"/>
                      <w:kern w:val="0"/>
                      <w:szCs w:val="24"/>
                    </w:rPr>
                    <m:t>e</m:t>
                  </m:r>
                </m:sub>
              </m:sSub>
            </m:den>
          </m:f>
          <m:r>
            <w:rPr>
              <w:rFonts w:ascii="Cambria Math" w:eastAsia="宋体" w:hAnsi="Cambria Math" w:cs="宋体"/>
              <w:color w:val="000000" w:themeColor="text1"/>
              <w:kern w:val="0"/>
              <w:szCs w:val="24"/>
            </w:rPr>
            <m:t xml:space="preserve">)                </m:t>
          </m:r>
          <m:r>
            <m:rPr>
              <m:sty m:val="p"/>
            </m:rPr>
            <w:rPr>
              <w:rFonts w:ascii="Cambria Math" w:eastAsia="宋体" w:hAnsi="Cambria Math" w:cs="宋体"/>
              <w:color w:val="000000" w:themeColor="text1"/>
              <w:kern w:val="0"/>
              <w:szCs w:val="24"/>
            </w:rPr>
            <m:t xml:space="preserve"> Eq. (S6)</m:t>
          </m:r>
        </m:oMath>
      </m:oMathPara>
    </w:p>
    <w:p w14:paraId="2CD25A5F" w14:textId="77777777" w:rsidR="00E51E10" w:rsidRPr="0026720E" w:rsidRDefault="00E51E10" w:rsidP="001C16B4">
      <w:pPr>
        <w:pStyle w:val="3-mainbody-ENG"/>
        <w:ind w:firstLine="210"/>
      </w:pPr>
      <w:r w:rsidRPr="0026720E">
        <w:t>The nature of the sorption mechanism can be determined with the mean free energy of sorption (E), which is calculated by the following equation:</w:t>
      </w:r>
    </w:p>
    <w:p w14:paraId="1CE1BD44" w14:textId="3A8F0C24" w:rsidR="00E51E10" w:rsidRPr="0026720E" w:rsidRDefault="00E51E10" w:rsidP="00E51E10">
      <w:pPr>
        <w:widowControl/>
        <w:rPr>
          <w:rFonts w:eastAsia="宋体" w:cs="Times New Roman"/>
          <w:color w:val="000000" w:themeColor="text1"/>
          <w:kern w:val="0"/>
          <w:szCs w:val="24"/>
        </w:rPr>
      </w:pPr>
      <m:oMathPara>
        <m:oMath>
          <m:r>
            <w:rPr>
              <w:rFonts w:ascii="Cambria Math" w:eastAsia="宋体" w:hAnsi="Cambria Math" w:cs="Times New Roman"/>
              <w:color w:val="000000" w:themeColor="text1"/>
              <w:kern w:val="0"/>
              <w:szCs w:val="24"/>
            </w:rPr>
            <m:t>E=</m:t>
          </m:r>
          <m:f>
            <m:fPr>
              <m:ctrlPr>
                <w:rPr>
                  <w:rFonts w:ascii="Cambria Math" w:eastAsia="宋体" w:hAnsi="Cambria Math" w:cs="Times New Roman"/>
                  <w:i/>
                  <w:color w:val="000000" w:themeColor="text1"/>
                  <w:kern w:val="0"/>
                  <w:szCs w:val="24"/>
                </w:rPr>
              </m:ctrlPr>
            </m:fPr>
            <m:num>
              <m:r>
                <w:rPr>
                  <w:rFonts w:ascii="Cambria Math" w:eastAsia="宋体" w:hAnsi="Cambria Math" w:cs="Times New Roman"/>
                  <w:color w:val="000000" w:themeColor="text1"/>
                  <w:kern w:val="0"/>
                  <w:szCs w:val="24"/>
                </w:rPr>
                <m:t>1</m:t>
              </m:r>
            </m:num>
            <m:den>
              <m:rad>
                <m:radPr>
                  <m:degHide m:val="1"/>
                  <m:ctrlPr>
                    <w:rPr>
                      <w:rFonts w:ascii="Cambria Math" w:eastAsia="宋体" w:hAnsi="Cambria Math" w:cs="Times New Roman"/>
                      <w:i/>
                      <w:color w:val="000000" w:themeColor="text1"/>
                      <w:kern w:val="0"/>
                      <w:szCs w:val="24"/>
                    </w:rPr>
                  </m:ctrlPr>
                </m:radPr>
                <m:deg/>
                <m:e>
                  <m:r>
                    <w:rPr>
                      <w:rFonts w:ascii="Cambria Math" w:eastAsia="宋体" w:hAnsi="Cambria Math" w:cs="Times New Roman"/>
                      <w:color w:val="000000" w:themeColor="text1"/>
                      <w:kern w:val="0"/>
                      <w:szCs w:val="24"/>
                    </w:rPr>
                    <m:t>-2β</m:t>
                  </m:r>
                </m:e>
              </m:rad>
            </m:den>
          </m:f>
          <m:r>
            <w:rPr>
              <w:rFonts w:ascii="Cambria Math" w:eastAsia="宋体" w:hAnsi="Cambria Math" w:cs="Times New Roman"/>
              <w:color w:val="000000" w:themeColor="text1"/>
              <w:kern w:val="0"/>
              <w:szCs w:val="24"/>
            </w:rPr>
            <m:t xml:space="preserve">    </m:t>
          </m:r>
          <m:r>
            <m:rPr>
              <m:sty m:val="p"/>
            </m:rPr>
            <w:rPr>
              <w:rFonts w:ascii="Cambria Math" w:eastAsia="宋体" w:hAnsi="Cambria Math" w:cs="Times New Roman"/>
              <w:color w:val="000000" w:themeColor="text1"/>
              <w:kern w:val="0"/>
              <w:szCs w:val="24"/>
            </w:rPr>
            <m:t xml:space="preserve">               Eq. (S7)</m:t>
          </m:r>
        </m:oMath>
      </m:oMathPara>
    </w:p>
    <w:p w14:paraId="1B268983" w14:textId="70ED0A4E" w:rsidR="00E51E10" w:rsidRPr="0026720E" w:rsidRDefault="00E51E10" w:rsidP="001C16B4">
      <w:pPr>
        <w:pStyle w:val="3-mainbody-ENG"/>
        <w:ind w:firstLine="210"/>
        <w:rPr>
          <w:shd w:val="clear" w:color="auto" w:fill="FCFCFC"/>
        </w:rPr>
      </w:pPr>
      <w:r w:rsidRPr="0026720E">
        <w:t>The D-R isotherm constants were shown in </w:t>
      </w:r>
      <w:r w:rsidR="0091114D">
        <w:t>T</w:t>
      </w:r>
      <w:r w:rsidRPr="0026720E">
        <w:t xml:space="preserve">able. </w:t>
      </w:r>
      <w:r w:rsidR="0091114D">
        <w:t>S</w:t>
      </w:r>
      <w:r w:rsidR="007B778B" w:rsidRPr="0026720E">
        <w:t>2</w:t>
      </w:r>
      <w:r w:rsidRPr="0026720E">
        <w:t> and the values of </w:t>
      </w:r>
      <m:oMath>
        <m:sSub>
          <m:sSubPr>
            <m:ctrlPr>
              <w:rPr>
                <w:rFonts w:ascii="Cambria Math" w:hAnsi="Cambria Math"/>
                <w:i/>
              </w:rPr>
            </m:ctrlPr>
          </m:sSubPr>
          <m:e>
            <m:r>
              <w:rPr>
                <w:rFonts w:ascii="Cambria Math" w:hAnsi="Cambria Math"/>
              </w:rPr>
              <m:t>q</m:t>
            </m:r>
          </m:e>
          <m:sub>
            <m:r>
              <w:rPr>
                <w:rFonts w:ascii="Cambria Math" w:hAnsi="Cambria Math"/>
              </w:rPr>
              <m:t>m</m:t>
            </m:r>
          </m:sub>
        </m:sSub>
      </m:oMath>
      <w:r w:rsidRPr="0026720E">
        <w:t xml:space="preserve"> and </w:t>
      </w:r>
      <m:oMath>
        <m:r>
          <w:rPr>
            <w:rFonts w:ascii="Cambria Math" w:hAnsi="Cambria Math"/>
          </w:rPr>
          <m:t>β</m:t>
        </m:r>
      </m:oMath>
      <w:r w:rsidRPr="0026720E">
        <w:t xml:space="preserve"> were </w:t>
      </w:r>
      <w:r w:rsidRPr="0026720E">
        <w:rPr>
          <w:shd w:val="clear" w:color="auto" w:fill="FCFCFC"/>
        </w:rPr>
        <w:t xml:space="preserve">found to be </w:t>
      </w:r>
      <w:bookmarkStart w:id="39" w:name="OLE_LINK291"/>
      <w:bookmarkStart w:id="40" w:name="OLE_LINK292"/>
      <w:r w:rsidRPr="0026720E">
        <w:rPr>
          <w:shd w:val="clear" w:color="auto" w:fill="FCFCFC"/>
        </w:rPr>
        <w:t>4.02 × 10</w:t>
      </w:r>
      <w:r w:rsidRPr="0026720E">
        <w:rPr>
          <w:shd w:val="clear" w:color="auto" w:fill="FCFCFC"/>
          <w:vertAlign w:val="superscript"/>
        </w:rPr>
        <w:t>−5</w:t>
      </w:r>
      <w:bookmarkEnd w:id="39"/>
      <w:bookmarkEnd w:id="40"/>
      <w:r w:rsidRPr="0026720E">
        <w:rPr>
          <w:shd w:val="clear" w:color="auto" w:fill="FCFCFC"/>
        </w:rPr>
        <w:t> mol g</w:t>
      </w:r>
      <w:r w:rsidRPr="0026720E">
        <w:rPr>
          <w:shd w:val="clear" w:color="auto" w:fill="FCFCFC"/>
          <w:vertAlign w:val="superscript"/>
        </w:rPr>
        <w:t>−1</w:t>
      </w:r>
      <w:r w:rsidRPr="0026720E">
        <w:rPr>
          <w:shd w:val="clear" w:color="auto" w:fill="FCFCFC"/>
        </w:rPr>
        <w:t xml:space="preserve"> </w:t>
      </w:r>
      <w:r w:rsidRPr="0026720E">
        <w:t xml:space="preserve">and </w:t>
      </w:r>
      <w:r w:rsidRPr="0026720E">
        <w:rPr>
          <w:shd w:val="clear" w:color="auto" w:fill="FCFCFC"/>
        </w:rPr>
        <w:t>5.17 × 10</w:t>
      </w:r>
      <w:r w:rsidRPr="0026720E">
        <w:rPr>
          <w:shd w:val="clear" w:color="auto" w:fill="FCFCFC"/>
          <w:vertAlign w:val="superscript"/>
        </w:rPr>
        <w:t>−9</w:t>
      </w:r>
      <w:r w:rsidRPr="0026720E">
        <w:t xml:space="preserve"> mol</w:t>
      </w:r>
      <w:r w:rsidRPr="0026720E">
        <w:rPr>
          <w:vertAlign w:val="superscript"/>
        </w:rPr>
        <w:t>2</w:t>
      </w:r>
      <w:r w:rsidRPr="0026720E">
        <w:t xml:space="preserve"> J</w:t>
      </w:r>
      <w:r w:rsidRPr="0026720E">
        <w:rPr>
          <w:vertAlign w:val="superscript"/>
        </w:rPr>
        <w:t>−2</w:t>
      </w:r>
      <w:r w:rsidRPr="0026720E">
        <w:t>, respectively</w:t>
      </w:r>
      <w:r w:rsidRPr="0026720E">
        <w:rPr>
          <w:shd w:val="clear" w:color="auto" w:fill="FCFCFC"/>
        </w:rPr>
        <w:t>.</w:t>
      </w:r>
    </w:p>
    <w:p w14:paraId="307615B9" w14:textId="04BFE743" w:rsidR="00E51E10" w:rsidRPr="0026720E" w:rsidRDefault="00011AEC" w:rsidP="001C16B4">
      <w:pPr>
        <w:pStyle w:val="3-mainbody-ENG"/>
        <w:ind w:firstLine="210"/>
        <w:rPr>
          <w:shd w:val="clear" w:color="auto" w:fill="FCFCFC"/>
        </w:rPr>
      </w:pPr>
      <w:r w:rsidRPr="0026720E">
        <w:rPr>
          <w:shd w:val="clear" w:color="auto" w:fill="FCFCFC"/>
        </w:rPr>
        <w:t>As mentioned before, the mean free energy of sorption gives information about the nature of the sorption mechanism. If </w:t>
      </w:r>
      <w:r w:rsidRPr="0026720E">
        <w:rPr>
          <w:i/>
          <w:iCs/>
          <w:shd w:val="clear" w:color="auto" w:fill="FCFCFC"/>
        </w:rPr>
        <w:t>E</w:t>
      </w:r>
      <w:r w:rsidRPr="0026720E">
        <w:rPr>
          <w:shd w:val="clear" w:color="auto" w:fill="FCFCFC"/>
        </w:rPr>
        <w:t> value lies between 9 and 16 kJ mol</w:t>
      </w:r>
      <w:r w:rsidRPr="0026720E">
        <w:rPr>
          <w:shd w:val="clear" w:color="auto" w:fill="FCFCFC"/>
          <w:vertAlign w:val="superscript"/>
        </w:rPr>
        <w:t>−1</w:t>
      </w:r>
      <w:r w:rsidRPr="0026720E">
        <w:rPr>
          <w:shd w:val="clear" w:color="auto" w:fill="FCFCFC"/>
        </w:rPr>
        <w:t>, the sorption process is accepted to take place chemically. The sorption process is physical, however, if </w:t>
      </w:r>
      <w:r w:rsidRPr="0026720E">
        <w:rPr>
          <w:i/>
          <w:iCs/>
          <w:shd w:val="clear" w:color="auto" w:fill="FCFCFC"/>
        </w:rPr>
        <w:t>E</w:t>
      </w:r>
      <w:r w:rsidRPr="0026720E">
        <w:rPr>
          <w:shd w:val="clear" w:color="auto" w:fill="FCFCFC"/>
        </w:rPr>
        <w:t> value is smaller than 8 kJ mol</w:t>
      </w:r>
      <w:r w:rsidRPr="0026720E">
        <w:rPr>
          <w:shd w:val="clear" w:color="auto" w:fill="FCFCFC"/>
          <w:vertAlign w:val="superscript"/>
        </w:rPr>
        <w:t>−1</w:t>
      </w:r>
      <w:r w:rsidRPr="0026720E">
        <w:rPr>
          <w:shd w:val="clear" w:color="auto" w:fill="FCFCFC"/>
        </w:rPr>
        <w:t> </w:t>
      </w:r>
      <w:r w:rsidRPr="0026720E">
        <w:rPr>
          <w:shd w:val="clear" w:color="auto" w:fill="FCFCFC"/>
        </w:rPr>
        <w:fldChar w:fldCharType="begin" w:fldLock="1"/>
      </w:r>
      <w:r w:rsidR="00E304DE" w:rsidRPr="0026720E">
        <w:rPr>
          <w:shd w:val="clear" w:color="auto" w:fill="FCFCFC"/>
        </w:rPr>
        <w:instrText>ADDIN CSL_CITATION {"citationItems":[{"id":"ITEM-1","itemData":{"abstract":"A series of 9 active carbons was prepared by heating sugar charcoal at 850.degree. or 1000.degree. for different lengths of time in CO2. The weight loss of 850.degree. ranged from 3.7% for carbon B 1 to 62.5% for carbon B 6. The liquid volume of C6H6 adsorbed at 20.degree. from the vapor at the relative pressure p = 1 ranged from 0.101 cc./g. for B 1 to 0.880 for B 6. The liquid vols. adsorbed at 20.degree. were for benzene and p = 0.17, 0.07, and 0.81, and for MeOH and p = 0.53, 0.14, and 0.85 cc./g., resp. These values should be equal to the volume of the micropores in the two carbons. The value for C6H6 and B 1 is too small, because many pores of B 1 are too small for the C6H6 mol. This effect of ultraporosity is seen also in the adsorption of solutes (cf. C.A. 31, 222.6). The adsorption of C6H6 and MeOH vapors by these carbons is completely reversible. With the exception of the carbons produced with a weight loss greater than 50%, the adsorbed amount a satisfies the equation log a = log A - B (log p)2 which can be derived from the potential theory of adsorption by assuming that the volume in which the adsorption potential ε is proportional to exp. (-kε2), k being a constant B is a constant, and A is the amount adsorbed in saturated vapor. For the majority of the carbons, the calculated A agreed with that observed. A 10th specimen was made by heating CO with Fe at 450.degree.. The adsorption of C6H6 and MeOH by this carbon did not satisfy the above equation but was accounted for by the theory of Brunauer, et al., C.A. 32, 4037.9. The specific surface of this carbon was 164 sq. m./g. The applicability of the theory of Brunauer, et al. to this nonporous carbon shows that the theory is not valid for porous carbons because of the presence of pores which make the surface energetically inhomogeneous.","author":[{"dropping-particle":"","family":"Dubinin MM, Zaverina ED","given":"Radushkevich LV","non-dropping-particle":"","parse-names":false,"suffix":""}],"container-title":"Zhurnal Fizicheskoi Khimii","id":"ITEM-1","issued":{"date-parts":[["1947"]]},"page":"1351–1362","title":"Equilibrium and Kinetics Characteristics of Copper (I) Sorption onto Gyttja","type":"article-journal","volume":"21"},"uris":["http://www.mendeley.com/documents/?uuid=926023d8-ca7c-4b26-a2b2-6816ddf4056e"]},{"id":"ITEM-2","itemData":{"DOI":"10.1016/j.jhazmat.2006.06.124","ISSN":"03043894","abstract":"The purposes of this study were to investigate the removal efficiency of ammonium (NH4+) ion from aqueous solution using the natural Turkish (Yi{dotless}ldi{dotless}zeli) zeolite and to characterize equilibrium isotherms. Experiments were carried out using batch method as a function of the solution pH, shaking time, dosage of adsorbent, and temperature. All these factors affected NH4+ ion removal from aqueous solution. Equilibrium modelling data were fitted to linear Langmuir and Freundlich models. Dubinin-Redushckevich (D-R) isotherm was applied to describe the nature of ion exchange of NH4+ and found that it occurred physically. Thermodynamics parameters such as change in free energy (ΔG°), enthalpy (ΔH°) and entropy (ΔS°) were also calculated. These parameters confirmed that ion exchange of NH4+ by the zeolite was feasible, spontaneous and exothermic in nature. Based on the results, it can be concluded that the natural Turkish (Yi{dotless}ldi{dotless}zeli) zeolite is suitable for the removal of NH4+ ions in wastewater treatments and agricultural purposes to in terms of sustainability of environmental quality. © 2006 Elsevier B.V. All rights reserved.","author":[{"dropping-particle":"","family":"Saltalı","given":"Kadir","non-dropping-particle":"","parse-names":false,"suffix":""},{"dropping-particle":"","family":"Sarı","given":"Ahmet","non-dropping-particle":"","parse-names":false,"suffix":""},{"dropping-particle":"","family":"Aydın","given":"Mehmet","non-dropping-particle":"","parse-names":false,"suffix":""}],"container-title":"Journal of Hazardous Materials","id":"ITEM-2","issue":"1","issued":{"date-parts":[["2007","3","6"]]},"page":"258-263","title":"Removal of ammonium ion from aqueous solution by natural Turkish (Yıldızeli) zeolite for environmental quality","type":"article-journal","volume":"141"},"uris":["http://www.mendeley.com/documents/?uuid=feb0cb46-5275-329f-a31a-b328a614c480"]},{"id":"ITEM-3","itemData":{"author":[{"dropping-particle":"","family":"Donat R, Akdogan A, Erdem E","given":"Cetisli H","non-dropping-particle":"","parse-names":false,"suffix":""}],"container-title":"J Col Inter Sci","id":"ITEM-3","issued":{"date-parts":[["2005"]]},"page":"43–52","title":"Thermodynamics of Pb and Ni adsorption onto natural bentonite from aqueous solution.","type":"article-journal","volume":"286"},"uris":["http://www.mendeley.com/documents/?uuid=451342d8-98c6-4934-9f54-bb15ac9d76d1"]}],"mendeley":{"formattedCitation":"[2–4]","plainTextFormattedCitation":"[2–4]","previouslyFormattedCitation":"[2–4]"},"properties":{"noteIndex":0},"schema":"https://github.com/citation-style-language/schema/raw/master/csl-citation.json"}</w:instrText>
      </w:r>
      <w:r w:rsidRPr="0026720E">
        <w:rPr>
          <w:shd w:val="clear" w:color="auto" w:fill="FCFCFC"/>
        </w:rPr>
        <w:fldChar w:fldCharType="separate"/>
      </w:r>
      <w:r w:rsidR="009F4A30" w:rsidRPr="0026720E">
        <w:rPr>
          <w:noProof/>
          <w:shd w:val="clear" w:color="auto" w:fill="FCFCFC"/>
        </w:rPr>
        <w:t>[2–4]</w:t>
      </w:r>
      <w:r w:rsidRPr="0026720E">
        <w:rPr>
          <w:shd w:val="clear" w:color="auto" w:fill="FCFCFC"/>
        </w:rPr>
        <w:fldChar w:fldCharType="end"/>
      </w:r>
      <w:r w:rsidRPr="0026720E">
        <w:rPr>
          <w:shd w:val="clear" w:color="auto" w:fill="FCFCFC"/>
        </w:rPr>
        <w:t>. The equilibrium data were fitted well to the D–R isotherm model (</w:t>
      </w:r>
      <w:r w:rsidRPr="0026720E">
        <w:rPr>
          <w:i/>
          <w:iCs/>
          <w:shd w:val="clear" w:color="auto" w:fill="FCFCFC"/>
        </w:rPr>
        <w:t>R</w:t>
      </w:r>
      <w:r w:rsidRPr="0026720E">
        <w:rPr>
          <w:shd w:val="clear" w:color="auto" w:fill="FCFCFC"/>
        </w:rPr>
        <w:t> </w:t>
      </w:r>
      <w:r w:rsidRPr="0026720E">
        <w:rPr>
          <w:shd w:val="clear" w:color="auto" w:fill="FCFCFC"/>
          <w:vertAlign w:val="superscript"/>
        </w:rPr>
        <w:t>2</w:t>
      </w:r>
      <w:r w:rsidRPr="0026720E">
        <w:rPr>
          <w:shd w:val="clear" w:color="auto" w:fill="FCFCFC"/>
        </w:rPr>
        <w:t> = 0.999). The mean sorption energy was calculated as 9.83 kJ mol</w:t>
      </w:r>
      <w:r w:rsidRPr="0026720E">
        <w:rPr>
          <w:shd w:val="clear" w:color="auto" w:fill="FCFCFC"/>
          <w:vertAlign w:val="superscript"/>
        </w:rPr>
        <w:t>−1</w:t>
      </w:r>
      <w:r w:rsidRPr="0026720E">
        <w:rPr>
          <w:shd w:val="clear" w:color="auto" w:fill="FCFCFC"/>
        </w:rPr>
        <w:t xml:space="preserve">, which indicated that the sorption of </w:t>
      </w:r>
      <w:proofErr w:type="spellStart"/>
      <w:r w:rsidRPr="0026720E">
        <w:rPr>
          <w:shd w:val="clear" w:color="auto" w:fill="FCFCFC"/>
        </w:rPr>
        <w:t>RhB</w:t>
      </w:r>
      <w:proofErr w:type="spellEnd"/>
      <w:r w:rsidRPr="0026720E">
        <w:rPr>
          <w:shd w:val="clear" w:color="auto" w:fill="FCFCFC"/>
        </w:rPr>
        <w:t> onto ZN-CS was essentially chemical.</w:t>
      </w:r>
      <w:bookmarkEnd w:id="36"/>
    </w:p>
    <w:p w14:paraId="56E13580" w14:textId="14B4125D" w:rsidR="00111583" w:rsidRPr="0026720E" w:rsidRDefault="00011AEC" w:rsidP="001C16B4">
      <w:pPr>
        <w:pStyle w:val="3-mainbody-ENG"/>
        <w:ind w:firstLine="211"/>
        <w:rPr>
          <w:rFonts w:ascii="宋体" w:eastAsia="宋体" w:hAnsi="宋体" w:cs="宋体"/>
        </w:rPr>
      </w:pPr>
      <w:r w:rsidRPr="0026720E">
        <w:rPr>
          <w:rFonts w:eastAsiaTheme="minorEastAsia"/>
          <w:b/>
          <w:bCs/>
        </w:rPr>
        <w:t xml:space="preserve">(b) </w:t>
      </w:r>
      <w:r w:rsidR="00111583" w:rsidRPr="0026720E">
        <w:t xml:space="preserve">The linear equations of Langmuir, </w:t>
      </w:r>
      <w:proofErr w:type="spellStart"/>
      <w:r w:rsidR="00111583" w:rsidRPr="0026720E">
        <w:t>Ferundlich</w:t>
      </w:r>
      <w:proofErr w:type="spellEnd"/>
      <w:r w:rsidR="00111583" w:rsidRPr="0026720E">
        <w:t xml:space="preserve"> and Temkin models</w:t>
      </w:r>
      <w:r w:rsidR="00160292" w:rsidRPr="0026720E">
        <w:t xml:space="preserve"> </w:t>
      </w:r>
      <w:r w:rsidR="00160292" w:rsidRPr="0026720E">
        <w:fldChar w:fldCharType="begin" w:fldLock="1"/>
      </w:r>
      <w:r w:rsidR="00160292" w:rsidRPr="0026720E">
        <w:instrText>ADDIN CSL_CITATION {"citationItems":[{"id":"ITEM-1","itemData":{"DOI":"10.1007/s11814-015-0018-x","ISSN":"0256-1115","abstract":"The sorption of As(V) on manganese oxide coated zeolite (MOCZ) was investigated through batch study to explore the feasibility of removing arsenic from groundwater. MOCZ was characterized by scanning electron microscopy, XRD, FTIR spectroscopy, and point of zero charge (pHPZC) measurements. The effects of process parameters such as contact time, adsorbent size, temperature and pH were investigated. Arsenic detection was carried out by atomic fluorescence spectrometer. Arsenate adsorption onto MOCZ followed the pseudo-second-order kinetic model with a correlation coefficient more than 0.99. Optimum removal of arsenate occurred within pH range of 6–10. The equilibrium data were analyzed by Langmuir, Freundlich and Dubinin-Radushkevich (D-R) isotherm models. The maximum adsorption capacity calculated from the Langmuir and D-R models was 151 and 152.8 μg g−1, respectively, at 38 °C. The activation energy of adsorption (Ea) was found to be 3.68 kj mol−1, suggesting that the adsorption process may be physical sorption. Thermodynamic parameters: ΔHo, was 1.181 kj mol−1; ΔSo, was −0.29 kj mol−1, while the values of ΔGo were −83.9, −86.7 and 89.8 kj mol−1 at 18, 28 and 38, respectively, suggesting endothermic and spontaneous process and a rise in temperature favoring the adsorption.","author":[{"dropping-particle":"","family":"Massoudinejad","given":"Mohamadreza","non-dropping-particle":"","parse-names":false,"suffix":""},{"dropping-particle":"","family":"Asadi","given":"Anvar","non-dropping-particle":"","parse-names":false,"suffix":""},{"dropping-particle":"","family":"Vosoughi","given":"Mehdi","non-dropping-particle":"","parse-names":false,"suffix":""},{"dropping-particle":"","family":"Gholami","given":"Morteza","non-dropping-particle":"","parse-names":false,"suffix":""},{"dropping-particle":"","family":"Kakavandi","given":"Babak","non-dropping-particle":"","parse-names":false,"suffix":""},{"dropping-particle":"","family":"Karami","given":"Mohammad Amin","non-dropping-particle":"","parse-names":false,"suffix":""}],"container-title":"Korean Journal of Chemical Engineering","id":"ITEM-1","issue":"10","issued":{"date-parts":[["2015","10","11"]]},"page":"2078-2086","title":"A comprehensive study (kinetic, thermodynamic and equilibrium) of arsenic (V) adsorption using KMnO4 modified clinoptilolite","type":"article-journal","volume":"32"},"uris":["http://www.mendeley.com/documents/?uuid=8e151980-fed3-3e91-a23c-76baa63b7710"]},{"id":"ITEM-2","itemData":{"DOI":"10.1007/s10934-015-9983-z","ISSN":"1380-2224","abstract":"This study investigates the efficiency of the magnetite-powder activated carbon (M-PAC) to removal of Ni2+, Co2+ and Cd2+ ions from the aqueous solution. Response surface methodology based on the Box–Behnken design was used to evaluate the effects of independent variables such as pH, contact time, adsorbent dosage, temperature and initial concentration of metal ions on the response function and prediction of the best response values. The adsorption fitted best to the Langmuir model indicating the presence of heterogeneous sites for Ni2+, Co2+ and Cd2+ ions adsorption. The kinetics results demonstrated the adsorption process well suited with pseudo-second-order model, indicating that it was involves the formation of valency forces through the exchange or sharing of electrons between metal ions and the binding sites of M-PAC. The intraparticle diffusion model showed a low linear relationship (R2","author":[{"dropping-particle":"","family":"Azari","given":"Ali","non-dropping-particle":"","parse-names":false,"suffix":""},{"dropping-particle":"","family":"Kakavandi","given":"Babak","non-dropping-particle":"","parse-names":false,"suffix":""},{"dropping-particle":"","family":"Kalantary","given":"Roshanak Rezaei","non-dropping-particle":"","parse-names":false,"suffix":""},{"dropping-particle":"","family":"Ahmadi","given":"Ehsan","non-dropping-particle":"","parse-names":false,"suffix":""},{"dropping-particle":"","family":"Gholami","given":"Mitra","non-dropping-particle":"","parse-names":false,"suffix":""},{"dropping-particle":"","family":"Torkshavand","given":"Zahra","non-dropping-particle":"","parse-names":false,"suffix":""},{"dropping-particle":"","family":"Azizi","given":"Minoo","non-dropping-particle":"","parse-names":false,"suffix":""}],"container-title":"Journal of Porous Materials","id":"ITEM-2","issue":"4","issued":{"date-parts":[["2015","8","27"]]},"page":"1083-1096","title":"Rapid and efficient magnetically removal of heavy metals by magnetite-activated carbon composite: a statistical design approach","type":"article-journal","volume":"22"},"uris":["http://www.mendeley.com/documents/?uuid=df3b8872-a9fd-3ea1-995d-c689297446cf"]}],"mendeley":{"formattedCitation":"[5,6]","plainTextFormattedCitation":"[5,6]","previouslyFormattedCitation":"[5,6]"},"properties":{"noteIndex":0},"schema":"https://github.com/citation-style-language/schema/raw/master/csl-citation.json"}</w:instrText>
      </w:r>
      <w:r w:rsidR="00160292" w:rsidRPr="0026720E">
        <w:fldChar w:fldCharType="separate"/>
      </w:r>
      <w:r w:rsidR="00160292" w:rsidRPr="0026720E">
        <w:rPr>
          <w:noProof/>
        </w:rPr>
        <w:t>[5,6]</w:t>
      </w:r>
      <w:r w:rsidR="00160292" w:rsidRPr="0026720E">
        <w:fldChar w:fldCharType="end"/>
      </w:r>
      <w:r w:rsidR="00D2220A" w:rsidRPr="0026720E">
        <w:rPr>
          <w:rFonts w:eastAsia="宋体"/>
        </w:rPr>
        <w:t>:</w:t>
      </w:r>
    </w:p>
    <w:bookmarkStart w:id="41" w:name="OLE_LINK383"/>
    <w:bookmarkStart w:id="42" w:name="OLE_LINK384"/>
    <w:p w14:paraId="18CE5ED9" w14:textId="66E6AD31" w:rsidR="00111583" w:rsidRPr="0026720E" w:rsidRDefault="00445426" w:rsidP="00D3381F">
      <w:pPr>
        <w:widowControl/>
        <w:rPr>
          <w:rFonts w:ascii="Georgia" w:eastAsia="宋体" w:hAnsi="Georgia" w:cs="宋体"/>
          <w:color w:val="000000" w:themeColor="text1"/>
          <w:kern w:val="0"/>
          <w:szCs w:val="24"/>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q</m:t>
              </m:r>
            </m:e>
            <m:sub>
              <m:r>
                <w:rPr>
                  <w:rFonts w:ascii="Cambria Math" w:hAnsi="Cambria Math" w:cs="Times New Roman"/>
                  <w:color w:val="000000" w:themeColor="text1"/>
                </w:rPr>
                <m:t>e</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F</m:t>
              </m:r>
            </m:sub>
          </m:sSub>
          <m:sSup>
            <m:sSupPr>
              <m:ctrlPr>
                <w:rPr>
                  <w:rFonts w:ascii="Cambria Math" w:hAnsi="Cambria Math" w:cs="Times New Roman"/>
                  <w:i/>
                  <w:color w:val="000000" w:themeColor="text1"/>
                </w:rPr>
              </m:ctrlPr>
            </m:sSupPr>
            <m:e>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C</m:t>
                  </m:r>
                </m:e>
                <m:sub>
                  <m:r>
                    <w:rPr>
                      <w:rFonts w:ascii="Cambria Math" w:hAnsi="Cambria Math" w:cs="Times New Roman"/>
                      <w:color w:val="000000" w:themeColor="text1"/>
                    </w:rPr>
                    <m:t>e</m:t>
                  </m:r>
                </m:sub>
              </m:sSub>
              <m:r>
                <w:rPr>
                  <w:rFonts w:ascii="Cambria Math" w:hAnsi="Cambria Math" w:cs="Times New Roman"/>
                  <w:color w:val="000000" w:themeColor="text1"/>
                </w:rPr>
                <m:t>)</m:t>
              </m:r>
            </m:e>
            <m:sup>
              <m:r>
                <w:rPr>
                  <w:rFonts w:ascii="Cambria Math" w:hAnsi="Cambria Math" w:cs="Times New Roman"/>
                  <w:color w:val="000000" w:themeColor="text1"/>
                </w:rPr>
                <m:t>1/n</m:t>
              </m:r>
            </m:sup>
          </m:sSup>
          <m:r>
            <w:rPr>
              <w:rFonts w:ascii="Cambria Math" w:eastAsia="宋体" w:hAnsi="Cambria Math" w:cs="宋体"/>
              <w:color w:val="000000" w:themeColor="text1"/>
              <w:kern w:val="0"/>
              <w:szCs w:val="24"/>
            </w:rPr>
            <m:t xml:space="preserve"> </m:t>
          </m:r>
          <m:r>
            <m:rPr>
              <m:sty m:val="p"/>
            </m:rPr>
            <w:rPr>
              <w:rFonts w:ascii="Cambria Math" w:eastAsia="宋体" w:hAnsi="Cambria Math" w:cs="宋体"/>
              <w:color w:val="000000" w:themeColor="text1"/>
              <w:kern w:val="0"/>
              <w:szCs w:val="24"/>
            </w:rPr>
            <m:t xml:space="preserve">                                 Eq. (S8)</m:t>
          </m:r>
        </m:oMath>
      </m:oMathPara>
    </w:p>
    <w:p w14:paraId="40195B29" w14:textId="438177C8" w:rsidR="00111583" w:rsidRPr="0026720E" w:rsidRDefault="00111583" w:rsidP="0091114D">
      <w:pPr>
        <w:pStyle w:val="3-mainbody-ENG"/>
        <w:ind w:firstLineChars="0" w:firstLine="0"/>
      </w:pPr>
      <w:r w:rsidRPr="0026720E">
        <w:t xml:space="preserve">Where </w:t>
      </w:r>
      <m:oMath>
        <m:sSub>
          <m:sSubPr>
            <m:ctrlPr>
              <w:rPr>
                <w:rFonts w:ascii="Cambria Math" w:hAnsi="Cambria Math"/>
                <w:i/>
              </w:rPr>
            </m:ctrlPr>
          </m:sSubPr>
          <m:e>
            <m:r>
              <w:rPr>
                <w:rFonts w:ascii="Cambria Math" w:hAnsi="Cambria Math"/>
              </w:rPr>
              <m:t>C</m:t>
            </m:r>
          </m:e>
          <m:sub>
            <m:r>
              <w:rPr>
                <w:rFonts w:ascii="Cambria Math" w:hAnsi="Cambria Math"/>
              </w:rPr>
              <m:t>e</m:t>
            </m:r>
          </m:sub>
        </m:sSub>
      </m:oMath>
      <w:r w:rsidRPr="0026720E">
        <w:t xml:space="preserve"> is equilibrium RhB concentrations after adsorption (mg/L), </w:t>
      </w:r>
      <w:proofErr w:type="spellStart"/>
      <w:r w:rsidRPr="008F43AF">
        <w:rPr>
          <w:i/>
          <w:iCs/>
        </w:rPr>
        <w:t>q</w:t>
      </w:r>
      <w:r w:rsidRPr="008F43AF">
        <w:rPr>
          <w:vertAlign w:val="subscript"/>
        </w:rPr>
        <w:t>e</w:t>
      </w:r>
      <w:proofErr w:type="spellEnd"/>
      <w:r w:rsidRPr="0026720E">
        <w:t xml:space="preserve"> is adsorption capacity (mg/g)</w:t>
      </w:r>
      <w:r w:rsidR="008F43AF">
        <w:rPr>
          <w:rFonts w:ascii="宋体" w:hAnsi="宋体"/>
        </w:rPr>
        <w:t>.</w:t>
      </w:r>
      <w:r w:rsidRPr="0026720E">
        <w:t> </w:t>
      </w:r>
      <w:r w:rsidRPr="0026720E">
        <w:rPr>
          <w:rStyle w:val="af6"/>
          <w:color w:val="000000" w:themeColor="text1"/>
        </w:rPr>
        <w:t>K</w:t>
      </w:r>
      <w:r w:rsidRPr="008F43AF">
        <w:rPr>
          <w:rStyle w:val="af6"/>
          <w:i w:val="0"/>
          <w:iCs w:val="0"/>
          <w:color w:val="000000" w:themeColor="text1"/>
          <w:vertAlign w:val="subscript"/>
        </w:rPr>
        <w:t>F</w:t>
      </w:r>
      <w:r w:rsidRPr="0026720E">
        <w:t> </w:t>
      </w:r>
      <m:oMath>
        <m:r>
          <m:rPr>
            <m:sty m:val="p"/>
          </m:rPr>
          <w:rPr>
            <w:rFonts w:ascii="Cambria Math" w:hAnsi="Cambria Math"/>
          </w:rPr>
          <m:t>[mg/g</m:t>
        </m:r>
        <m:sSup>
          <m:sSupPr>
            <m:ctrlPr>
              <w:rPr>
                <w:rFonts w:ascii="Cambria Math" w:hAnsi="Cambria Math"/>
                <w:vertAlign w:val="superscript"/>
              </w:rPr>
            </m:ctrlPr>
          </m:sSupPr>
          <m:e>
            <m:r>
              <m:rPr>
                <m:sty m:val="p"/>
              </m:rPr>
              <w:rPr>
                <w:rFonts w:ascii="Cambria Math" w:hAnsi="Cambria Math"/>
              </w:rPr>
              <m:t>(L∙mg)</m:t>
            </m:r>
          </m:e>
          <m:sup>
            <m:r>
              <m:rPr>
                <m:sty m:val="p"/>
              </m:rPr>
              <w:rPr>
                <w:rFonts w:ascii="Cambria Math" w:hAnsi="Cambria Math"/>
                <w:vertAlign w:val="superscript"/>
              </w:rPr>
              <m:t>1/</m:t>
            </m:r>
            <m:r>
              <w:rPr>
                <w:rFonts w:ascii="Cambria Math" w:hAnsi="Cambria Math"/>
                <w:vertAlign w:val="superscript"/>
              </w:rPr>
              <m:t>n</m:t>
            </m:r>
          </m:sup>
        </m:sSup>
        <m:r>
          <m:rPr>
            <m:sty m:val="p"/>
          </m:rPr>
          <w:rPr>
            <w:rFonts w:ascii="Cambria Math" w:hAnsi="Cambria Math"/>
          </w:rPr>
          <m:t>]</m:t>
        </m:r>
      </m:oMath>
      <w:r w:rsidRPr="0026720E">
        <w:rPr>
          <w:rFonts w:hint="eastAsia"/>
        </w:rPr>
        <w:t xml:space="preserve"> </w:t>
      </w:r>
      <w:r w:rsidRPr="0026720E">
        <w:t xml:space="preserve">and </w:t>
      </w:r>
      <w:r w:rsidRPr="008F43AF">
        <w:rPr>
          <w:i/>
          <w:iCs/>
        </w:rPr>
        <w:t>n</w:t>
      </w:r>
      <w:r w:rsidRPr="0026720E">
        <w:t xml:space="preserve"> </w:t>
      </w:r>
      <w:bookmarkStart w:id="43" w:name="OLE_LINK281"/>
      <w:bookmarkStart w:id="44" w:name="OLE_LINK282"/>
      <w:r w:rsidRPr="0026720E">
        <w:t>are Freundlich constants indicating sorption capacity (mg g</w:t>
      </w:r>
      <w:r w:rsidRPr="0026720E">
        <w:rPr>
          <w:vertAlign w:val="superscript"/>
        </w:rPr>
        <w:t>−1</w:t>
      </w:r>
      <w:r w:rsidRPr="0026720E">
        <w:t>) and intensity, respectively.</w:t>
      </w:r>
      <w:bookmarkEnd w:id="43"/>
      <w:bookmarkEnd w:id="44"/>
    </w:p>
    <w:p w14:paraId="27CB13CE" w14:textId="4B285F8E" w:rsidR="00111583" w:rsidRPr="0026720E" w:rsidRDefault="00445426" w:rsidP="00111583">
      <w:pPr>
        <w:spacing w:line="480" w:lineRule="auto"/>
        <w:rPr>
          <w:rFonts w:cs="Times New Roman"/>
          <w:color w:val="000000" w:themeColor="text1"/>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q</m:t>
              </m:r>
            </m:e>
            <m:sub>
              <m:r>
                <w:rPr>
                  <w:rFonts w:ascii="Cambria Math" w:hAnsi="Cambria Math" w:cs="Times New Roman"/>
                  <w:color w:val="000000" w:themeColor="text1"/>
                </w:rPr>
                <m:t>e</m:t>
              </m:r>
            </m:sub>
          </m:sSub>
          <m:r>
            <w:rPr>
              <w:rFonts w:ascii="Cambria Math" w:hAnsi="Cambria Math" w:cs="Times New Roman"/>
              <w:color w:val="000000" w:themeColor="text1"/>
            </w:rPr>
            <m:t>=(</m:t>
          </m:r>
          <m:sSub>
            <m:sSubPr>
              <m:ctrlPr>
                <w:rPr>
                  <w:rFonts w:ascii="Cambria Math" w:hAnsi="Cambria Math" w:cs="Times New Roman"/>
                  <w:i/>
                  <w:color w:val="000000" w:themeColor="text1"/>
                </w:rPr>
              </m:ctrlPr>
            </m:sSubPr>
            <m:e>
              <m:r>
                <w:rPr>
                  <w:rFonts w:ascii="Cambria Math" w:hAnsi="Cambria Math" w:cs="Times New Roman"/>
                  <w:color w:val="000000" w:themeColor="text1"/>
                </w:rPr>
                <m:t>q</m:t>
              </m:r>
            </m:e>
            <m:sub>
              <m:r>
                <w:rPr>
                  <w:rFonts w:ascii="Cambria Math" w:hAnsi="Cambria Math" w:cs="Times New Roman"/>
                  <w:color w:val="000000" w:themeColor="text1"/>
                </w:rPr>
                <m:t>m</m:t>
              </m:r>
            </m:sub>
          </m:sSub>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L</m:t>
              </m:r>
            </m:sub>
          </m:sSub>
          <m:sSub>
            <m:sSubPr>
              <m:ctrlPr>
                <w:rPr>
                  <w:rFonts w:ascii="Cambria Math" w:hAnsi="Cambria Math" w:cs="Times New Roman"/>
                  <w:i/>
                  <w:color w:val="000000" w:themeColor="text1"/>
                </w:rPr>
              </m:ctrlPr>
            </m:sSubPr>
            <m:e>
              <m:r>
                <w:rPr>
                  <w:rFonts w:ascii="Cambria Math" w:hAnsi="Cambria Math" w:cs="Times New Roman"/>
                  <w:color w:val="000000" w:themeColor="text1"/>
                </w:rPr>
                <m:t>C</m:t>
              </m:r>
            </m:e>
            <m:sub>
              <m:r>
                <w:rPr>
                  <w:rFonts w:ascii="Cambria Math" w:hAnsi="Cambria Math" w:cs="Times New Roman"/>
                  <w:color w:val="000000" w:themeColor="text1"/>
                </w:rPr>
                <m:t>e</m:t>
              </m:r>
            </m:sub>
          </m:sSub>
          <m:r>
            <w:rPr>
              <w:rFonts w:ascii="Cambria Math" w:hAnsi="Cambria Math" w:cs="Times New Roman"/>
              <w:color w:val="000000" w:themeColor="text1"/>
            </w:rPr>
            <m:t>)/(1+</m:t>
          </m:r>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L</m:t>
              </m:r>
            </m:sub>
          </m:sSub>
          <m:sSub>
            <m:sSubPr>
              <m:ctrlPr>
                <w:rPr>
                  <w:rFonts w:ascii="Cambria Math" w:hAnsi="Cambria Math" w:cs="Times New Roman"/>
                  <w:i/>
                  <w:color w:val="000000" w:themeColor="text1"/>
                </w:rPr>
              </m:ctrlPr>
            </m:sSubPr>
            <m:e>
              <m:r>
                <w:rPr>
                  <w:rFonts w:ascii="Cambria Math" w:hAnsi="Cambria Math" w:cs="Times New Roman"/>
                  <w:color w:val="000000" w:themeColor="text1"/>
                </w:rPr>
                <m:t>C</m:t>
              </m:r>
            </m:e>
            <m:sub>
              <m:r>
                <w:rPr>
                  <w:rFonts w:ascii="Cambria Math" w:hAnsi="Cambria Math" w:cs="Times New Roman"/>
                  <w:color w:val="000000" w:themeColor="text1"/>
                </w:rPr>
                <m:t>e</m:t>
              </m:r>
            </m:sub>
          </m:sSub>
          <m:r>
            <w:rPr>
              <w:rFonts w:ascii="Cambria Math" w:hAnsi="Cambria Math" w:cs="Times New Roman"/>
              <w:color w:val="000000" w:themeColor="text1"/>
            </w:rPr>
            <m:t>)</m:t>
          </m:r>
          <m:r>
            <m:rPr>
              <m:sty m:val="p"/>
            </m:rPr>
            <w:rPr>
              <w:rFonts w:ascii="Cambria Math" w:eastAsia="宋体" w:hAnsi="Cambria Math" w:cs="宋体"/>
              <w:color w:val="000000" w:themeColor="text1"/>
              <w:kern w:val="0"/>
              <w:szCs w:val="24"/>
            </w:rPr>
            <m:t xml:space="preserve">            Eq. (S9)</m:t>
          </m:r>
        </m:oMath>
      </m:oMathPara>
    </w:p>
    <w:p w14:paraId="34C38C7F" w14:textId="77777777" w:rsidR="00111583" w:rsidRPr="0026720E" w:rsidRDefault="00111583" w:rsidP="0091114D">
      <w:pPr>
        <w:pStyle w:val="3-mainbody-ENG"/>
        <w:ind w:firstLineChars="0" w:firstLine="0"/>
      </w:pPr>
      <w:r w:rsidRPr="0026720E">
        <w:lastRenderedPageBreak/>
        <w:t>A</w:t>
      </w:r>
      <w:r w:rsidRPr="0026720E">
        <w:rPr>
          <w:rFonts w:hint="eastAsia"/>
        </w:rPr>
        <w:t>n</w:t>
      </w:r>
      <w:r w:rsidRPr="0026720E">
        <w:t>d where </w:t>
      </w:r>
      <w:proofErr w:type="spellStart"/>
      <w:r w:rsidRPr="0026720E">
        <w:rPr>
          <w:rStyle w:val="af6"/>
          <w:color w:val="000000" w:themeColor="text1"/>
        </w:rPr>
        <w:t>q</w:t>
      </w:r>
      <w:r w:rsidRPr="0026720E">
        <w:rPr>
          <w:vertAlign w:val="subscript"/>
        </w:rPr>
        <w:t>m</w:t>
      </w:r>
      <w:proofErr w:type="spellEnd"/>
      <w:r w:rsidRPr="0026720E">
        <w:t> is the maximum adsorption at monolayer (mg g</w:t>
      </w:r>
      <w:r w:rsidRPr="0026720E">
        <w:rPr>
          <w:vertAlign w:val="superscript"/>
        </w:rPr>
        <w:t>−1</w:t>
      </w:r>
      <w:r w:rsidRPr="0026720E">
        <w:t>), </w:t>
      </w:r>
      <w:r w:rsidRPr="0026720E">
        <w:rPr>
          <w:rStyle w:val="af6"/>
          <w:color w:val="000000" w:themeColor="text1"/>
        </w:rPr>
        <w:t>C</w:t>
      </w:r>
      <w:r w:rsidRPr="0026720E">
        <w:rPr>
          <w:rStyle w:val="af6"/>
          <w:color w:val="000000" w:themeColor="text1"/>
          <w:vertAlign w:val="subscript"/>
        </w:rPr>
        <w:t>e</w:t>
      </w:r>
      <w:r w:rsidRPr="0026720E">
        <w:t> is the equilibrium concentration of metal ion, </w:t>
      </w:r>
      <w:proofErr w:type="spellStart"/>
      <w:r w:rsidRPr="0026720E">
        <w:rPr>
          <w:rStyle w:val="af6"/>
          <w:color w:val="000000" w:themeColor="text1"/>
        </w:rPr>
        <w:t>q</w:t>
      </w:r>
      <w:r w:rsidRPr="0026720E">
        <w:rPr>
          <w:rStyle w:val="af6"/>
          <w:color w:val="000000" w:themeColor="text1"/>
          <w:vertAlign w:val="subscript"/>
        </w:rPr>
        <w:t>e</w:t>
      </w:r>
      <w:proofErr w:type="spellEnd"/>
      <w:r w:rsidRPr="0026720E">
        <w:t> is the amount of ion adsorbed per unit weight of adsorbent at equilibrium concentration (mg g</w:t>
      </w:r>
      <w:r w:rsidRPr="0026720E">
        <w:rPr>
          <w:vertAlign w:val="superscript"/>
        </w:rPr>
        <w:t>−1</w:t>
      </w:r>
      <w:r w:rsidRPr="0026720E">
        <w:t>) and </w:t>
      </w:r>
      <w:r w:rsidRPr="0026720E">
        <w:rPr>
          <w:rStyle w:val="af6"/>
          <w:color w:val="000000" w:themeColor="text1"/>
        </w:rPr>
        <w:t>K</w:t>
      </w:r>
      <w:r w:rsidRPr="0026720E">
        <w:rPr>
          <w:vertAlign w:val="subscript"/>
        </w:rPr>
        <w:t>L</w:t>
      </w:r>
      <w:r w:rsidRPr="0026720E">
        <w:t> is the Langmuir constant related to the affinity of binding sites (L/mg). A linearized plot of </w:t>
      </w:r>
      <w:r w:rsidRPr="0026720E">
        <w:rPr>
          <w:rStyle w:val="af6"/>
          <w:color w:val="000000" w:themeColor="text1"/>
        </w:rPr>
        <w:t>C</w:t>
      </w:r>
      <w:r w:rsidRPr="0026720E">
        <w:rPr>
          <w:rStyle w:val="af6"/>
          <w:color w:val="000000" w:themeColor="text1"/>
          <w:vertAlign w:val="subscript"/>
        </w:rPr>
        <w:t>e</w:t>
      </w:r>
      <w:r w:rsidRPr="0026720E">
        <w:t>/</w:t>
      </w:r>
      <w:proofErr w:type="spellStart"/>
      <w:r w:rsidRPr="0026720E">
        <w:rPr>
          <w:rStyle w:val="af6"/>
          <w:color w:val="000000" w:themeColor="text1"/>
        </w:rPr>
        <w:t>q</w:t>
      </w:r>
      <w:r w:rsidRPr="0026720E">
        <w:rPr>
          <w:rStyle w:val="af6"/>
          <w:color w:val="000000" w:themeColor="text1"/>
          <w:vertAlign w:val="subscript"/>
        </w:rPr>
        <w:t>e</w:t>
      </w:r>
      <w:proofErr w:type="spellEnd"/>
      <w:r w:rsidRPr="0026720E">
        <w:t> against </w:t>
      </w:r>
      <w:r w:rsidRPr="0026720E">
        <w:rPr>
          <w:rStyle w:val="af6"/>
          <w:color w:val="000000" w:themeColor="text1"/>
        </w:rPr>
        <w:t>C</w:t>
      </w:r>
      <w:r w:rsidRPr="0026720E">
        <w:rPr>
          <w:rStyle w:val="af6"/>
          <w:color w:val="000000" w:themeColor="text1"/>
          <w:vertAlign w:val="subscript"/>
        </w:rPr>
        <w:t>e</w:t>
      </w:r>
      <w:r w:rsidRPr="0026720E">
        <w:t> gives </w:t>
      </w:r>
      <w:proofErr w:type="spellStart"/>
      <w:r w:rsidRPr="0026720E">
        <w:rPr>
          <w:rStyle w:val="af6"/>
          <w:color w:val="000000" w:themeColor="text1"/>
        </w:rPr>
        <w:t>q</w:t>
      </w:r>
      <w:r w:rsidRPr="0026720E">
        <w:rPr>
          <w:vertAlign w:val="subscript"/>
        </w:rPr>
        <w:t>m</w:t>
      </w:r>
      <w:proofErr w:type="spellEnd"/>
      <w:r w:rsidRPr="0026720E">
        <w:t> and </w:t>
      </w:r>
      <w:r w:rsidRPr="0026720E">
        <w:rPr>
          <w:rStyle w:val="af6"/>
          <w:color w:val="000000" w:themeColor="text1"/>
        </w:rPr>
        <w:t>K</w:t>
      </w:r>
      <w:r w:rsidRPr="0026720E">
        <w:rPr>
          <w:vertAlign w:val="subscript"/>
        </w:rPr>
        <w:t>L</w:t>
      </w:r>
      <w:r w:rsidRPr="0026720E">
        <w:t>.</w:t>
      </w:r>
    </w:p>
    <w:p w14:paraId="4CF1A2A0" w14:textId="32A3A61C" w:rsidR="00111583" w:rsidRPr="0026720E" w:rsidRDefault="00445426" w:rsidP="00111583">
      <w:pPr>
        <w:spacing w:line="480" w:lineRule="auto"/>
        <w:rPr>
          <w:rFonts w:cs="Times New Roman"/>
          <w:color w:val="000000" w:themeColor="text1"/>
        </w:rPr>
      </w:pPr>
      <m:oMathPara>
        <m:oMath>
          <m:sSub>
            <m:sSubPr>
              <m:ctrlPr>
                <w:rPr>
                  <w:rFonts w:ascii="Cambria Math" w:hAnsi="Cambria Math" w:cs="Times New Roman"/>
                  <w:i/>
                  <w:color w:val="000000" w:themeColor="text1"/>
                </w:rPr>
              </m:ctrlPr>
            </m:sSubPr>
            <m:e>
              <m:r>
                <w:rPr>
                  <w:rFonts w:ascii="Cambria Math" w:hAnsi="Cambria Math" w:cs="Times New Roman"/>
                  <w:color w:val="000000" w:themeColor="text1"/>
                </w:rPr>
                <m:t>q</m:t>
              </m:r>
            </m:e>
            <m:sub>
              <m:r>
                <w:rPr>
                  <w:rFonts w:ascii="Cambria Math" w:hAnsi="Cambria Math" w:cs="Times New Roman"/>
                  <w:color w:val="000000" w:themeColor="text1"/>
                </w:rPr>
                <m:t>e</m:t>
              </m:r>
            </m:sub>
          </m:sSub>
          <m:r>
            <w:rPr>
              <w:rFonts w:ascii="Cambria Math" w:hAnsi="Cambria Math" w:cs="Times New Roman"/>
              <w:color w:val="000000" w:themeColor="text1"/>
            </w:rPr>
            <m:t>=</m:t>
          </m:r>
          <w:bookmarkStart w:id="45" w:name="OLE_LINK273"/>
          <w:bookmarkStart w:id="46" w:name="OLE_LINK274"/>
          <m:sSub>
            <m:sSubPr>
              <m:ctrlPr>
                <w:rPr>
                  <w:rFonts w:ascii="Cambria Math" w:hAnsi="Cambria Math" w:cs="Times New Roman"/>
                  <w:i/>
                  <w:color w:val="000000" w:themeColor="text1"/>
                </w:rPr>
              </m:ctrlPr>
            </m:sSubPr>
            <m:e>
              <m:r>
                <w:rPr>
                  <w:rFonts w:ascii="Cambria Math" w:hAnsi="Cambria Math" w:cs="Times New Roman"/>
                  <w:color w:val="000000" w:themeColor="text1"/>
                </w:rPr>
                <m:t>q</m:t>
              </m:r>
            </m:e>
            <m:sub>
              <m:r>
                <w:rPr>
                  <w:rFonts w:ascii="Cambria Math" w:hAnsi="Cambria Math" w:cs="Times New Roman"/>
                  <w:color w:val="000000" w:themeColor="text1"/>
                </w:rPr>
                <m:t>m</m:t>
              </m:r>
            </m:sub>
          </m:sSub>
          <m:r>
            <w:rPr>
              <w:rFonts w:ascii="Cambria Math" w:hAnsi="Cambria Math" w:cs="Times New Roman"/>
              <w:color w:val="000000" w:themeColor="text1"/>
            </w:rPr>
            <m:t>ln</m:t>
          </m:r>
          <w:bookmarkStart w:id="47" w:name="OLE_LINK275"/>
          <w:bookmarkStart w:id="48" w:name="OLE_LINK276"/>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T</m:t>
              </m:r>
            </m:sub>
          </m:sSub>
          <w:bookmarkEnd w:id="45"/>
          <w:bookmarkEnd w:id="46"/>
          <w:bookmarkEnd w:id="47"/>
          <w:bookmarkEnd w:id="48"/>
          <m:r>
            <w:rPr>
              <w:rFonts w:ascii="Cambria Math" w:hAnsi="Cambria Math" w:cs="Times New Roman"/>
              <w:color w:val="000000" w:themeColor="text1"/>
            </w:rPr>
            <m:t>+</m:t>
          </m:r>
          <m:sSub>
            <m:sSubPr>
              <m:ctrlPr>
                <w:rPr>
                  <w:rFonts w:ascii="Cambria Math" w:hAnsi="Cambria Math" w:cs="Times New Roman"/>
                  <w:i/>
                  <w:color w:val="000000" w:themeColor="text1"/>
                </w:rPr>
              </m:ctrlPr>
            </m:sSubPr>
            <m:e>
              <m:sSub>
                <m:sSubPr>
                  <m:ctrlPr>
                    <w:rPr>
                      <w:rFonts w:ascii="Cambria Math" w:hAnsi="Cambria Math" w:cs="Times New Roman"/>
                      <w:i/>
                      <w:color w:val="000000" w:themeColor="text1"/>
                    </w:rPr>
                  </m:ctrlPr>
                </m:sSubPr>
                <m:e>
                  <m:r>
                    <w:rPr>
                      <w:rFonts w:ascii="Cambria Math" w:hAnsi="Cambria Math" w:cs="Times New Roman"/>
                      <w:color w:val="000000" w:themeColor="text1"/>
                    </w:rPr>
                    <m:t>q</m:t>
                  </m:r>
                </m:e>
                <m:sub>
                  <m:r>
                    <w:rPr>
                      <w:rFonts w:ascii="Cambria Math" w:hAnsi="Cambria Math" w:cs="Times New Roman"/>
                      <w:color w:val="000000" w:themeColor="text1"/>
                    </w:rPr>
                    <m:t>m</m:t>
                  </m:r>
                </m:sub>
              </m:sSub>
              <m:r>
                <w:rPr>
                  <w:rFonts w:ascii="Cambria Math" w:hAnsi="Cambria Math" w:cs="Times New Roman"/>
                  <w:color w:val="000000" w:themeColor="text1"/>
                </w:rPr>
                <m:t>lnC</m:t>
              </m:r>
            </m:e>
            <m:sub>
              <m:r>
                <w:rPr>
                  <w:rFonts w:ascii="Cambria Math" w:hAnsi="Cambria Math" w:cs="Times New Roman"/>
                  <w:color w:val="000000" w:themeColor="text1"/>
                </w:rPr>
                <m:t>e</m:t>
              </m:r>
            </m:sub>
          </m:sSub>
          <m:r>
            <m:rPr>
              <m:sty m:val="p"/>
            </m:rPr>
            <w:rPr>
              <w:rFonts w:ascii="Cambria Math" w:eastAsia="宋体" w:hAnsi="Cambria Math" w:cs="宋体"/>
              <w:color w:val="000000" w:themeColor="text1"/>
              <w:kern w:val="0"/>
              <w:szCs w:val="24"/>
            </w:rPr>
            <m:t xml:space="preserve">                 Eq. (S10)</m:t>
          </m:r>
        </m:oMath>
      </m:oMathPara>
    </w:p>
    <w:p w14:paraId="6CF8C0B2" w14:textId="0B1399EE" w:rsidR="00111583" w:rsidRPr="0026720E" w:rsidRDefault="00111583" w:rsidP="0091114D">
      <w:pPr>
        <w:pStyle w:val="3-mainbody-ENG"/>
        <w:ind w:firstLineChars="0" w:firstLine="0"/>
        <w:rPr>
          <w:sz w:val="27"/>
          <w:szCs w:val="27"/>
        </w:rPr>
      </w:pPr>
      <w:r w:rsidRPr="0026720E">
        <w:t xml:space="preserve">Where </w:t>
      </w:r>
      <w:proofErr w:type="spellStart"/>
      <w:r w:rsidRPr="0026720E">
        <w:rPr>
          <w:i/>
          <w:iCs/>
        </w:rPr>
        <w:t>q</w:t>
      </w:r>
      <w:r w:rsidRPr="0026720E">
        <w:rPr>
          <w:vertAlign w:val="subscript"/>
        </w:rPr>
        <w:t>m</w:t>
      </w:r>
      <w:proofErr w:type="spellEnd"/>
      <w:r w:rsidRPr="0026720E">
        <w:rPr>
          <w:vertAlign w:val="subscript"/>
        </w:rPr>
        <w:t xml:space="preserve"> </w:t>
      </w:r>
      <w:r w:rsidRPr="0026720E">
        <w:t>(mg g</w:t>
      </w:r>
      <w:r w:rsidRPr="0026720E">
        <w:rPr>
          <w:vertAlign w:val="superscript"/>
        </w:rPr>
        <w:t>−1</w:t>
      </w:r>
      <w:r w:rsidRPr="0026720E">
        <w:t xml:space="preserve">) and </w:t>
      </w:r>
      <m:oMath>
        <m:sSub>
          <m:sSubPr>
            <m:ctrlPr>
              <w:rPr>
                <w:rFonts w:ascii="Cambria Math" w:hAnsi="Cambria Math"/>
              </w:rPr>
            </m:ctrlPr>
          </m:sSubPr>
          <m:e>
            <m:r>
              <w:rPr>
                <w:rFonts w:ascii="Cambria Math" w:hAnsi="Cambria Math"/>
              </w:rPr>
              <m:t>k</m:t>
            </m:r>
          </m:e>
          <m:sub>
            <m:r>
              <m:rPr>
                <m:sty m:val="p"/>
              </m:rPr>
              <w:rPr>
                <w:rFonts w:ascii="Cambria Math" w:hAnsi="Cambria Math"/>
              </w:rPr>
              <m:t>T</m:t>
            </m:r>
          </m:sub>
        </m:sSub>
      </m:oMath>
      <w:r w:rsidRPr="0026720E">
        <w:t xml:space="preserve"> are the relevant parameters </w:t>
      </w:r>
      <w:bookmarkStart w:id="49" w:name="OLE_LINK279"/>
      <w:bookmarkStart w:id="50" w:name="OLE_LINK280"/>
      <w:r w:rsidRPr="0026720E">
        <w:t>of Temkin mode</w:t>
      </w:r>
      <w:bookmarkEnd w:id="49"/>
      <w:bookmarkEnd w:id="50"/>
      <w:r w:rsidRPr="0026720E">
        <w:t>. </w:t>
      </w:r>
      <w:r w:rsidRPr="0026720E">
        <w:rPr>
          <w:i/>
          <w:iCs/>
        </w:rPr>
        <w:t>K</w:t>
      </w:r>
      <w:r w:rsidRPr="0076211F">
        <w:rPr>
          <w:vertAlign w:val="subscript"/>
        </w:rPr>
        <w:t>F</w:t>
      </w:r>
      <w:r w:rsidRPr="0076211F">
        <w:t> </w:t>
      </w:r>
      <w:r w:rsidRPr="0026720E">
        <w:t xml:space="preserve">and </w:t>
      </w:r>
      <w:r w:rsidRPr="0076211F">
        <w:rPr>
          <w:i/>
          <w:iCs/>
        </w:rPr>
        <w:t xml:space="preserve">n </w:t>
      </w:r>
      <w:r w:rsidRPr="0026720E">
        <w:t>can be determined from linear plot of log </w:t>
      </w:r>
      <w:proofErr w:type="spellStart"/>
      <w:r w:rsidRPr="0026720E">
        <w:rPr>
          <w:i/>
          <w:iCs/>
        </w:rPr>
        <w:t>q</w:t>
      </w:r>
      <w:r w:rsidRPr="00630218">
        <w:rPr>
          <w:i/>
          <w:iCs/>
          <w:vertAlign w:val="subscript"/>
        </w:rPr>
        <w:t>e</w:t>
      </w:r>
      <w:proofErr w:type="spellEnd"/>
      <w:r w:rsidRPr="0026720E">
        <w:t> against log </w:t>
      </w:r>
      <w:r w:rsidRPr="0026720E">
        <w:rPr>
          <w:i/>
          <w:iCs/>
        </w:rPr>
        <w:t>C</w:t>
      </w:r>
      <w:r w:rsidRPr="00630218">
        <w:rPr>
          <w:i/>
          <w:iCs/>
          <w:vertAlign w:val="subscript"/>
        </w:rPr>
        <w:t>e</w:t>
      </w:r>
      <w:r w:rsidRPr="0026720E">
        <w:t>. All the calculated results of Langmuir, F</w:t>
      </w:r>
      <w:r w:rsidRPr="0026720E">
        <w:rPr>
          <w:rFonts w:hint="eastAsia"/>
        </w:rPr>
        <w:t>re</w:t>
      </w:r>
      <w:r w:rsidRPr="0026720E">
        <w:t>undlich</w:t>
      </w:r>
      <w:r w:rsidR="0076211F">
        <w:t>,</w:t>
      </w:r>
      <w:r w:rsidRPr="0026720E">
        <w:t xml:space="preserve"> and Temkin models regarding the </w:t>
      </w:r>
      <w:proofErr w:type="spellStart"/>
      <w:r w:rsidRPr="0026720E">
        <w:t>RhB</w:t>
      </w:r>
      <w:proofErr w:type="spellEnd"/>
      <w:r w:rsidRPr="0026720E">
        <w:t xml:space="preserve"> adsorption on ZN-CS are given in Table</w:t>
      </w:r>
      <w:r w:rsidR="00F42DFB">
        <w:t xml:space="preserve"> S</w:t>
      </w:r>
      <w:r w:rsidRPr="0026720E">
        <w:t>2.</w:t>
      </w:r>
      <w:r w:rsidRPr="0026720E">
        <w:rPr>
          <w:sz w:val="27"/>
          <w:szCs w:val="27"/>
        </w:rPr>
        <w:t xml:space="preserve"> </w:t>
      </w:r>
    </w:p>
    <w:p w14:paraId="2E1A0444" w14:textId="280F3C8B" w:rsidR="00E51E10" w:rsidRDefault="00160292" w:rsidP="001C16B4">
      <w:pPr>
        <w:pStyle w:val="3-mainbody-ENG"/>
        <w:ind w:firstLine="210"/>
      </w:pPr>
      <w:r w:rsidRPr="0026720E">
        <w:t xml:space="preserve">And the results in </w:t>
      </w:r>
      <w:r w:rsidR="0091114D">
        <w:t>T</w:t>
      </w:r>
      <w:r w:rsidRPr="0026720E">
        <w:t>able</w:t>
      </w:r>
      <w:r w:rsidR="00F42DFB">
        <w:t xml:space="preserve"> S</w:t>
      </w:r>
      <w:r w:rsidRPr="0026720E">
        <w:t xml:space="preserve">2 </w:t>
      </w:r>
      <w:r w:rsidRPr="0026720E">
        <w:rPr>
          <w:rFonts w:hint="eastAsia"/>
        </w:rPr>
        <w:t>showed</w:t>
      </w:r>
      <w:r w:rsidRPr="0026720E">
        <w:t xml:space="preserve"> that the adsorption of </w:t>
      </w:r>
      <w:proofErr w:type="spellStart"/>
      <w:r w:rsidRPr="0026720E">
        <w:t>R</w:t>
      </w:r>
      <w:r w:rsidRPr="0026720E">
        <w:rPr>
          <w:rFonts w:hint="eastAsia"/>
        </w:rPr>
        <w:t>h</w:t>
      </w:r>
      <w:r w:rsidRPr="0026720E">
        <w:t>B</w:t>
      </w:r>
      <w:proofErr w:type="spellEnd"/>
      <w:r w:rsidRPr="0026720E">
        <w:t xml:space="preserve"> onto ZN-CS well fitted with the Langmuir model compared to the Freundlich and </w:t>
      </w:r>
      <w:proofErr w:type="spellStart"/>
      <w:r w:rsidRPr="0026720E">
        <w:t>Tempkin</w:t>
      </w:r>
      <w:proofErr w:type="spellEnd"/>
      <w:r w:rsidRPr="0026720E">
        <w:t xml:space="preserve"> models based on obtained regression coefficients. This </w:t>
      </w:r>
      <w:r w:rsidRPr="0026720E">
        <w:rPr>
          <w:rFonts w:hint="eastAsia"/>
        </w:rPr>
        <w:t>indicates</w:t>
      </w:r>
      <w:r w:rsidRPr="0026720E">
        <w:t xml:space="preserve"> that the adsorption process happens on a homogeneous surface and takes place in a monolayer manner</w:t>
      </w:r>
      <w:r w:rsidR="0076211F">
        <w:t xml:space="preserve"> </w:t>
      </w:r>
      <w:r w:rsidRPr="0026720E">
        <w:fldChar w:fldCharType="begin" w:fldLock="1"/>
      </w:r>
      <w:r w:rsidRPr="0026720E">
        <w:instrText>ADDIN CSL_CITATION {"citationItems":[{"id":"ITEM-1","itemData":{"DOI":"10.1186/s40201-014-0115-5","ISSN":"2052-336X","abstract":"Recently, adsorption process has been introduced as a favorable and effective technique for the removal of metal ions from aqueous solutions. In the present study, bimetallic nanoparticles consisting of zero valent iron and silver were loaded on the activated carbon powder for the preparation of a new adsorbent (PAC-Fe°/Ag). The above adsorbent was characterized by using XRD, SEM and TEM techniqes. Experimental data were exploited for kinetic, equilibrium and thermodynamic evaluations related to the adsorption processes. The Cr(VI) adsorption process was found to be favorable at pH 3 and it reached equilibrium state within 60 min. The stirring rate did not have a significant effect on the adsorption efficiency. Furthermore, the monolayer adsorption capacity of Cr(VI) based on the Langmuir model was measured to be 100 mg/g. The experimental equilibrium data were fitted to the Freundlich adsorption and pseudo second-order models. According to the thermodynamic study, the adsorption process was spontaneous and endothermic in nature, indicating the adsorption capacity increases with increasing the temperature. The results also revealed that the synthesized composite can be potentially applied as a magnetic adsorbent to remove Cr(VI) contaminants from aqueous solutions.","author":[{"dropping-particle":"","family":"Kakavandi","given":"Babak","non-dropping-particle":"","parse-names":false,"suffix":""},{"dropping-particle":"","family":"Kalantary","given":"Roshanak Rezaei","non-dropping-particle":"","parse-names":false,"suffix":""},{"dropping-particle":"","family":"Farzadkia","given":"Mahdi","non-dropping-particle":"","parse-names":false,"suffix":""},{"dropping-particle":"","family":"Mahvi","given":"Amir Hossein","non-dropping-particle":"","parse-names":false,"suffix":""},{"dropping-particle":"","family":"Esrafili","given":"Ali","non-dropping-particle":"","parse-names":false,"suffix":""},{"dropping-particle":"","family":"Azari","given":"Ali","non-dropping-particle":"","parse-names":false,"suffix":""},{"dropping-particle":"","family":"Yari","given":"Ahmad Reza","non-dropping-particle":"","parse-names":false,"suffix":""},{"dropping-particle":"","family":"Javid","given":"Allah Bakhsh","non-dropping-particle":"","parse-names":false,"suffix":""}],"container-title":"Journal of Environmental Health Science and Engineering","id":"ITEM-1","issue":"1","issued":{"date-parts":[["2014","12","21"]]},"page":"115","title":"Enhanced chromium (VI) removal using activated carbon modified by zero valent iron and silver bimetallic nanoparticles","type":"article-journal","volume":"12"},"uris":["http://www.mendeley.com/documents/?uuid=4dd9c9de-4e62-34ac-ae52-6cfdb34f856a"]}],"mendeley":{"formattedCitation":"[7]","plainTextFormattedCitation":"[7]","previouslyFormattedCitation":"[9]"},"properties":{"noteIndex":0},"schema":"https://github.com/citation-style-language/schema/raw/master/csl-citation.json"}</w:instrText>
      </w:r>
      <w:r w:rsidRPr="0026720E">
        <w:fldChar w:fldCharType="separate"/>
      </w:r>
      <w:r w:rsidRPr="0026720E">
        <w:rPr>
          <w:noProof/>
        </w:rPr>
        <w:t>[7]</w:t>
      </w:r>
      <w:r w:rsidRPr="0026720E">
        <w:fldChar w:fldCharType="end"/>
      </w:r>
      <w:r w:rsidRPr="0026720E">
        <w:t>. A</w:t>
      </w:r>
      <w:r w:rsidRPr="0026720E">
        <w:rPr>
          <w:rFonts w:hint="eastAsia"/>
        </w:rPr>
        <w:t>nd</w:t>
      </w:r>
      <w:r w:rsidRPr="0026720E">
        <w:t xml:space="preserve"> </w:t>
      </w:r>
      <w:r w:rsidRPr="0026720E">
        <w:rPr>
          <w:rFonts w:hint="eastAsia"/>
        </w:rPr>
        <w:t>s</w:t>
      </w:r>
      <w:r w:rsidRPr="0026720E">
        <w:t xml:space="preserve">imilar observations have reported for different adsorbents in the literature </w:t>
      </w:r>
      <w:r w:rsidRPr="0026720E">
        <w:fldChar w:fldCharType="begin" w:fldLock="1"/>
      </w:r>
      <w:r w:rsidRPr="0026720E">
        <w:instrText>ADDIN CSL_CITATION {"citationItems":[{"id":"ITEM-1","itemData":{"DOI":"10.1016/j.synthmet.2020.116332","ISSN":"03796779","abstract":"A new composite electrode with porous interconnected nano-dendritic structures was prepared by electrochemical co-deposition of graphene oxide and polypyrrole (GO-PPy) on a copper-nickel foam (CNF) substrate, and used for the electrosorption of Rhodamine B (RhB). The physical properties of the electrode were systematically characterized by a scanning electron microscope (equipped with energy-dispersive X-ray), X-ray diffraction, X-ray photoelectron spectroscopy and nitrogen adsorption/desorption. The operating conditions for electrosorption, i.e. electrolyte concentrations, applied potentials and pH, were investigated. The experimental data were fitted by Langmuir and Freundlich isotherms. Meanwhile, pseudo-first-order, pseudo-second-order and intra-particle pore diffusion models were used to investigate the adsorption kinetics. The results indicated that the electrosorption of RhB fitted Langmuir isotherm with qm = 416.7 mg/g and followed pseudo-second order kinetics. The adsorption capacity and adsorption rate of RhB on the GO-PPy@CNF electrode (270.3 mg/g and 3.762 mg/(g min)) were significantly higher than those on the CNF electrode (98.04 mg/g and 0.6614 mg/(g min)). This improved electrosorption of RhB on the composite electrode might be attributed to its porous interconnected nano-dendritic structure, which could provide more adsorption sites and abundant functional groups of GO-PPy. This work provided an environmentally friendly and economical technology for the RhB removal.","author":[{"dropping-particle":"","family":"Yu","given":"Hongbin","non-dropping-particle":"","parse-names":false,"suffix":""},{"dropping-particle":"","family":"Che","given":"Min","non-dropping-particle":"","parse-names":false,"suffix":""},{"dropping-particle":"","family":"Zhao","given":"Bin","non-dropping-particle":"","parse-names":false,"suffix":""},{"dropping-particle":"","family":"Lu","given":"Ying","non-dropping-particle":"","parse-names":false,"suffix":""},{"dropping-particle":"","family":"Zhu","given":"Suiyi","non-dropping-particle":"","parse-names":false,"suffix":""},{"dropping-particle":"","family":"Wang","given":"Xinhong","non-dropping-particle":"","parse-names":false,"suffix":""},{"dropping-particle":"","family":"Qin","given":"Weichao","non-dropping-particle":"","parse-names":false,"suffix":""},{"dropping-particle":"","family":"Huo","given":"Mingxin","non-dropping-particle":"","parse-names":false,"suffix":""}],"container-title":"Synthetic Metals","id":"ITEM-1","issued":{"date-parts":[["2020","4"]]},"page":"116332","title":"Enhanced electrosorption of rhodamine B over porous copper-nickel foam electrodes modified with graphene oxide/polypyrrole","type":"article-journal","volume":"262"},"uris":["http://www.mendeley.com/documents/?uuid=365194af-9ef1-343b-be59-c0c3b5392ee3"]}],"mendeley":{"formattedCitation":"[8]","plainTextFormattedCitation":"[8]","previouslyFormattedCitation":"[10]"},"properties":{"noteIndex":0},"schema":"https://github.com/citation-style-language/schema/raw/master/csl-citation.json"}</w:instrText>
      </w:r>
      <w:r w:rsidRPr="0026720E">
        <w:fldChar w:fldCharType="separate"/>
      </w:r>
      <w:r w:rsidRPr="0026720E">
        <w:rPr>
          <w:noProof/>
        </w:rPr>
        <w:t>[8]</w:t>
      </w:r>
      <w:r w:rsidRPr="0026720E">
        <w:fldChar w:fldCharType="end"/>
      </w:r>
      <w:r w:rsidRPr="0026720E">
        <w:t>.</w:t>
      </w:r>
    </w:p>
    <w:bookmarkEnd w:id="41"/>
    <w:bookmarkEnd w:id="42"/>
    <w:p w14:paraId="76AE24F3" w14:textId="0E6D4969" w:rsidR="00A259C9" w:rsidRPr="0026720E" w:rsidRDefault="00A259C9" w:rsidP="001C16B4">
      <w:pPr>
        <w:pStyle w:val="0-1-ENG"/>
        <w:spacing w:before="163" w:after="163"/>
      </w:pPr>
      <w:r w:rsidRPr="0026720E">
        <w:t>Text</w:t>
      </w:r>
      <w:r w:rsidR="008F379F">
        <w:t xml:space="preserve"> S</w:t>
      </w:r>
      <w:r w:rsidR="00A516BA">
        <w:t>4</w:t>
      </w:r>
      <w:r w:rsidRPr="0026720E">
        <w:t>. Thermodynamic calculation of adsorption process</w:t>
      </w:r>
      <w:r w:rsidR="00D2220A" w:rsidRPr="0026720E">
        <w:t>.</w:t>
      </w:r>
    </w:p>
    <w:p w14:paraId="11CC76FD" w14:textId="13EB41C8" w:rsidR="00A259C9" w:rsidRPr="0026720E" w:rsidRDefault="00A259C9" w:rsidP="00A259C9">
      <w:pPr>
        <w:spacing w:line="480" w:lineRule="auto"/>
        <w:rPr>
          <w:rFonts w:cs="Times New Roman"/>
          <w:color w:val="000000" w:themeColor="text1"/>
          <w:szCs w:val="24"/>
        </w:rPr>
      </w:pPr>
      <m:oMathPara>
        <m:oMath>
          <m:r>
            <w:rPr>
              <w:rFonts w:ascii="Cambria Math" w:hAnsi="Cambria Math" w:cs="Times New Roman"/>
              <w:color w:val="000000" w:themeColor="text1"/>
              <w:szCs w:val="24"/>
            </w:rPr>
            <m:t>ln</m:t>
          </m:r>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K</m:t>
              </m:r>
            </m:e>
            <m:sub>
              <m:r>
                <w:rPr>
                  <w:rFonts w:ascii="Cambria Math" w:hAnsi="Cambria Math" w:cs="Times New Roman"/>
                  <w:color w:val="000000" w:themeColor="text1"/>
                  <w:szCs w:val="24"/>
                </w:rPr>
                <m:t>d</m:t>
              </m:r>
            </m:sub>
          </m:sSub>
          <m:r>
            <w:rPr>
              <w:rFonts w:ascii="Cambria Math" w:hAnsi="Cambria Math" w:cs="Times New Roman"/>
              <w:color w:val="000000" w:themeColor="text1"/>
              <w:szCs w:val="24"/>
            </w:rPr>
            <m:t>=</m:t>
          </m:r>
          <m:f>
            <m:fPr>
              <m:ctrlPr>
                <w:rPr>
                  <w:rFonts w:ascii="Cambria Math" w:hAnsi="Cambria Math" w:cs="Times New Roman"/>
                  <w:i/>
                  <w:color w:val="000000" w:themeColor="text1"/>
                  <w:szCs w:val="24"/>
                </w:rPr>
              </m:ctrlPr>
            </m:fPr>
            <m:num>
              <m:r>
                <w:rPr>
                  <w:rFonts w:ascii="Cambria Math" w:hAnsi="Cambria Math" w:cs="Times New Roman"/>
                  <w:color w:val="000000" w:themeColor="text1"/>
                  <w:szCs w:val="24"/>
                </w:rPr>
                <m:t>∆S°</m:t>
              </m:r>
            </m:num>
            <m:den>
              <m:r>
                <w:rPr>
                  <w:rFonts w:ascii="Cambria Math" w:hAnsi="Cambria Math" w:cs="Times New Roman"/>
                  <w:color w:val="000000" w:themeColor="text1"/>
                  <w:szCs w:val="24"/>
                </w:rPr>
                <m:t>R</m:t>
              </m:r>
            </m:den>
          </m:f>
          <m:r>
            <w:rPr>
              <w:rFonts w:ascii="Cambria Math" w:hAnsi="Cambria Math" w:cs="Times New Roman"/>
              <w:color w:val="000000" w:themeColor="text1"/>
              <w:szCs w:val="24"/>
            </w:rPr>
            <m:t>-</m:t>
          </m:r>
          <m:f>
            <m:fPr>
              <m:ctrlPr>
                <w:rPr>
                  <w:rFonts w:ascii="Cambria Math" w:hAnsi="Cambria Math" w:cs="Times New Roman"/>
                  <w:i/>
                  <w:color w:val="000000" w:themeColor="text1"/>
                  <w:szCs w:val="24"/>
                </w:rPr>
              </m:ctrlPr>
            </m:fPr>
            <m:num>
              <m:r>
                <w:rPr>
                  <w:rFonts w:ascii="Cambria Math" w:hAnsi="Cambria Math" w:cs="Times New Roman"/>
                  <w:color w:val="000000" w:themeColor="text1"/>
                  <w:szCs w:val="24"/>
                </w:rPr>
                <m:t>∆H°</m:t>
              </m:r>
            </m:num>
            <m:den>
              <m:r>
                <w:rPr>
                  <w:rFonts w:ascii="Cambria Math" w:hAnsi="Cambria Math" w:cs="Times New Roman"/>
                  <w:color w:val="000000" w:themeColor="text1"/>
                  <w:szCs w:val="24"/>
                </w:rPr>
                <m:t>R</m:t>
              </m:r>
            </m:den>
          </m:f>
          <m:f>
            <m:fPr>
              <m:ctrlPr>
                <w:rPr>
                  <w:rFonts w:ascii="Cambria Math" w:hAnsi="Cambria Math" w:cs="Times New Roman"/>
                  <w:i/>
                  <w:color w:val="000000" w:themeColor="text1"/>
                  <w:szCs w:val="24"/>
                </w:rPr>
              </m:ctrlPr>
            </m:fPr>
            <m:num>
              <m:r>
                <w:rPr>
                  <w:rFonts w:ascii="Cambria Math" w:hAnsi="Cambria Math" w:cs="Times New Roman"/>
                  <w:color w:val="000000" w:themeColor="text1"/>
                  <w:szCs w:val="24"/>
                </w:rPr>
                <m:t>1</m:t>
              </m:r>
            </m:num>
            <m:den>
              <m:r>
                <w:rPr>
                  <w:rFonts w:ascii="Cambria Math" w:hAnsi="Cambria Math" w:cs="Times New Roman"/>
                  <w:color w:val="000000" w:themeColor="text1"/>
                  <w:szCs w:val="24"/>
                </w:rPr>
                <m:t>T</m:t>
              </m:r>
            </m:den>
          </m:f>
          <m:r>
            <w:rPr>
              <w:rFonts w:ascii="Cambria Math" w:hAnsi="Cambria Math" w:cs="Times New Roman"/>
              <w:color w:val="000000" w:themeColor="text1"/>
              <w:szCs w:val="24"/>
            </w:rPr>
            <m:t xml:space="preserve">             </m:t>
          </m:r>
          <m:r>
            <m:rPr>
              <m:sty m:val="p"/>
            </m:rPr>
            <w:rPr>
              <w:rFonts w:ascii="Cambria Math" w:hAnsi="Cambria Math"/>
              <w:color w:val="000000" w:themeColor="text1"/>
              <w:szCs w:val="24"/>
            </w:rPr>
            <m:t>Eq.  (S11)</m:t>
          </m:r>
        </m:oMath>
      </m:oMathPara>
    </w:p>
    <w:p w14:paraId="6BFD935C" w14:textId="366B8D3F" w:rsidR="00A259C9" w:rsidRPr="0026720E" w:rsidRDefault="00A259C9" w:rsidP="00A259C9">
      <w:pPr>
        <w:spacing w:line="480" w:lineRule="auto"/>
        <w:rPr>
          <w:rFonts w:cs="Times New Roman"/>
          <w:color w:val="000000" w:themeColor="text1"/>
          <w:szCs w:val="24"/>
        </w:rPr>
      </w:pPr>
      <m:oMathPara>
        <m:oMath>
          <m:r>
            <w:rPr>
              <w:rFonts w:ascii="Cambria Math" w:hAnsi="Cambria Math" w:cs="Times New Roman"/>
              <w:color w:val="000000" w:themeColor="text1"/>
              <w:szCs w:val="24"/>
            </w:rPr>
            <m:t xml:space="preserve">∆G°=∆H°-T∆S°                 </m:t>
          </m:r>
          <m:r>
            <m:rPr>
              <m:sty m:val="p"/>
            </m:rPr>
            <w:rPr>
              <w:rFonts w:ascii="Cambria Math" w:hAnsi="Cambria Math"/>
              <w:color w:val="000000" w:themeColor="text1"/>
              <w:szCs w:val="24"/>
            </w:rPr>
            <m:t>Eq.  (S12)</m:t>
          </m:r>
        </m:oMath>
      </m:oMathPara>
    </w:p>
    <w:p w14:paraId="7A0B2D40" w14:textId="1507B0E9" w:rsidR="00A259C9" w:rsidRPr="0026720E" w:rsidRDefault="00445426" w:rsidP="00A259C9">
      <w:pPr>
        <w:spacing w:line="480" w:lineRule="auto"/>
        <w:rPr>
          <w:rFonts w:cs="Times New Roman"/>
          <w:color w:val="000000" w:themeColor="text1"/>
          <w:szCs w:val="24"/>
        </w:rPr>
      </w:pPr>
      <m:oMathPara>
        <m:oMath>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K</m:t>
              </m:r>
            </m:e>
            <m:sub>
              <m:r>
                <w:rPr>
                  <w:rFonts w:ascii="Cambria Math" w:hAnsi="Cambria Math" w:cs="Times New Roman"/>
                  <w:color w:val="000000" w:themeColor="text1"/>
                  <w:szCs w:val="24"/>
                </w:rPr>
                <m:t>d</m:t>
              </m:r>
            </m:sub>
          </m:sSub>
          <m:r>
            <w:rPr>
              <w:rFonts w:ascii="Cambria Math" w:hAnsi="Cambria Math" w:cs="Times New Roman"/>
              <w:color w:val="000000" w:themeColor="text1"/>
              <w:szCs w:val="24"/>
            </w:rPr>
            <m:t>=</m:t>
          </m:r>
          <m:f>
            <m:fPr>
              <m:ctrlPr>
                <w:rPr>
                  <w:rFonts w:ascii="Cambria Math" w:hAnsi="Cambria Math" w:cs="Times New Roman"/>
                  <w:i/>
                  <w:color w:val="000000" w:themeColor="text1"/>
                  <w:szCs w:val="24"/>
                </w:rPr>
              </m:ctrlPr>
            </m:fPr>
            <m:num>
              <w:bookmarkStart w:id="51" w:name="OLE_LINK359"/>
              <w:bookmarkStart w:id="52" w:name="OLE_LINK360"/>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q</m:t>
                  </m:r>
                </m:e>
                <m:sub>
                  <m:r>
                    <w:rPr>
                      <w:rFonts w:ascii="Cambria Math" w:hAnsi="Cambria Math" w:cs="Times New Roman"/>
                      <w:color w:val="000000" w:themeColor="text1"/>
                      <w:szCs w:val="24"/>
                    </w:rPr>
                    <m:t>e</m:t>
                  </m:r>
                </m:sub>
              </m:sSub>
              <w:bookmarkEnd w:id="51"/>
              <w:bookmarkEnd w:id="52"/>
            </m:num>
            <m:den>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C</m:t>
                  </m:r>
                </m:e>
                <m:sub>
                  <m:r>
                    <w:rPr>
                      <w:rFonts w:ascii="Cambria Math" w:hAnsi="Cambria Math" w:cs="Times New Roman"/>
                      <w:color w:val="000000" w:themeColor="text1"/>
                      <w:szCs w:val="24"/>
                    </w:rPr>
                    <m:t>e</m:t>
                  </m:r>
                </m:sub>
              </m:sSub>
            </m:den>
          </m:f>
          <m:r>
            <w:rPr>
              <w:rFonts w:ascii="Cambria Math" w:hAnsi="Cambria Math" w:cs="Times New Roman"/>
              <w:color w:val="000000" w:themeColor="text1"/>
              <w:szCs w:val="24"/>
            </w:rPr>
            <m:t xml:space="preserve">                                     </m:t>
          </m:r>
          <m:r>
            <m:rPr>
              <m:sty m:val="p"/>
            </m:rPr>
            <w:rPr>
              <w:rFonts w:ascii="Cambria Math" w:hAnsi="Cambria Math"/>
              <w:color w:val="000000" w:themeColor="text1"/>
              <w:szCs w:val="24"/>
            </w:rPr>
            <m:t>Eq.  (S13)</m:t>
          </m:r>
        </m:oMath>
      </m:oMathPara>
    </w:p>
    <w:p w14:paraId="46FAEF82" w14:textId="2D7B75D3" w:rsidR="00DE7795" w:rsidRPr="0026720E" w:rsidRDefault="00A259C9" w:rsidP="0091114D">
      <w:pPr>
        <w:pStyle w:val="3-mainbody-ENG"/>
        <w:ind w:firstLineChars="0" w:firstLine="0"/>
      </w:pPr>
      <w:r w:rsidRPr="0026720E">
        <w:t xml:space="preserve">Where </w:t>
      </w:r>
      <m:oMath>
        <m:sSub>
          <m:sSubPr>
            <m:ctrlPr>
              <w:rPr>
                <w:rFonts w:ascii="Cambria Math" w:hAnsi="Cambria Math"/>
                <w:i/>
              </w:rPr>
            </m:ctrlPr>
          </m:sSubPr>
          <m:e>
            <m:r>
              <w:rPr>
                <w:rFonts w:ascii="Cambria Math" w:hAnsi="Cambria Math"/>
              </w:rPr>
              <m:t>q</m:t>
            </m:r>
          </m:e>
          <m:sub>
            <m:r>
              <w:rPr>
                <w:rFonts w:ascii="Cambria Math" w:hAnsi="Cambria Math"/>
              </w:rPr>
              <m:t>e</m:t>
            </m:r>
          </m:sub>
        </m:sSub>
      </m:oMath>
      <w:r w:rsidRPr="0026720E">
        <w:t xml:space="preserve"> is the amount of RhB adsorbed at equilibrium (mg/g) and Ce is the equilibrium concentration of RhB in solution (mg/L</w:t>
      </w:r>
      <w:proofErr w:type="gramStart"/>
      <w:r w:rsidRPr="0026720E">
        <w:t>).</w:t>
      </w:r>
      <w:proofErr w:type="gramEnd"/>
      <w:r w:rsidRPr="0026720E">
        <w:t xml:space="preserve"> R (8.314 J/mol K) is the universal gas constant and T (°K) is the solution tem</w:t>
      </w:r>
      <w:proofErr w:type="spellStart"/>
      <w:r w:rsidRPr="0026720E">
        <w:t>perature</w:t>
      </w:r>
      <w:proofErr w:type="spellEnd"/>
      <w:r w:rsidRPr="0026720E">
        <w:t xml:space="preserve">. The parameters of ∆Ho and ∆So can be obtained from the intercept and slope of the </w:t>
      </w:r>
      <w:proofErr w:type="spellStart"/>
      <w:r w:rsidRPr="0026720E">
        <w:t>van’t</w:t>
      </w:r>
      <w:proofErr w:type="spellEnd"/>
      <w:r w:rsidRPr="0026720E">
        <w:t xml:space="preserve"> Hoff plot (</w:t>
      </w:r>
      <w:proofErr w:type="spellStart"/>
      <w:r w:rsidRPr="0026720E">
        <w:t>lnkd</w:t>
      </w:r>
      <w:proofErr w:type="spellEnd"/>
      <w:r w:rsidRPr="0026720E">
        <w:t xml:space="preserve"> versus 1/T), respectively.</w:t>
      </w:r>
    </w:p>
    <w:p w14:paraId="66B6C711" w14:textId="286AE4DD" w:rsidR="00E8386E" w:rsidRDefault="00E8386E" w:rsidP="001C16B4">
      <w:pPr>
        <w:pStyle w:val="3-mainbody-ENG"/>
        <w:ind w:firstLine="210"/>
      </w:pPr>
      <w:r w:rsidRPr="0026720E">
        <w:t>It is noted in Table</w:t>
      </w:r>
      <w:r w:rsidR="00F42DFB">
        <w:t xml:space="preserve"> S</w:t>
      </w:r>
      <w:r w:rsidRPr="0026720E">
        <w:t xml:space="preserve">3 that the amount of </w:t>
      </w:r>
      <w:r w:rsidRPr="0026720E">
        <w:rPr>
          <w:rFonts w:ascii="Cambria Math" w:hAnsi="Cambria Math" w:cs="Cambria Math"/>
        </w:rPr>
        <w:t>∆</w:t>
      </w:r>
      <w:r w:rsidRPr="0076211F">
        <w:rPr>
          <w:i/>
          <w:iCs/>
        </w:rPr>
        <w:t>H</w:t>
      </w:r>
      <w:r w:rsidRPr="0076211F">
        <w:rPr>
          <w:vertAlign w:val="subscript"/>
        </w:rPr>
        <w:t>o</w:t>
      </w:r>
      <w:r w:rsidRPr="0026720E">
        <w:t xml:space="preserve"> was found to be -33.41 KJ/mol. The negative ΔH° is indicator of exothermic nature of the sorption and also its magnitude gives information on the type of biosorption, which can be either physical or chemical. </w:t>
      </w:r>
      <w:r w:rsidRPr="0026720E">
        <w:rPr>
          <w:rFonts w:ascii="Georgia" w:hAnsi="Georgia"/>
          <w:sz w:val="27"/>
          <w:szCs w:val="27"/>
        </w:rPr>
        <w:t> </w:t>
      </w:r>
      <w:r w:rsidRPr="0026720E">
        <w:t>The enthalpy or heat of sorption, ranging from 2.1 to 20.9 kJ mol</w:t>
      </w:r>
      <w:r w:rsidRPr="00F42DFB">
        <w:rPr>
          <w:vertAlign w:val="superscript"/>
        </w:rPr>
        <w:t>−1</w:t>
      </w:r>
      <w:r w:rsidRPr="0026720E">
        <w:t> corresponds a physical sorption, and a range from 20.9 to 418.4 kJ mol−1 indicates a chemical sorption</w:t>
      </w:r>
      <w:r w:rsidR="00F42DFB">
        <w:t xml:space="preserve"> </w:t>
      </w:r>
      <w:r w:rsidRPr="0026720E">
        <w:fldChar w:fldCharType="begin" w:fldLock="1"/>
      </w:r>
      <w:r w:rsidR="00160292" w:rsidRPr="0026720E">
        <w:instrText>ADDIN CSL_CITATION {"citationItems":[{"id":"ITEM-1","itemData":{"DOI":"10.1016/j.jhazmat.2007.06.097","ISSN":"03043894","abstract":"The biosorption characteristics of Pb(II) and Cd(II) ions from aqueous solution using the green alga (Ulva lactuca) biomass were investigated as a function of pH, biomass dosage, contact time, and temperature. Langmuir, Freundlich and Dubinin-Radushkevich (D-R) models were applied to describe the biosorption isotherm of the metal ions by U. lactuca biomass. Langmuir model fitted the equilibrium data better than the Freundlich isotherm. The monolayer biosorption capacity of U. lactuca biomass for Pb(II) and Cd(II) ions was found to be 34.7 mg/g and 29.2 mg/g, respectively. From the D-R isotherm model, the mean free energy was calculated as 10.4 kJ/mol for Pb(II) biosorption and 9.6 kJ/mol for Cd(II) biosorption, indicating that the biosorption of both metal ions was taken place by chemisorption. The calculated thermodynamic parameters (ΔG°, ΔH° and ΔS°) showed that the biosorption of Pb(II) and Cd(II) ions onto U. lactuca biomass was feasible, spontaneous and exothermic under examined conditions. Experimental data were also tested in terms of biosorption kinetics using pseudo-first-order and pseudo-second-order kinetic models. The results showed that the biosorption processes of both metal ions followed well pseudo-second-order kinetics. © 2007 Elsevier B.V. All rights reserved.","author":[{"dropping-particle":"","family":"Sarı","given":"Ahmet","non-dropping-particle":"","parse-names":false,"suffix":""},{"dropping-particle":"","family":"Tuzen","given":"Mustafa","non-dropping-particle":"","parse-names":false,"suffix":""}],"container-title":"Journal of Hazardous Materials","id":"ITEM-1","issue":"1","issued":{"date-parts":[["2008","3","21"]]},"page":"302-308","title":"Biosorption of Pb(II) and Cd(II) from aqueous solution using green alga (Ulva lactuca) biomass","type":"article-journal","volume":"152"},"uris":["http://www.mendeley.com/documents/?uuid=fa2f9eca-c3bf-3572-b431-6098a3e21f89"]}],"mendeley":{"formattedCitation":"[9]","plainTextFormattedCitation":"[9]","previouslyFormattedCitation":"[7]"},"properties":{"noteIndex":0},"schema":"https://github.com/citation-style-language/schema/raw/master/csl-citation.json"}</w:instrText>
      </w:r>
      <w:r w:rsidRPr="0026720E">
        <w:fldChar w:fldCharType="separate"/>
      </w:r>
      <w:r w:rsidR="00160292" w:rsidRPr="0026720E">
        <w:rPr>
          <w:noProof/>
        </w:rPr>
        <w:t>[9]</w:t>
      </w:r>
      <w:r w:rsidRPr="0026720E">
        <w:fldChar w:fldCharType="end"/>
      </w:r>
      <w:r w:rsidRPr="0026720E">
        <w:t xml:space="preserve">. </w:t>
      </w:r>
      <w:bookmarkStart w:id="53" w:name="OLE_LINK335"/>
      <w:bookmarkStart w:id="54" w:name="OLE_LINK336"/>
      <w:r w:rsidRPr="0026720E">
        <w:t>The ΔH value in the present study showed that chemisorption processes predominated for the sorption process. </w:t>
      </w:r>
      <w:bookmarkStart w:id="55" w:name="OLE_LINK297"/>
      <w:bookmarkStart w:id="56" w:name="OLE_LINK298"/>
      <w:bookmarkStart w:id="57" w:name="OLE_LINK299"/>
      <w:bookmarkStart w:id="58" w:name="OLE_LINK300"/>
      <w:r w:rsidRPr="0026720E">
        <w:t>The amount of ∆S was also found to be negative (−0.087 KJ/mol), indicating</w:t>
      </w:r>
      <w:bookmarkStart w:id="59" w:name="OLE_LINK3"/>
      <w:r w:rsidRPr="0026720E">
        <w:t xml:space="preserve"> that with increasing the temperature the adsorption efficiency decreases in solid/liquid phases</w:t>
      </w:r>
      <w:bookmarkEnd w:id="59"/>
      <w:r w:rsidRPr="0026720E">
        <w:t>. The negative value of ∆Go indicates that the adsorption process is spontaneous</w:t>
      </w:r>
      <w:r w:rsidR="00F42DFB">
        <w:t xml:space="preserve"> </w:t>
      </w:r>
      <w:r w:rsidRPr="0026720E">
        <w:fldChar w:fldCharType="begin" w:fldLock="1"/>
      </w:r>
      <w:r w:rsidR="00160292" w:rsidRPr="0026720E">
        <w:instrText>ADDIN CSL_CITATION {"citationItems":[{"id":"ITEM-1","itemData":{"DOI":"10.1016/j.desal.2010.04.032","ISSN":"00119164","abstract":"A thiacalix[4]arene-loaded resin was prepared and characterized. The adsorption capacities of the thiacalix[4]arene-loaded resin toward Cu2+, Pb2+ and Cd2+ ions were investigated by batch adsorption experiments. It was found that the selective adsorption capacities of the thiacalix[4]arene-loaded resin are mainly attributed to the complex of the loaded thiacalix[4]arene with heavy metal ions. Various factors affecting the adsorption capacities such as contact time, temperature, pH and initial concentration of the metal ions were investigated. The adsorption kinetics was evaluated with the pseudo-first-order and pseudo-second-order models. The equilibrium data were analyzed using Langmuir and Freundlich isotherm models by non-linear regression. The adsorption kinetics followed the pseudo-second-order rate law for the three heavy metal ions, indicating chemical sorption as the rate-limiting step of the adsorption mechanism. The adsorption of heavy metal ions onto the thiacalix[4]arene-loaded resin is fitted better to the Langmuir isotherm than to the Freundlich isotherm, and the maximum adsorption capacities were 21.4, 47.9, and 44.9mg/g for Cu2+, Pb2+ and Cd2+ ions respectively. Thermodynamic studies revealed that the adsorptions of the thiacalix[4]arene-loaded resin to heavy metal ions were spontaneous and exothermic processes with an increase of entropy. © 2010 Elsevier B.V.","author":[{"dropping-particle":"","family":"Hu","given":"Xiaojun","non-dropping-particle":"","parse-names":false,"suffix":""},{"dropping-particle":"","family":"Li","given":"Yushuang","non-dropping-particle":"","parse-names":false,"suffix":""},{"dropping-particle":"","family":"Wang","given":"Yan","non-dropping-particle":"","parse-names":false,"suffix":""},{"dropping-particle":"","family":"Li","given":"Xinxin","non-dropping-particle":"","parse-names":false,"suffix":""},{"dropping-particle":"","family":"Li","given":"Huiying","non-dropping-particle":"","parse-names":false,"suffix":""},{"dropping-particle":"","family":"Liu","given":"Xiao","non-dropping-particle":"","parse-names":false,"suffix":""},{"dropping-particle":"","family":"Zhang","given":"Pin","non-dropping-particle":"","parse-names":false,"suffix":""}],"container-title":"Desalination","id":"ITEM-1","issue":"1-3","issued":{"date-parts":[["2010"]]},"title":"Adsorption kinetics, thermodynamics and isotherm of thiacalix[4]arene-loaded resin to heavy metal ions","type":"article-journal","volume":"259"},"uris":["http://www.mendeley.com/documents/?uuid=89ef3e37-314c-388f-8ad4-38b72b71acfb"]}],"mendeley":{"formattedCitation":"[10]","plainTextFormattedCitation":"[10]","previouslyFormattedCitation":"[8]"},"properties":{"noteIndex":0},"schema":"https://github.com/citation-style-language/schema/raw/master/csl-citation.json"}</w:instrText>
      </w:r>
      <w:r w:rsidRPr="0026720E">
        <w:fldChar w:fldCharType="separate"/>
      </w:r>
      <w:r w:rsidR="00160292" w:rsidRPr="0026720E">
        <w:rPr>
          <w:noProof/>
        </w:rPr>
        <w:t>[10]</w:t>
      </w:r>
      <w:r w:rsidRPr="0026720E">
        <w:fldChar w:fldCharType="end"/>
      </w:r>
      <w:bookmarkEnd w:id="53"/>
      <w:bookmarkEnd w:id="54"/>
      <w:r w:rsidRPr="0026720E">
        <w:t>.</w:t>
      </w:r>
      <w:bookmarkStart w:id="60" w:name="OLE_LINK331"/>
      <w:bookmarkStart w:id="61" w:name="OLE_LINK332"/>
      <w:r w:rsidRPr="0026720E">
        <w:t>The decrease in ΔG values with increase in temperature shows a decrease in feasibility of sorption at higher temperatures.</w:t>
      </w:r>
      <w:bookmarkEnd w:id="60"/>
      <w:bookmarkEnd w:id="61"/>
    </w:p>
    <w:p w14:paraId="48959F10" w14:textId="288EF373" w:rsidR="00A516BA" w:rsidRPr="0026720E" w:rsidRDefault="00A516BA" w:rsidP="00A516BA">
      <w:pPr>
        <w:pStyle w:val="0-1-ENG"/>
        <w:spacing w:before="163" w:after="163"/>
      </w:pPr>
      <w:bookmarkStart w:id="62" w:name="OLE_LINK395"/>
      <w:bookmarkStart w:id="63" w:name="OLE_LINK396"/>
      <w:bookmarkStart w:id="64" w:name="OLE_LINK366"/>
      <w:bookmarkStart w:id="65" w:name="OLE_LINK367"/>
      <w:bookmarkEnd w:id="55"/>
      <w:bookmarkEnd w:id="56"/>
      <w:bookmarkEnd w:id="57"/>
      <w:bookmarkEnd w:id="58"/>
      <w:r w:rsidRPr="0026720E">
        <w:t>Text</w:t>
      </w:r>
      <w:r>
        <w:t xml:space="preserve"> S5</w:t>
      </w:r>
      <w:r w:rsidRPr="0026720E">
        <w:t xml:space="preserve">. The self-decomposition of </w:t>
      </w:r>
      <m:oMath>
        <m:r>
          <m:rPr>
            <m:sty m:val="bi"/>
          </m:rPr>
          <w:rPr>
            <w:rFonts w:ascii="Cambria Math" w:hAnsi="Cambria Math"/>
          </w:rPr>
          <m:t>S</m:t>
        </m:r>
        <m:sSubSup>
          <m:sSubSupPr>
            <m:ctrlPr>
              <w:rPr>
                <w:rFonts w:ascii="Cambria Math" w:hAnsi="Cambria Math"/>
                <w:i/>
              </w:rPr>
            </m:ctrlPr>
          </m:sSubSupPr>
          <m:e>
            <m:r>
              <m:rPr>
                <m:sty m:val="bi"/>
              </m:rPr>
              <w:rPr>
                <w:rFonts w:ascii="Cambria Math" w:hAnsi="Cambria Math"/>
              </w:rPr>
              <m:t>O</m:t>
            </m:r>
          </m:e>
          <m:sub>
            <m:r>
              <m:rPr>
                <m:sty m:val="bi"/>
              </m:rPr>
              <w:rPr>
                <w:rFonts w:ascii="Cambria Math" w:hAnsi="Cambria Math"/>
              </w:rPr>
              <m:t>5</m:t>
            </m:r>
          </m:sub>
          <m:sup>
            <m:r>
              <m:rPr>
                <m:sty m:val="bi"/>
              </m:rPr>
              <w:rPr>
                <w:rFonts w:ascii="Cambria Math" w:hAnsi="Cambria Math"/>
              </w:rPr>
              <m:t>∙-</m:t>
            </m:r>
          </m:sup>
        </m:sSubSup>
      </m:oMath>
      <w:r w:rsidRPr="0026720E">
        <w:t xml:space="preserve"> radicals. </w:t>
      </w:r>
    </w:p>
    <w:p w14:paraId="2F03F46B" w14:textId="741828BD" w:rsidR="00A516BA" w:rsidRPr="0026720E" w:rsidRDefault="00A516BA" w:rsidP="00A516BA">
      <w:pPr>
        <w:spacing w:line="480" w:lineRule="auto"/>
        <w:jc w:val="left"/>
        <w:rPr>
          <w:rFonts w:cs="Times New Roman"/>
          <w:color w:val="000000" w:themeColor="text1"/>
          <w:szCs w:val="24"/>
        </w:rPr>
      </w:pPr>
      <m:oMathPara>
        <m:oMath>
          <m:r>
            <w:rPr>
              <w:rFonts w:ascii="Cambria Math" w:hAnsi="Cambria Math" w:cs="Times New Roman"/>
              <w:color w:val="000000" w:themeColor="text1"/>
              <w:szCs w:val="24"/>
            </w:rPr>
            <m:t>HS</m:t>
          </m:r>
          <m:sSubSup>
            <m:sSubSupPr>
              <m:ctrlPr>
                <w:rPr>
                  <w:rFonts w:ascii="Cambria Math" w:hAnsi="Cambria Math" w:cs="Times New Roman"/>
                  <w:i/>
                  <w:color w:val="000000" w:themeColor="text1"/>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m:t>
          </m:r>
          <w:bookmarkStart w:id="66" w:name="OLE_LINK250"/>
          <w:bookmarkStart w:id="67" w:name="OLE_LINK251"/>
          <m:r>
            <w:rPr>
              <w:rFonts w:ascii="Cambria Math" w:hAnsi="Cambria Math" w:cs="Times New Roman"/>
              <w:color w:val="000000" w:themeColor="text1"/>
              <w:szCs w:val="24"/>
            </w:rPr>
            <m:t>S</m:t>
          </m:r>
          <m:sSubSup>
            <m:sSubSupPr>
              <m:ctrlPr>
                <w:rPr>
                  <w:rFonts w:ascii="Cambria Math" w:hAnsi="Cambria Math" w:cs="Times New Roman"/>
                  <w:i/>
                  <w:color w:val="000000" w:themeColor="text1"/>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w:bookmarkEnd w:id="66"/>
          <w:bookmarkEnd w:id="67"/>
          <m:r>
            <w:rPr>
              <w:rFonts w:ascii="Cambria Math" w:hAnsi="Cambria Math" w:cs="Times New Roman"/>
              <w:color w:val="000000" w:themeColor="text1"/>
              <w:szCs w:val="24"/>
            </w:rPr>
            <m:t>+</m:t>
          </m:r>
          <m:sSup>
            <m:sSupPr>
              <m:ctrlPr>
                <w:rPr>
                  <w:rFonts w:ascii="Cambria Math" w:hAnsi="Cambria Math" w:cs="Times New Roman"/>
                  <w:i/>
                  <w:color w:val="000000" w:themeColor="text1"/>
                  <w:szCs w:val="24"/>
                </w:rPr>
              </m:ctrlPr>
            </m:sSupPr>
            <m:e>
              <m:r>
                <w:rPr>
                  <w:rFonts w:ascii="Cambria Math" w:hAnsi="Cambria Math" w:cs="Times New Roman"/>
                  <w:color w:val="000000" w:themeColor="text1"/>
                  <w:szCs w:val="24"/>
                </w:rPr>
                <m:t>H</m:t>
              </m:r>
            </m:e>
            <m:sup>
              <m:r>
                <w:rPr>
                  <w:rFonts w:ascii="Cambria Math" w:hAnsi="Cambria Math" w:cs="Times New Roman"/>
                  <w:color w:val="000000" w:themeColor="text1"/>
                  <w:szCs w:val="24"/>
                </w:rPr>
                <m:t>+</m:t>
              </m:r>
            </m:sup>
          </m:sSup>
          <m:r>
            <w:rPr>
              <w:rFonts w:ascii="Cambria Math" w:hAnsi="Cambria Math" w:cs="Times New Roman"/>
              <w:color w:val="000000" w:themeColor="text1"/>
              <w:szCs w:val="24"/>
            </w:rPr>
            <m:t>+</m:t>
          </m:r>
          <m:sSup>
            <m:sSupPr>
              <m:ctrlPr>
                <w:rPr>
                  <w:rFonts w:ascii="Cambria Math" w:hAnsi="Cambria Math" w:cs="Times New Roman"/>
                  <w:i/>
                  <w:color w:val="000000" w:themeColor="text1"/>
                  <w:szCs w:val="24"/>
                </w:rPr>
              </m:ctrlPr>
            </m:sSupPr>
            <m:e>
              <m:r>
                <w:rPr>
                  <w:rFonts w:ascii="Cambria Math" w:hAnsi="Cambria Math" w:cs="Times New Roman"/>
                  <w:color w:val="000000" w:themeColor="text1"/>
                  <w:szCs w:val="24"/>
                </w:rPr>
                <m:t>e</m:t>
              </m:r>
            </m:e>
            <m:sup>
              <m:r>
                <w:rPr>
                  <w:rFonts w:ascii="Cambria Math" w:hAnsi="Cambria Math" w:cs="Times New Roman"/>
                  <w:color w:val="000000" w:themeColor="text1"/>
                  <w:szCs w:val="24"/>
                </w:rPr>
                <m:t>-</m:t>
              </m:r>
            </m:sup>
          </m:sSup>
          <m:r>
            <m:rPr>
              <m:sty m:val="p"/>
            </m:rPr>
            <w:rPr>
              <w:rFonts w:ascii="Cambria Math" w:hAnsi="Cambria Math" w:cs="Times New Roman"/>
              <w:color w:val="000000" w:themeColor="text1"/>
              <w:szCs w:val="24"/>
            </w:rPr>
            <m:t xml:space="preserve">                                     Eq.   (S14)</m:t>
          </m:r>
        </m:oMath>
      </m:oMathPara>
    </w:p>
    <w:p w14:paraId="45C46AE9" w14:textId="6F01ABDC" w:rsidR="00A516BA" w:rsidRPr="0026720E" w:rsidRDefault="00A516BA" w:rsidP="00A516BA">
      <w:pPr>
        <w:spacing w:line="480" w:lineRule="auto"/>
        <w:jc w:val="left"/>
        <w:rPr>
          <w:rFonts w:cs="Times New Roman"/>
          <w:color w:val="000000" w:themeColor="text1"/>
          <w:szCs w:val="24"/>
        </w:rPr>
      </w:pPr>
      <m:oMathPara>
        <m:oMath>
          <m:r>
            <w:rPr>
              <w:rFonts w:ascii="Cambria Math" w:hAnsi="Cambria Math" w:cs="Times New Roman"/>
              <w:color w:val="000000" w:themeColor="text1"/>
              <w:szCs w:val="24"/>
            </w:rPr>
            <m:t>S</m:t>
          </m:r>
          <m:sSubSup>
            <m:sSubSupPr>
              <m:ctrlPr>
                <w:rPr>
                  <w:rFonts w:ascii="Cambria Math" w:hAnsi="Cambria Math" w:cs="Times New Roman"/>
                  <w:i/>
                  <w:color w:val="000000" w:themeColor="text1"/>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+S</m:t>
          </m:r>
          <m:sSubSup>
            <m:sSubSupPr>
              <m:ctrlPr>
                <w:rPr>
                  <w:rFonts w:ascii="Cambria Math" w:hAnsi="Cambria Math" w:cs="Times New Roman"/>
                  <w:i/>
                  <w:color w:val="000000" w:themeColor="text1"/>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m:t>
          </m:r>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S</m:t>
              </m:r>
            </m:e>
            <m:sub>
              <m:r>
                <w:rPr>
                  <w:rFonts w:ascii="Cambria Math" w:hAnsi="Cambria Math" w:cs="Times New Roman"/>
                  <w:color w:val="000000" w:themeColor="text1"/>
                  <w:szCs w:val="24"/>
                </w:rPr>
                <m:t>2</m:t>
              </m:r>
            </m:sub>
          </m:sSub>
          <m:sSubSup>
            <m:sSubSupPr>
              <m:ctrlPr>
                <w:rPr>
                  <w:rFonts w:ascii="Cambria Math" w:hAnsi="Cambria Math" w:cs="Times New Roman"/>
                  <w:i/>
                  <w:color w:val="000000" w:themeColor="text1"/>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8</m:t>
              </m:r>
            </m:sub>
            <m:sup>
              <m:r>
                <w:rPr>
                  <w:rFonts w:ascii="Cambria Math" w:hAnsi="Cambria Math" w:cs="Times New Roman"/>
                  <w:color w:val="000000" w:themeColor="text1"/>
                  <w:szCs w:val="24"/>
                </w:rPr>
                <m:t>2-</m:t>
              </m:r>
            </m:sup>
          </m:sSubSup>
          <m:r>
            <w:rPr>
              <w:rFonts w:ascii="Cambria Math" w:hAnsi="Cambria Math" w:cs="Times New Roman"/>
              <w:color w:val="000000" w:themeColor="text1"/>
              <w:szCs w:val="24"/>
            </w:rPr>
            <m:t>+</m:t>
          </m:r>
          <m:sPre>
            <m:sPrePr>
              <m:ctrlPr>
                <w:rPr>
                  <w:rFonts w:ascii="Cambria Math" w:hAnsi="Cambria Math" w:cs="Times New Roman"/>
                  <w:i/>
                  <w:color w:val="000000" w:themeColor="text1"/>
                  <w:szCs w:val="24"/>
                </w:rPr>
              </m:ctrlPr>
            </m:sPrePr>
            <m:sub/>
            <m:sup>
              <m:r>
                <w:rPr>
                  <w:rFonts w:ascii="Cambria Math" w:hAnsi="Cambria Math" w:cs="Times New Roman"/>
                  <w:color w:val="000000" w:themeColor="text1"/>
                  <w:szCs w:val="24"/>
                </w:rPr>
                <m:t>1</m:t>
              </m:r>
            </m:sup>
            <m:e>
              <m:sSub>
                <m:sSubPr>
                  <m:ctrlPr>
                    <w:rPr>
                      <w:rFonts w:ascii="Cambria Math" w:hAnsi="Cambria Math" w:cs="Times New Roman"/>
                      <w:i/>
                      <w:color w:val="000000" w:themeColor="text1"/>
                      <w:szCs w:val="24"/>
                    </w:rPr>
                  </m:ctrlPr>
                </m:sSubPr>
                <m:e>
                  <m:r>
                    <w:rPr>
                      <w:rFonts w:ascii="Cambria Math" w:hAnsi="Cambria Math" w:cs="Times New Roman"/>
                      <w:color w:val="000000" w:themeColor="text1"/>
                      <w:szCs w:val="24"/>
                    </w:rPr>
                    <m:t>O</m:t>
                  </m:r>
                </m:e>
                <m:sub>
                  <m:r>
                    <w:rPr>
                      <w:rFonts w:ascii="Cambria Math" w:hAnsi="Cambria Math" w:cs="Times New Roman"/>
                      <w:color w:val="000000" w:themeColor="text1"/>
                      <w:szCs w:val="24"/>
                    </w:rPr>
                    <m:t>2</m:t>
                  </m:r>
                </m:sub>
              </m:sSub>
            </m:e>
          </m:sPre>
          <m:r>
            <m:rPr>
              <m:sty m:val="p"/>
            </m:rPr>
            <w:rPr>
              <w:rFonts w:ascii="Cambria Math" w:hAnsi="Cambria Math" w:cs="Times New Roman"/>
              <w:color w:val="000000" w:themeColor="text1"/>
              <w:szCs w:val="24"/>
            </w:rPr>
            <m:t xml:space="preserve">                               Eq.  (S15)</m:t>
          </m:r>
        </m:oMath>
      </m:oMathPara>
      <w:bookmarkEnd w:id="62"/>
      <w:bookmarkEnd w:id="63"/>
    </w:p>
    <w:p w14:paraId="68BBA9B6" w14:textId="19417D2E" w:rsidR="00F2449F" w:rsidRPr="0026720E" w:rsidRDefault="00F2449F" w:rsidP="001C16B4">
      <w:pPr>
        <w:pStyle w:val="0-1-ENG"/>
        <w:spacing w:before="163" w:after="163"/>
      </w:pPr>
      <w:r w:rsidRPr="0026720E">
        <w:t>Text</w:t>
      </w:r>
      <w:r w:rsidR="008F379F">
        <w:t xml:space="preserve"> S</w:t>
      </w:r>
      <w:r w:rsidR="00A516BA">
        <w:t>6</w:t>
      </w:r>
      <w:r w:rsidRPr="0026720E">
        <w:t>. Possible reactions with Ni and Zn of radical pathwa</w:t>
      </w:r>
      <w:bookmarkEnd w:id="64"/>
      <w:bookmarkEnd w:id="65"/>
      <w:r w:rsidRPr="0026720E">
        <w:t>y in the ZN-CS /PMS system</w:t>
      </w:r>
      <w:r w:rsidR="006E0B18" w:rsidRPr="0026720E">
        <w:fldChar w:fldCharType="begin" w:fldLock="1"/>
      </w:r>
      <w:r w:rsidR="00160292" w:rsidRPr="0026720E">
        <w:instrText>ADDIN CSL_CITATION {"citationItems":[{"id":"ITEM-1","itemData":{"DOI":"10.1016/j.cej.2011.03.059","ISSN":"13858947","abstract":"SiO2, ZSM-5 and MCM-22 supported ZnO catalysts were prepared. Elemental analysis and Zn element mapping were conducted to evaluate the dispersion of ZnO on the supports. The prepared materials were tested in adsorption, photochemical oxidation, and photocatalytic degradation of phenol in aqueous solution. Peroxydisulphate (PDS) and peroxymonosulphate (PMS) were used as oxidants to provide sulphate radicals for chemical oxidation. It was found that adsorptive property of the supports played an important role in photochemical and photocatalytic oxidation. MCM-22 was found to exhibit stronger adsorption, giving 68% of phenol removal in 25ppm solution, compared to 0%, 3%, and 4% removal on ZnO, SiO2, and ZSM-5, respectively. The PDS and PMS oxidants could be activated by low intensity UV at wavelength greater than 380nm. However, under low UV intensity, SiO2 and ZSM-5 supported ZnO did not exhibit synergistic effect for phenol degradation. The phenol removal efficiencies in PDS/UV, ZnO/PDS, ZnO/UV, ZnO(10%)/MCM-22/UV/PDS, and ZnO(10%)/MCM-22/UV/PMS at 90min and 60μW/cm2 were 34.2, 13.8, 14.2, 79.0, and 72.1%, respectively. The apparent reaction rate constants of PDS/UV, ZnO/PDS, ZnO/UV, ZnO(10%)/MCM-22/UV/PDS, and ZnO(10%)/MCM-22/UV/PMS were 0.00473, 0.00154, 0.00262, 0.00831, and 0.00365min-1, respectively. © 2011 Elsevier B.V.","author":[{"dropping-particle":"","family":"Sun","given":"Hongqi","non-dropping-particle":"","parse-names":false,"suffix":""},{"dropping-particle":"","family":"Feng","given":"Xiaohui","non-dropping-particle":"","parse-names":false,"suffix":""},{"dropping-particle":"","family":"Wang","given":"Shaobin","non-dropping-particle":"","parse-names":false,"suffix":""},{"dropping-particle":"","family":"Ang","given":"H. Ming","non-dropping-particle":"","parse-names":false,"suffix":""},{"dropping-particle":"","family":"Tadé","given":"Moses O.","non-dropping-particle":"","parse-names":false,"suffix":""}],"container-title":"Chemical Engineering Journal","id":"ITEM-1","issue":"1","issued":{"date-parts":[["2011","5"]]},"page":"270-277","title":"Combination of adsorption, photochemical and photocatalytic degradation of phenol solution over supported zinc oxide: Effects of support and sulphate oxidant","type":"article-journal","volume":"170"},"uris":["http://www.mendeley.com/documents/?uuid=9ffd2df2-b7e1-3dd0-91f4-e66ce3444bbc"]},{"id":"ITEM-2","itemData":{"DOI":"10.1016/j.chemosphere.2020.128509","ISSN":"00456535","abstract":"Nickel-based metal-organic framework (Ni-MOF) was employed as a sacrificial template for the preparation of nickel-cobalt layered double hydroxide (NiCo-LDH) under different hydrolysis time. The template etching rate varied at different hydrolysis time, resulting in variations of the structural and morphology of NiCo-LDHs. The NiCo-LDH/10 sample showed a large specific surface area and the well-oriented larger dimension of thinner sheets due to the sufficient in-situ etching of the Ni-MOF template. The NiCo-LDH/10 was an excellent heterogeneous catalyst to activate peroxymonosulfate (PMS) for highly efficient Reactive Red-120 dye degradation. The results exhibited that the degradation efficiency of the NiCo-LDH/10-PMS catalyst was 89% for RR-120 dye within 10 min in the presence of the PMS system, which is higher than other NiCo-LDHs. Moreover, the other influencing factors such as PMS concentration, catalyst dosage, initial pH were also investigated towards degradation. The radical quenching measurement proved that the sulfate (SO4•−) and hydroxyl (OH•) had been indicated as the primary radicals. Besides, the NiCo-LDH/10-PMS catalyst showed excellent reusability even after five consecutive cycles (83.6% of the degradation efficiency). This work offer insight study on the construction of controlled morphology NiCo-LDH heterogeneous structure for high-efficiency PMS activation.","author":[{"dropping-particle":"","family":"Ramachandran","given":"Rajendran","non-dropping-particle":"","parse-names":false,"suffix":""},{"dropping-particle":"","family":"Thangavel Sakthivel","given":"","non-dropping-particle":"","parse-names":false,"suffix":""},{"dropping-particle":"","family":"Minzhang Li","given":"","non-dropping-particle":"","parse-names":false,"suffix":""},{"dropping-particle":"","family":"Haiquan Shan","given":"","non-dropping-particle":"","parse-names":false,"suffix":""},{"dropping-particle":"","family":"Zong-Xiang Xu","given":"","non-dropping-particle":"","parse-names":false,"suffix":""},{"dropping-particle":"","family":"Wang","given":"Fei","non-dropping-particle":"","parse-names":false,"suffix":""}],"container-title":"Chemosphere","id":"ITEM-2","issued":{"date-parts":[["2021","5"]]},"page":"128509","title":"Efficient degradation of organic dye using Ni-MOF derived NiCo-LDH as peroxymonosulfate activator","type":"article-journal","volume":"271"},"uris":["http://www.mendeley.com/documents/?uuid=48e04ddd-abd6-3593-bbe9-0af341756e16"]}],"mendeley":{"formattedCitation":"[11,12]","plainTextFormattedCitation":"[11,12]","previouslyFormattedCitation":"[11,12]"},"properties":{"noteIndex":0},"schema":"https://github.com/citation-style-language/schema/raw/master/csl-citation.json"}</w:instrText>
      </w:r>
      <w:r w:rsidR="006E0B18" w:rsidRPr="0026720E">
        <w:fldChar w:fldCharType="separate"/>
      </w:r>
      <w:r w:rsidR="00160292" w:rsidRPr="0026720E">
        <w:rPr>
          <w:noProof/>
        </w:rPr>
        <w:t>[11,12]</w:t>
      </w:r>
      <w:r w:rsidR="006E0B18" w:rsidRPr="0026720E">
        <w:fldChar w:fldCharType="end"/>
      </w:r>
      <w:r w:rsidRPr="0026720E">
        <w:t xml:space="preserve">. </w:t>
      </w:r>
    </w:p>
    <w:p w14:paraId="11EC9E0C" w14:textId="6A20B4F7" w:rsidR="00F2449F" w:rsidRPr="0026720E" w:rsidRDefault="00F2449F" w:rsidP="00F2449F">
      <w:pPr>
        <w:rPr>
          <w:rFonts w:cs="Times New Roman"/>
          <w:color w:val="000000" w:themeColor="text1"/>
          <w:szCs w:val="24"/>
        </w:rPr>
      </w:pPr>
      <m:oMathPara>
        <m:oMath>
          <m:r>
            <w:rPr>
              <w:rFonts w:ascii="Cambria Math" w:hAnsi="Cambria Math" w:cs="Times New Roman"/>
              <w:color w:val="000000" w:themeColor="text1"/>
              <w:szCs w:val="24"/>
            </w:rPr>
            <m:t>HS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+ZnO→Z</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n</m:t>
              </m:r>
              <m:ctrlPr>
                <w:rPr>
                  <w:rFonts w:ascii="Cambria Math" w:hAnsi="Cambria Math" w:cs="Times New Roman" w:hint="eastAsia"/>
                  <w:i/>
                  <w:color w:val="000000" w:themeColor="text1"/>
                  <w:kern w:val="0"/>
                  <w:szCs w:val="24"/>
                </w:rPr>
              </m:ctrlPr>
            </m:e>
            <m:sup>
              <m:r>
                <w:rPr>
                  <w:rFonts w:ascii="Cambria Math" w:hAnsi="Cambria Math" w:cs="Times New Roman"/>
                  <w:color w:val="000000" w:themeColor="text1"/>
                  <w:szCs w:val="24"/>
                </w:rPr>
                <m:t>2+</m:t>
              </m:r>
            </m:sup>
          </m:sSup>
          <m:r>
            <w:rPr>
              <w:rFonts w:ascii="Cambria Math" w:hAnsi="Cambria Math" w:cs="Times New Roman"/>
              <w:color w:val="000000" w:themeColor="text1"/>
              <w:szCs w:val="24"/>
            </w:rPr>
            <m:t>+OH∙+S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kern w:val="0"/>
              <w:szCs w:val="24"/>
            </w:rPr>
            <m:t xml:space="preserve">  </m:t>
          </m:r>
          <w:bookmarkStart w:id="68" w:name="OLE_LINK295"/>
          <w:bookmarkStart w:id="69" w:name="OLE_LINK296"/>
          <m:r>
            <w:rPr>
              <w:rFonts w:ascii="Cambria Math" w:hAnsi="Cambria Math" w:cs="Times New Roman"/>
              <w:color w:val="000000" w:themeColor="text1"/>
              <w:kern w:val="0"/>
              <w:szCs w:val="24"/>
            </w:rPr>
            <m:t xml:space="preserve">              </m:t>
          </m:r>
          <m:r>
            <m:rPr>
              <m:sty m:val="p"/>
            </m:rPr>
            <w:rPr>
              <w:rFonts w:ascii="Cambria Math" w:hAnsi="Cambria Math"/>
              <w:color w:val="000000" w:themeColor="text1"/>
              <w:szCs w:val="24"/>
            </w:rPr>
            <m:t>Eq.  (S16)</m:t>
          </m:r>
        </m:oMath>
      </m:oMathPara>
    </w:p>
    <w:bookmarkEnd w:id="68"/>
    <w:bookmarkEnd w:id="69"/>
    <w:p w14:paraId="3D77FDE3" w14:textId="2DA6EA44" w:rsidR="00F2449F" w:rsidRPr="0026720E" w:rsidRDefault="00F2449F" w:rsidP="00F2449F">
      <w:pPr>
        <w:rPr>
          <w:rFonts w:cs="Times New Roman"/>
          <w:color w:val="000000" w:themeColor="text1"/>
          <w:szCs w:val="24"/>
        </w:rPr>
      </w:pPr>
      <m:oMathPara>
        <m:oMath>
          <m:r>
            <w:rPr>
              <w:rFonts w:ascii="Cambria Math" w:hAnsi="Cambria Math" w:cs="Times New Roman"/>
              <w:color w:val="000000" w:themeColor="text1"/>
              <w:szCs w:val="24"/>
            </w:rPr>
            <m:t>N</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i</m:t>
              </m:r>
              <m:ctrlPr>
                <w:rPr>
                  <w:rFonts w:ascii="Cambria Math" w:hAnsi="Cambria Math" w:cs="Times New Roman" w:hint="eastAsia"/>
                  <w:i/>
                  <w:color w:val="000000" w:themeColor="text1"/>
                  <w:kern w:val="0"/>
                  <w:szCs w:val="24"/>
                </w:rPr>
              </m:ctrlPr>
            </m:e>
            <m:sup>
              <m:r>
                <w:rPr>
                  <w:rFonts w:ascii="Cambria Math" w:hAnsi="Cambria Math" w:cs="Times New Roman"/>
                  <w:color w:val="000000" w:themeColor="text1"/>
                  <w:szCs w:val="24"/>
                </w:rPr>
                <m:t>2+</m:t>
              </m:r>
            </m:sup>
          </m:sSup>
          <m:r>
            <w:rPr>
              <w:rFonts w:ascii="Cambria Math" w:hAnsi="Cambria Math" w:cs="Times New Roman"/>
              <w:color w:val="000000" w:themeColor="text1"/>
              <w:szCs w:val="24"/>
            </w:rPr>
            <m:t>+HS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→N</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i</m:t>
              </m:r>
              <m:ctrlPr>
                <w:rPr>
                  <w:rFonts w:ascii="Cambria Math" w:hAnsi="Cambria Math" w:cs="Times New Roman" w:hint="eastAsia"/>
                  <w:i/>
                  <w:color w:val="000000" w:themeColor="text1"/>
                  <w:kern w:val="0"/>
                  <w:szCs w:val="24"/>
                </w:rPr>
              </m:ctrlPr>
            </m:e>
            <m:sup>
              <m:r>
                <w:rPr>
                  <w:rFonts w:ascii="Cambria Math" w:hAnsi="Cambria Math" w:cs="Times New Roman"/>
                  <w:color w:val="000000" w:themeColor="text1"/>
                  <w:szCs w:val="24"/>
                </w:rPr>
                <m:t>3+</m:t>
              </m:r>
            </m:sup>
          </m:sSup>
          <m:r>
            <w:rPr>
              <w:rFonts w:ascii="Cambria Math" w:hAnsi="Cambria Math" w:cs="Times New Roman"/>
              <w:color w:val="000000" w:themeColor="text1"/>
              <w:szCs w:val="24"/>
            </w:rPr>
            <m:t>+S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4</m:t>
              </m:r>
            </m:sub>
            <m:sup>
              <m:r>
                <w:rPr>
                  <w:rFonts w:ascii="Cambria Math" w:hAnsi="Cambria Math" w:cs="Times New Roman"/>
                  <w:color w:val="000000" w:themeColor="text1"/>
                  <w:szCs w:val="24"/>
                </w:rPr>
                <m:t>2-</m:t>
              </m:r>
            </m:sup>
          </m:sSubSup>
          <m:r>
            <w:rPr>
              <w:rFonts w:ascii="Cambria Math" w:hAnsi="Cambria Math" w:cs="Times New Roman"/>
              <w:color w:val="000000" w:themeColor="text1"/>
              <w:szCs w:val="24"/>
            </w:rPr>
            <m:t>+O</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H</m:t>
              </m:r>
            </m:e>
            <m:sup>
              <m:r>
                <w:rPr>
                  <w:rFonts w:ascii="Cambria Math" w:hAnsi="Cambria Math" w:cs="Times New Roman"/>
                  <w:color w:val="000000" w:themeColor="text1"/>
                  <w:szCs w:val="24"/>
                </w:rPr>
                <m:t>∙</m:t>
              </m:r>
            </m:sup>
          </m:sSup>
          <m:r>
            <w:rPr>
              <w:rFonts w:ascii="Cambria Math" w:hAnsi="Cambria Math" w:cs="Times New Roman"/>
              <w:color w:val="000000" w:themeColor="text1"/>
              <w:kern w:val="0"/>
              <w:szCs w:val="24"/>
            </w:rPr>
            <m:t xml:space="preserve">               </m:t>
          </m:r>
          <m:r>
            <m:rPr>
              <m:sty m:val="p"/>
            </m:rPr>
            <w:rPr>
              <w:rFonts w:ascii="Cambria Math" w:hAnsi="Cambria Math"/>
              <w:color w:val="000000" w:themeColor="text1"/>
              <w:szCs w:val="24"/>
            </w:rPr>
            <m:t>Eq.  (S17)</m:t>
          </m:r>
        </m:oMath>
      </m:oMathPara>
    </w:p>
    <w:p w14:paraId="3F53CAE7" w14:textId="02C9D057" w:rsidR="00F2449F" w:rsidRPr="0026720E" w:rsidRDefault="00F2449F" w:rsidP="00F2449F">
      <w:pPr>
        <w:rPr>
          <w:rFonts w:cs="Times New Roman"/>
          <w:color w:val="000000" w:themeColor="text1"/>
          <w:szCs w:val="24"/>
        </w:rPr>
      </w:pPr>
      <m:oMathPara>
        <m:oMath>
          <m:r>
            <w:rPr>
              <w:rFonts w:ascii="Cambria Math" w:hAnsi="Cambria Math" w:cs="Times New Roman"/>
              <w:color w:val="000000" w:themeColor="text1"/>
              <w:szCs w:val="24"/>
            </w:rPr>
            <m:t>N</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i</m:t>
              </m:r>
            </m:e>
            <m:sup>
              <m:r>
                <w:rPr>
                  <w:rFonts w:ascii="Cambria Math" w:hAnsi="Cambria Math" w:cs="Times New Roman"/>
                  <w:color w:val="000000" w:themeColor="text1"/>
                  <w:szCs w:val="24"/>
                </w:rPr>
                <m:t>2+</m:t>
              </m:r>
            </m:sup>
          </m:sSup>
          <m:r>
            <w:rPr>
              <w:rFonts w:ascii="Cambria Math" w:hAnsi="Cambria Math" w:cs="Times New Roman"/>
              <w:color w:val="000000" w:themeColor="text1"/>
              <w:szCs w:val="24"/>
            </w:rPr>
            <m:t>+HS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→N</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i</m:t>
              </m:r>
            </m:e>
            <m:sup>
              <m:r>
                <w:rPr>
                  <w:rFonts w:ascii="Cambria Math" w:hAnsi="Cambria Math" w:cs="Times New Roman"/>
                  <w:color w:val="000000" w:themeColor="text1"/>
                  <w:szCs w:val="24"/>
                </w:rPr>
                <m:t>3+</m:t>
              </m:r>
            </m:sup>
          </m:sSup>
          <m:r>
            <w:rPr>
              <w:rFonts w:ascii="Cambria Math" w:hAnsi="Cambria Math" w:cs="Times New Roman"/>
              <w:color w:val="000000" w:themeColor="text1"/>
              <w:szCs w:val="24"/>
            </w:rPr>
            <m:t>+S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4</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m:t>
          </m:r>
          <w:bookmarkStart w:id="70" w:name="OLE_LINK233"/>
          <m:r>
            <w:rPr>
              <w:rFonts w:ascii="Cambria Math" w:hAnsi="Cambria Math" w:cs="Times New Roman"/>
              <w:color w:val="000000" w:themeColor="text1"/>
              <w:szCs w:val="24"/>
            </w:rPr>
            <m:t>O</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H</m:t>
              </m:r>
            </m:e>
            <m:sup>
              <m:r>
                <w:rPr>
                  <w:rFonts w:ascii="Cambria Math" w:hAnsi="Cambria Math" w:cs="Times New Roman"/>
                  <w:color w:val="000000" w:themeColor="text1"/>
                  <w:szCs w:val="24"/>
                </w:rPr>
                <m:t>-</m:t>
              </m:r>
            </m:sup>
          </m:sSup>
          <w:bookmarkEnd w:id="70"/>
          <m:r>
            <w:rPr>
              <w:rFonts w:ascii="Cambria Math" w:hAnsi="Cambria Math" w:cs="Times New Roman"/>
              <w:color w:val="000000" w:themeColor="text1"/>
              <w:kern w:val="0"/>
              <w:szCs w:val="24"/>
            </w:rPr>
            <m:t xml:space="preserve">               </m:t>
          </m:r>
          <m:r>
            <m:rPr>
              <m:sty m:val="p"/>
            </m:rPr>
            <w:rPr>
              <w:rFonts w:ascii="Cambria Math" w:hAnsi="Cambria Math" w:cs="Times New Roman"/>
              <w:color w:val="000000" w:themeColor="text1"/>
              <w:szCs w:val="24"/>
            </w:rPr>
            <m:t>Eq.  (S18)</m:t>
          </m:r>
        </m:oMath>
      </m:oMathPara>
    </w:p>
    <w:p w14:paraId="4C457C07" w14:textId="267019CD" w:rsidR="00A259C9" w:rsidRPr="0026720E" w:rsidRDefault="00F2449F" w:rsidP="0027378F">
      <w:pPr>
        <w:rPr>
          <w:rFonts w:cs="Times New Roman"/>
          <w:color w:val="000000" w:themeColor="text1"/>
          <w:szCs w:val="24"/>
        </w:rPr>
      </w:pPr>
      <m:oMathPara>
        <m:oMath>
          <m:r>
            <w:rPr>
              <w:rFonts w:ascii="Cambria Math" w:hAnsi="Cambria Math" w:cs="Times New Roman"/>
              <w:color w:val="000000" w:themeColor="text1"/>
              <w:szCs w:val="24"/>
            </w:rPr>
            <m:t>N</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i</m:t>
              </m:r>
            </m:e>
            <m:sup>
              <m:r>
                <w:rPr>
                  <w:rFonts w:ascii="Cambria Math" w:hAnsi="Cambria Math" w:cs="Times New Roman"/>
                  <w:color w:val="000000" w:themeColor="text1"/>
                  <w:szCs w:val="24"/>
                </w:rPr>
                <m:t>3+</m:t>
              </m:r>
            </m:sup>
          </m:sSup>
          <m:r>
            <w:rPr>
              <w:rFonts w:ascii="Cambria Math" w:hAnsi="Cambria Math" w:cs="Times New Roman"/>
              <w:color w:val="000000" w:themeColor="text1"/>
              <w:szCs w:val="24"/>
            </w:rPr>
            <m:t>+HS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5</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→N</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i</m:t>
              </m:r>
            </m:e>
            <m:sup>
              <m:r>
                <w:rPr>
                  <w:rFonts w:ascii="Cambria Math" w:hAnsi="Cambria Math" w:cs="Times New Roman"/>
                  <w:color w:val="000000" w:themeColor="text1"/>
                  <w:szCs w:val="24"/>
                </w:rPr>
                <m:t>2+</m:t>
              </m:r>
            </m:sup>
          </m:sSup>
          <m:r>
            <w:rPr>
              <w:rFonts w:ascii="Cambria Math" w:hAnsi="Cambria Math" w:cs="Times New Roman"/>
              <w:color w:val="000000" w:themeColor="text1"/>
              <w:szCs w:val="24"/>
            </w:rPr>
            <m:t>+S</m:t>
          </m:r>
          <m:sSubSup>
            <m:sSubSupPr>
              <m:ctrlPr>
                <w:rPr>
                  <w:rFonts w:ascii="Cambria Math" w:hAnsi="Cambria Math" w:cs="Times New Roman"/>
                  <w:i/>
                  <w:color w:val="000000" w:themeColor="text1"/>
                  <w:kern w:val="0"/>
                  <w:szCs w:val="24"/>
                </w:rPr>
              </m:ctrlPr>
            </m:sSubSupPr>
            <m:e>
              <m:r>
                <w:rPr>
                  <w:rFonts w:ascii="Cambria Math" w:hAnsi="Cambria Math" w:cs="Times New Roman"/>
                  <w:color w:val="000000" w:themeColor="text1"/>
                  <w:szCs w:val="24"/>
                </w:rPr>
                <m:t>O</m:t>
              </m:r>
            </m:e>
            <m:sub>
              <m:r>
                <w:rPr>
                  <w:rFonts w:ascii="Cambria Math" w:hAnsi="Cambria Math" w:cs="Times New Roman"/>
                  <w:color w:val="000000" w:themeColor="text1"/>
                  <w:szCs w:val="24"/>
                </w:rPr>
                <m:t>4</m:t>
              </m:r>
            </m:sub>
            <m:sup>
              <m:r>
                <w:rPr>
                  <w:rFonts w:ascii="Cambria Math" w:hAnsi="Cambria Math" w:cs="Times New Roman"/>
                  <w:color w:val="000000" w:themeColor="text1"/>
                  <w:szCs w:val="24"/>
                </w:rPr>
                <m:t>∙-</m:t>
              </m:r>
            </m:sup>
          </m:sSubSup>
          <m:r>
            <w:rPr>
              <w:rFonts w:ascii="Cambria Math" w:hAnsi="Cambria Math" w:cs="Times New Roman"/>
              <w:color w:val="000000" w:themeColor="text1"/>
              <w:szCs w:val="24"/>
            </w:rPr>
            <m:t>+H</m:t>
          </m:r>
          <m:sSup>
            <m:sSupPr>
              <m:ctrlPr>
                <w:rPr>
                  <w:rFonts w:ascii="Cambria Math" w:hAnsi="Cambria Math" w:cs="Times New Roman"/>
                  <w:i/>
                  <w:color w:val="000000" w:themeColor="text1"/>
                  <w:kern w:val="0"/>
                  <w:szCs w:val="24"/>
                </w:rPr>
              </m:ctrlPr>
            </m:sSupPr>
            <m:e>
              <m:r>
                <w:rPr>
                  <w:rFonts w:ascii="Cambria Math" w:hAnsi="Cambria Math" w:cs="Times New Roman"/>
                  <w:color w:val="000000" w:themeColor="text1"/>
                  <w:szCs w:val="24"/>
                </w:rPr>
                <m:t>O</m:t>
              </m:r>
            </m:e>
            <m:sup>
              <m:r>
                <w:rPr>
                  <w:rFonts w:ascii="Cambria Math" w:hAnsi="Cambria Math" w:cs="Times New Roman"/>
                  <w:color w:val="000000" w:themeColor="text1"/>
                  <w:szCs w:val="24"/>
                </w:rPr>
                <m:t>+</m:t>
              </m:r>
            </m:sup>
          </m:sSup>
          <m:r>
            <w:rPr>
              <w:rFonts w:ascii="Cambria Math" w:hAnsi="Cambria Math" w:cs="Times New Roman"/>
              <w:color w:val="000000" w:themeColor="text1"/>
              <w:kern w:val="0"/>
              <w:szCs w:val="24"/>
            </w:rPr>
            <m:t xml:space="preserve">               </m:t>
          </m:r>
          <m:r>
            <m:rPr>
              <m:sty m:val="p"/>
            </m:rPr>
            <w:rPr>
              <w:rFonts w:ascii="Cambria Math" w:hAnsi="Cambria Math" w:cs="Times New Roman"/>
              <w:color w:val="000000" w:themeColor="text1"/>
              <w:szCs w:val="24"/>
            </w:rPr>
            <m:t>Eq.  (S19)</m:t>
          </m:r>
        </m:oMath>
      </m:oMathPara>
    </w:p>
    <w:p w14:paraId="5817B89D" w14:textId="4A9E9E4C" w:rsidR="007E3839" w:rsidRPr="0026720E" w:rsidRDefault="007E3839" w:rsidP="001C16B4">
      <w:pPr>
        <w:pStyle w:val="0-1-ENG"/>
        <w:spacing w:before="163" w:after="163"/>
      </w:pPr>
      <w:bookmarkStart w:id="71" w:name="OLE_LINK127"/>
      <w:bookmarkStart w:id="72" w:name="OLE_LINK128"/>
      <w:r w:rsidRPr="0026720E">
        <w:t>Text</w:t>
      </w:r>
      <w:r w:rsidR="008F379F">
        <w:t xml:space="preserve"> S</w:t>
      </w:r>
      <w:r w:rsidR="00A516BA">
        <w:t>7</w:t>
      </w:r>
      <w:r w:rsidRPr="0026720E">
        <w:t xml:space="preserve">. </w:t>
      </w:r>
      <w:bookmarkEnd w:id="71"/>
      <w:bookmarkEnd w:id="72"/>
      <w:r w:rsidRPr="0026720E">
        <w:t xml:space="preserve">Contribution of radicals and nonradical pathway. </w:t>
      </w:r>
    </w:p>
    <w:p w14:paraId="24E15435" w14:textId="339E4C1B" w:rsidR="007E3839" w:rsidRPr="0026720E" w:rsidRDefault="009E5A9C" w:rsidP="001C16B4">
      <w:pPr>
        <w:pStyle w:val="3-mainbody-ENG"/>
        <w:ind w:firstLine="210"/>
      </w:pPr>
      <w:r w:rsidRPr="0026720E">
        <w:t xml:space="preserve">The contribution of radical and non-radical pathway can be evaluated quantitively by </w:t>
      </w:r>
      <w:proofErr w:type="spellStart"/>
      <w:r w:rsidRPr="0026720E">
        <w:t>Eq</w:t>
      </w:r>
      <w:r w:rsidR="00F42DFB">
        <w:t>s</w:t>
      </w:r>
      <w:proofErr w:type="spellEnd"/>
      <w:r w:rsidRPr="0026720E">
        <w:t>. (</w:t>
      </w:r>
      <w:r w:rsidR="00F42DFB">
        <w:t>S</w:t>
      </w:r>
      <w:r w:rsidR="007B778B" w:rsidRPr="0026720E">
        <w:t>20</w:t>
      </w:r>
      <w:r w:rsidR="00F42DFB">
        <w:t xml:space="preserve">) </w:t>
      </w:r>
      <w:r w:rsidR="00F42DFB">
        <w:rPr>
          <w:rFonts w:hint="eastAsia"/>
        </w:rPr>
        <w:t>and</w:t>
      </w:r>
      <w:r w:rsidR="00F42DFB">
        <w:t xml:space="preserve"> (S</w:t>
      </w:r>
      <w:r w:rsidR="007B778B" w:rsidRPr="0026720E">
        <w:t>21</w:t>
      </w:r>
      <w:r w:rsidRPr="0026720E">
        <w:t>)</w:t>
      </w:r>
      <w:r w:rsidR="003359C3" w:rsidRPr="0026720E">
        <w:t xml:space="preserve"> </w:t>
      </w:r>
      <w:r w:rsidR="003359C3" w:rsidRPr="0026720E">
        <w:fldChar w:fldCharType="begin" w:fldLock="1"/>
      </w:r>
      <w:r w:rsidR="00160292" w:rsidRPr="0026720E">
        <w:instrText>ADDIN CSL_CITATION {"citationItems":[{"id":"ITEM-1","itemData":{"DOI":"10.1016/j.scitotenv.2020.142794","ISSN":"00489697","abstract":"Nonradical persulfate oxidation processes have emerged as a new wastewater treatment method due to production of mild nonradical oxidants, selective oxidation of organic pollutants, and higher tolerance to water matrixes compared with radical persulfate oxidation processes. Since the case of the nonradical activation of peroxydisulfate (PDS) was reported on CuO surface in 2014, nonradical persulfate oxidation processes have been extensively investigated, and much achievement has been made on realization of nonradical persulfate activation processes and understanding of intrinsic reaction mechanism. Therefore, in the review, nonradical pathways and reaction mechanisms for oxidation of various organic pollutants by PDS and peroxymonosulfate (PMS) are overviewed. Five nonradical persulfate oxidation pathways for degradation of organic pollutants are summarized, which include surface activated persulfate, catalysts-free or catalysts mediated electron transfer, 1O2, high-valent metals, and newly derived inorganic oxidants (e.g., HOCl and HCO4−). Among them, the direct oxidation processes by persulfate, nonradical based persulfate activation by inorganic/organic molecules and in electrochemical methods is first overviewed. Moreover, nonradical based persulfate activation mechanisms by metal oxides and carbon materials are further updated. Furthermore, investigation methods of interaction between persulfate and catalyst surface, and nature of reactive species are also discussed in detail. Finally, the future research needs are proposed based on limited understanding on reaction mechanism of nonradical based persulfate activation. The review can offer a comprehensive assessment on nonradical oxidation of organic pollutants by persulfate to fill the knowledge gap and provide better guidance for future research and engineering application of persulfate.","author":[{"dropping-particle":"","family":"Ding","given":"Yaobin","non-dropping-particle":"","parse-names":false,"suffix":""},{"dropping-particle":"","family":"Wang","given":"Xueru","non-dropping-particle":"","parse-names":false,"suffix":""},{"dropping-particle":"","family":"Fu","given":"Libin","non-dropping-particle":"","parse-names":false,"suffix":""},{"dropping-particle":"","family":"Peng","given":"Xueqin","non-dropping-particle":"","parse-names":false,"suffix":""},{"dropping-particle":"","family":"Pan","given":"Cong","non-dropping-particle":"","parse-names":false,"suffix":""},{"dropping-particle":"","family":"Mao","given":"Qihang","non-dropping-particle":"","parse-names":false,"suffix":""},{"dropping-particle":"","family":"Wang","given":"Chengjun","non-dropping-particle":"","parse-names":false,"suffix":""},{"dropping-particle":"","family":"Yan","given":"Jingchun","non-dropping-particle":"","parse-names":false,"suffix":""}],"container-title":"Science of The Total Environment","id":"ITEM-1","issued":{"date-parts":[["2021","4"]]},"page":"142794","title":"Nonradicals induced degradation of organic pollutants by peroxydisulfate (PDS) and peroxymonosulfate (PMS): Recent advances and perspective","type":"article-journal","volume":"765"},"uris":["http://www.mendeley.com/documents/?uuid=936a025e-de27-329c-9747-f1a08a475acb"]}],"mendeley":{"formattedCitation":"[13]","plainTextFormattedCitation":"[13]","previouslyFormattedCitation":"[13]"},"properties":{"noteIndex":0},"schema":"https://github.com/citation-style-language/schema/raw/master/csl-citation.json"}</w:instrText>
      </w:r>
      <w:r w:rsidR="003359C3" w:rsidRPr="0026720E">
        <w:fldChar w:fldCharType="separate"/>
      </w:r>
      <w:r w:rsidR="00160292" w:rsidRPr="0026720E">
        <w:rPr>
          <w:noProof/>
        </w:rPr>
        <w:t>[13]</w:t>
      </w:r>
      <w:r w:rsidR="003359C3" w:rsidRPr="0026720E">
        <w:fldChar w:fldCharType="end"/>
      </w:r>
      <w:r w:rsidR="00071BAF" w:rsidRPr="0026720E">
        <w:t>.</w:t>
      </w:r>
      <w:r w:rsidR="0087629F" w:rsidRPr="0026720E">
        <w:t xml:space="preserve"> </w:t>
      </w:r>
    </w:p>
    <w:bookmarkStart w:id="73" w:name="OLE_LINK32"/>
    <w:bookmarkStart w:id="74" w:name="OLE_LINK33"/>
    <w:p w14:paraId="3E2AC2A8" w14:textId="0F617494" w:rsidR="007E3839" w:rsidRPr="0026720E" w:rsidRDefault="00445426" w:rsidP="00D3381F">
      <w:pPr>
        <w:spacing w:line="600" w:lineRule="auto"/>
        <w:rPr>
          <w:rFonts w:cs="Times New Roman"/>
          <w:color w:val="000000" w:themeColor="text1"/>
        </w:rPr>
      </w:pPr>
      <m:oMathPara>
        <m:oMathParaPr>
          <m:jc m:val="center"/>
        </m:oMathParaPr>
        <m:oMath>
          <m:sSub>
            <m:sSubPr>
              <m:ctrlPr>
                <w:rPr>
                  <w:rFonts w:ascii="Cambria Math" w:hAnsi="Cambria Math" w:cs="Times New Roman"/>
                  <w:i/>
                  <w:color w:val="000000" w:themeColor="text1"/>
                </w:rPr>
              </m:ctrlPr>
            </m:sSubPr>
            <m:e>
              <m:r>
                <w:rPr>
                  <w:rFonts w:ascii="Cambria Math" w:hAnsi="Cambria Math" w:cs="Times New Roman"/>
                  <w:color w:val="000000" w:themeColor="text1"/>
                </w:rPr>
                <m:t>R</m:t>
              </m:r>
            </m:e>
            <m:sub>
              <m:r>
                <w:rPr>
                  <w:rFonts w:ascii="Cambria Math" w:hAnsi="Cambria Math" w:cs="Times New Roman"/>
                  <w:color w:val="000000" w:themeColor="text1"/>
                </w:rPr>
                <m:t>nonradical</m:t>
              </m:r>
            </m:sub>
          </m:sSub>
          <w:bookmarkEnd w:id="73"/>
          <w:bookmarkEnd w:id="74"/>
          <m:r>
            <w:rPr>
              <w:rFonts w:ascii="Cambria Math" w:hAnsi="Cambria Math" w:cs="Times New Roman"/>
              <w:color w:val="000000" w:themeColor="text1"/>
            </w:rPr>
            <m:t>=</m:t>
          </m:r>
          <m:f>
            <m:fPr>
              <m:ctrlPr>
                <w:rPr>
                  <w:rFonts w:ascii="Cambria Math" w:hAnsi="Cambria Math" w:cs="Times New Roman"/>
                  <w:i/>
                  <w:color w:val="000000" w:themeColor="text1"/>
                </w:rPr>
              </m:ctrlPr>
            </m:fPr>
            <m:num>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MeOH/EtOH</m:t>
                  </m:r>
                </m:sub>
              </m:sSub>
            </m:num>
            <m:den>
              <m:sSub>
                <m:sSubPr>
                  <m:ctrlPr>
                    <w:rPr>
                      <w:rFonts w:ascii="Cambria Math" w:hAnsi="Cambria Math" w:cs="Times New Roman"/>
                      <w:i/>
                      <w:color w:val="000000" w:themeColor="text1"/>
                    </w:rPr>
                  </m:ctrlPr>
                </m:sSubPr>
                <m:e>
                  <m:r>
                    <w:rPr>
                      <w:rFonts w:ascii="Cambria Math" w:hAnsi="Cambria Math" w:cs="Times New Roman"/>
                      <w:color w:val="000000" w:themeColor="text1"/>
                    </w:rPr>
                    <m:t>k</m:t>
                  </m:r>
                </m:e>
                <m:sub>
                  <m:r>
                    <w:rPr>
                      <w:rFonts w:ascii="Cambria Math" w:hAnsi="Cambria Math" w:cs="Times New Roman"/>
                      <w:color w:val="000000" w:themeColor="text1"/>
                    </w:rPr>
                    <m:t>overall</m:t>
                  </m:r>
                </m:sub>
              </m:sSub>
            </m:den>
          </m:f>
          <m:r>
            <w:rPr>
              <w:rFonts w:ascii="Cambria Math" w:hAnsi="Cambria Math" w:cs="Times New Roman"/>
              <w:color w:val="000000" w:themeColor="text1"/>
            </w:rPr>
            <m:t xml:space="preserve">×100%                 </m:t>
          </m:r>
          <m:r>
            <m:rPr>
              <m:sty m:val="p"/>
            </m:rPr>
            <w:rPr>
              <w:rFonts w:ascii="Cambria Math" w:hAnsi="Cambria Math" w:cs="Times New Roman"/>
              <w:color w:val="000000" w:themeColor="text1"/>
            </w:rPr>
            <m:t xml:space="preserve">  Eq.   (S20)</m:t>
          </m:r>
        </m:oMath>
      </m:oMathPara>
    </w:p>
    <w:p w14:paraId="097A89CA" w14:textId="0B45C9F5" w:rsidR="007E3839" w:rsidRPr="0026720E" w:rsidRDefault="00445426" w:rsidP="00D3381F">
      <w:pPr>
        <w:spacing w:line="480" w:lineRule="auto"/>
        <w:rPr>
          <w:rFonts w:cs="Times New Roman"/>
          <w:color w:val="000000" w:themeColor="text1"/>
        </w:rPr>
      </w:pPr>
      <m:oMathPara>
        <m:oMathParaPr>
          <m:jc m:val="center"/>
        </m:oMathParaPr>
        <m:oMath>
          <m:sSub>
            <m:sSubPr>
              <m:ctrlPr>
                <w:rPr>
                  <w:rFonts w:ascii="Cambria Math" w:hAnsi="Cambria Math" w:cs="Times New Roman"/>
                  <w:i/>
                  <w:color w:val="000000" w:themeColor="text1"/>
                </w:rPr>
              </m:ctrlPr>
            </m:sSubPr>
            <m:e>
              <m:r>
                <w:rPr>
                  <w:rFonts w:ascii="Cambria Math" w:hAnsi="Cambria Math" w:cs="Times New Roman"/>
                  <w:color w:val="000000" w:themeColor="text1"/>
                </w:rPr>
                <m:t>R</m:t>
              </m:r>
            </m:e>
            <m:sub>
              <m:r>
                <w:rPr>
                  <w:rFonts w:ascii="Cambria Math" w:hAnsi="Cambria Math" w:cs="Times New Roman"/>
                  <w:color w:val="000000" w:themeColor="text1"/>
                </w:rPr>
                <m:t>radical</m:t>
              </m:r>
            </m:sub>
          </m:sSub>
          <m:r>
            <w:rPr>
              <w:rFonts w:ascii="Cambria Math" w:hAnsi="Cambria Math" w:cs="Times New Roman"/>
              <w:color w:val="000000" w:themeColor="text1"/>
            </w:rPr>
            <m:t>=100%-</m:t>
          </m:r>
          <m:sSub>
            <m:sSubPr>
              <m:ctrlPr>
                <w:rPr>
                  <w:rFonts w:ascii="Cambria Math" w:hAnsi="Cambria Math" w:cs="Times New Roman"/>
                  <w:i/>
                  <w:color w:val="000000" w:themeColor="text1"/>
                </w:rPr>
              </m:ctrlPr>
            </m:sSubPr>
            <m:e>
              <m:r>
                <w:rPr>
                  <w:rFonts w:ascii="Cambria Math" w:hAnsi="Cambria Math" w:cs="Times New Roman"/>
                  <w:color w:val="000000" w:themeColor="text1"/>
                </w:rPr>
                <m:t>R</m:t>
              </m:r>
            </m:e>
            <m:sub>
              <m:r>
                <w:rPr>
                  <w:rFonts w:ascii="Cambria Math" w:hAnsi="Cambria Math" w:cs="Times New Roman"/>
                  <w:color w:val="000000" w:themeColor="text1"/>
                </w:rPr>
                <m:t>nonradical</m:t>
              </m:r>
            </m:sub>
          </m:sSub>
          <m:r>
            <m:rPr>
              <m:sty m:val="p"/>
            </m:rPr>
            <w:rPr>
              <w:rFonts w:ascii="Cambria Math" w:hAnsi="Cambria Math" w:cs="Times New Roman"/>
              <w:color w:val="000000" w:themeColor="text1"/>
            </w:rPr>
            <m:t xml:space="preserve">                          Eq.  (S21)</m:t>
          </m:r>
        </m:oMath>
      </m:oMathPara>
    </w:p>
    <w:p w14:paraId="3E3B9C5F" w14:textId="77777777" w:rsidR="005B7E57" w:rsidRPr="0026720E" w:rsidRDefault="007E3839" w:rsidP="00F42DFB">
      <w:pPr>
        <w:pStyle w:val="3-mainbody-ENG"/>
        <w:ind w:firstLineChars="0" w:firstLine="0"/>
      </w:pPr>
      <w:r w:rsidRPr="0026720E">
        <w:t xml:space="preserve">where </w:t>
      </w:r>
      <m:oMath>
        <m:sSub>
          <m:sSubPr>
            <m:ctrlPr>
              <w:rPr>
                <w:rFonts w:ascii="Cambria Math" w:hAnsi="Cambria Math"/>
                <w:i/>
              </w:rPr>
            </m:ctrlPr>
          </m:sSubPr>
          <m:e>
            <m:r>
              <w:rPr>
                <w:rFonts w:ascii="Cambria Math" w:hAnsi="Cambria Math"/>
              </w:rPr>
              <m:t>k</m:t>
            </m:r>
          </m:e>
          <m:sub>
            <m:r>
              <w:rPr>
                <w:rFonts w:ascii="Cambria Math" w:hAnsi="Cambria Math"/>
              </w:rPr>
              <m:t>overall</m:t>
            </m:r>
          </m:sub>
        </m:sSub>
        <m:r>
          <w:rPr>
            <w:rFonts w:ascii="Cambria Math" w:hAnsi="Cambria Math"/>
          </w:rPr>
          <m:t xml:space="preserve"> </m:t>
        </m:r>
      </m:oMath>
      <w:r w:rsidRPr="0026720E">
        <w:t xml:space="preserve">is the overall degradation rate of a target organic pollutant in a persulfate activation system, while </w:t>
      </w:r>
      <m:oMath>
        <m:sSub>
          <m:sSubPr>
            <m:ctrlPr>
              <w:rPr>
                <w:rFonts w:ascii="Cambria Math" w:hAnsi="Cambria Math"/>
                <w:i/>
              </w:rPr>
            </m:ctrlPr>
          </m:sSubPr>
          <m:e>
            <m:r>
              <w:rPr>
                <w:rFonts w:ascii="Cambria Math" w:hAnsi="Cambria Math"/>
              </w:rPr>
              <m:t>k</m:t>
            </m:r>
          </m:e>
          <m:sub>
            <m:r>
              <w:rPr>
                <w:rFonts w:ascii="Cambria Math" w:hAnsi="Cambria Math"/>
              </w:rPr>
              <m:t>MeOH/EtOH</m:t>
            </m:r>
          </m:sub>
        </m:sSub>
      </m:oMath>
      <w:r w:rsidRPr="0026720E">
        <w:t xml:space="preserve">is the degradation rate of the target organic pollutant in the presence of excess MeOH or EtOH. </w:t>
      </w:r>
      <w:bookmarkStart w:id="75" w:name="OLE_LINK112"/>
      <w:bookmarkStart w:id="76" w:name="OLE_LINK113"/>
      <m:oMath>
        <m:sSub>
          <m:sSubPr>
            <m:ctrlPr>
              <w:rPr>
                <w:rFonts w:ascii="Cambria Math" w:hAnsi="Cambria Math"/>
                <w:i/>
              </w:rPr>
            </m:ctrlPr>
          </m:sSubPr>
          <m:e>
            <m:r>
              <w:rPr>
                <w:rFonts w:ascii="Cambria Math" w:hAnsi="Cambria Math"/>
              </w:rPr>
              <m:t>R</m:t>
            </m:r>
          </m:e>
          <m:sub>
            <m:r>
              <w:rPr>
                <w:rFonts w:ascii="Cambria Math" w:hAnsi="Cambria Math"/>
              </w:rPr>
              <m:t>nonradical</m:t>
            </m:r>
          </m:sub>
        </m:sSub>
      </m:oMath>
      <w:r w:rsidR="005B7E57" w:rsidRPr="0026720E">
        <w:t xml:space="preserve"> and </w:t>
      </w:r>
      <m:oMath>
        <m:sSub>
          <m:sSubPr>
            <m:ctrlPr>
              <w:rPr>
                <w:rFonts w:ascii="Cambria Math" w:hAnsi="Cambria Math"/>
                <w:i/>
              </w:rPr>
            </m:ctrlPr>
          </m:sSubPr>
          <m:e>
            <m:r>
              <w:rPr>
                <w:rFonts w:ascii="Cambria Math" w:hAnsi="Cambria Math"/>
              </w:rPr>
              <m:t>R</m:t>
            </m:r>
          </m:e>
          <m:sub>
            <m:r>
              <w:rPr>
                <w:rFonts w:ascii="Cambria Math" w:hAnsi="Cambria Math"/>
              </w:rPr>
              <m:t>radical</m:t>
            </m:r>
          </m:sub>
        </m:sSub>
      </m:oMath>
      <w:r w:rsidR="005B7E57" w:rsidRPr="0026720E">
        <w:t xml:space="preserve"> are the estimated contribution rates of radical and no</w:t>
      </w:r>
      <w:proofErr w:type="spellStart"/>
      <w:r w:rsidR="005B7E57" w:rsidRPr="0026720E">
        <w:t>nradical</w:t>
      </w:r>
      <w:proofErr w:type="spellEnd"/>
      <w:r w:rsidR="005B7E57" w:rsidRPr="0026720E">
        <w:t xml:space="preserve"> reactive species, respectively.</w:t>
      </w:r>
      <w:bookmarkEnd w:id="75"/>
      <w:bookmarkEnd w:id="76"/>
    </w:p>
    <w:p w14:paraId="579668BD" w14:textId="5A540435" w:rsidR="009E5A9C" w:rsidRPr="0026720E" w:rsidRDefault="009E5A9C" w:rsidP="00F42DFB">
      <w:pPr>
        <w:pStyle w:val="3-mainbody-ENG"/>
        <w:ind w:firstLine="210"/>
      </w:pPr>
      <w:r w:rsidRPr="0026720E">
        <w:t xml:space="preserve">And the kinetics of </w:t>
      </w:r>
      <w:proofErr w:type="spellStart"/>
      <w:r w:rsidRPr="0026720E">
        <w:t>RhB</w:t>
      </w:r>
      <w:proofErr w:type="spellEnd"/>
      <w:r w:rsidRPr="0026720E">
        <w:t xml:space="preserve"> elimination with and without MeOH (</w:t>
      </w:r>
      <m:oMath>
        <m:sSub>
          <m:sSubPr>
            <m:ctrlPr>
              <w:rPr>
                <w:rFonts w:ascii="Cambria Math" w:hAnsi="Cambria Math"/>
                <w:i/>
              </w:rPr>
            </m:ctrlPr>
          </m:sSubPr>
          <m:e>
            <m:r>
              <w:rPr>
                <w:rFonts w:ascii="Cambria Math" w:hAnsi="Cambria Math"/>
              </w:rPr>
              <m:t>k</m:t>
            </m:r>
          </m:e>
          <m:sub>
            <m:r>
              <w:rPr>
                <w:rFonts w:ascii="Cambria Math" w:hAnsi="Cambria Math"/>
              </w:rPr>
              <m:t>overall</m:t>
            </m:r>
          </m:sub>
        </m:sSub>
      </m:oMath>
      <w:r w:rsidRPr="0026720E">
        <w:t xml:space="preserve"> and </w:t>
      </w:r>
      <m:oMath>
        <m:sSub>
          <m:sSubPr>
            <m:ctrlPr>
              <w:rPr>
                <w:rFonts w:ascii="Cambria Math" w:hAnsi="Cambria Math"/>
                <w:i/>
              </w:rPr>
            </m:ctrlPr>
          </m:sSubPr>
          <m:e>
            <m:r>
              <w:rPr>
                <w:rFonts w:ascii="Cambria Math" w:hAnsi="Cambria Math"/>
              </w:rPr>
              <m:t>k</m:t>
            </m:r>
          </m:e>
          <m:sub>
            <m:r>
              <w:rPr>
                <w:rFonts w:ascii="Cambria Math" w:hAnsi="Cambria Math"/>
              </w:rPr>
              <m:t>MeOH</m:t>
            </m:r>
          </m:sub>
        </m:sSub>
      </m:oMath>
      <w:r w:rsidRPr="0026720E">
        <w:t>) could be well simulated with pseudo-second-order rate law</w:t>
      </w:r>
      <w:r w:rsidR="00BA66B4" w:rsidRPr="0026720E">
        <w:t xml:space="preserve"> by Eq. (</w:t>
      </w:r>
      <w:r w:rsidR="00F42DFB">
        <w:t>S</w:t>
      </w:r>
      <w:r w:rsidR="006F1EA8" w:rsidRPr="0026720E">
        <w:t>22</w:t>
      </w:r>
      <w:r w:rsidR="00BA66B4" w:rsidRPr="0026720E">
        <w:t>)</w:t>
      </w:r>
      <w:r w:rsidRPr="0026720E">
        <w:t xml:space="preserve">. </w:t>
      </w:r>
    </w:p>
    <w:p w14:paraId="403CF027" w14:textId="4E4369FC" w:rsidR="009E5A9C" w:rsidRPr="0026720E" w:rsidRDefault="00445426" w:rsidP="00D3381F">
      <w:pPr>
        <w:spacing w:line="480" w:lineRule="auto"/>
        <w:rPr>
          <w:rFonts w:cs="Times New Roman"/>
          <w:color w:val="000000" w:themeColor="text1"/>
        </w:rPr>
      </w:pPr>
      <m:oMathPara>
        <m:oMathParaPr>
          <m:jc m:val="center"/>
        </m:oMathParaPr>
        <m:oMath>
          <m:f>
            <m:fPr>
              <m:ctrlPr>
                <w:rPr>
                  <w:rFonts w:ascii="Cambria Math" w:hAnsi="Cambria Math" w:cs="Times New Roman"/>
                  <w:i/>
                  <w:color w:val="000000" w:themeColor="text1"/>
                </w:rPr>
              </m:ctrlPr>
            </m:fPr>
            <m:num>
              <m:r>
                <w:rPr>
                  <w:rFonts w:ascii="Cambria Math" w:hAnsi="Cambria Math" w:cs="Times New Roman"/>
                  <w:color w:val="000000" w:themeColor="text1"/>
                </w:rPr>
                <m:t>d</m:t>
              </m:r>
              <m:d>
                <m:dPr>
                  <m:begChr m:val="["/>
                  <m:endChr m:val="]"/>
                  <m:ctrlPr>
                    <w:rPr>
                      <w:rFonts w:ascii="Cambria Math" w:hAnsi="Cambria Math" w:cs="Times New Roman"/>
                      <w:i/>
                      <w:color w:val="000000" w:themeColor="text1"/>
                    </w:rPr>
                  </m:ctrlPr>
                </m:dPr>
                <m:e>
                  <m:r>
                    <w:rPr>
                      <w:rFonts w:ascii="Cambria Math" w:hAnsi="Cambria Math" w:cs="Times New Roman"/>
                      <w:color w:val="000000" w:themeColor="text1"/>
                    </w:rPr>
                    <m:t>RhB</m:t>
                  </m:r>
                </m:e>
              </m:d>
            </m:num>
            <m:den>
              <m:r>
                <w:rPr>
                  <w:rFonts w:ascii="Cambria Math" w:hAnsi="Cambria Math" w:cs="Times New Roman"/>
                  <w:color w:val="000000" w:themeColor="text1"/>
                </w:rPr>
                <m:t>dt</m:t>
              </m:r>
            </m:den>
          </m:f>
          <m:r>
            <w:rPr>
              <w:rFonts w:ascii="Cambria Math" w:hAnsi="Cambria Math" w:cs="Times New Roman"/>
              <w:color w:val="000000" w:themeColor="text1"/>
            </w:rPr>
            <m:t>=-</m:t>
          </m:r>
          <w:bookmarkStart w:id="77" w:name="OLE_LINK114"/>
          <w:bookmarkStart w:id="78" w:name="OLE_LINK115"/>
          <m:r>
            <w:rPr>
              <w:rFonts w:ascii="Cambria Math" w:hAnsi="Cambria Math" w:cs="Times New Roman"/>
              <w:color w:val="000000" w:themeColor="text1"/>
            </w:rPr>
            <m:t>k</m:t>
          </m:r>
          <w:bookmarkEnd w:id="77"/>
          <w:bookmarkEnd w:id="78"/>
          <m:sSup>
            <m:sSupPr>
              <m:ctrlPr>
                <w:rPr>
                  <w:rFonts w:ascii="Cambria Math" w:hAnsi="Cambria Math" w:cs="Times New Roman"/>
                  <w:i/>
                  <w:color w:val="000000" w:themeColor="text1"/>
                </w:rPr>
              </m:ctrlPr>
            </m:sSupPr>
            <m:e>
              <m:d>
                <m:dPr>
                  <m:begChr m:val="["/>
                  <m:endChr m:val="]"/>
                  <m:ctrlPr>
                    <w:rPr>
                      <w:rFonts w:ascii="Cambria Math" w:hAnsi="Cambria Math" w:cs="Times New Roman"/>
                      <w:i/>
                      <w:color w:val="000000" w:themeColor="text1"/>
                    </w:rPr>
                  </m:ctrlPr>
                </m:dPr>
                <m:e>
                  <m:r>
                    <w:rPr>
                      <w:rFonts w:ascii="Cambria Math" w:hAnsi="Cambria Math" w:cs="Times New Roman"/>
                      <w:color w:val="000000" w:themeColor="text1"/>
                    </w:rPr>
                    <m:t>RhB</m:t>
                  </m:r>
                </m:e>
              </m:d>
            </m:e>
            <m:sup>
              <m:r>
                <w:rPr>
                  <w:rFonts w:ascii="Cambria Math" w:hAnsi="Cambria Math" w:cs="Times New Roman"/>
                  <w:color w:val="000000" w:themeColor="text1"/>
                </w:rPr>
                <m:t>2</m:t>
              </m:r>
            </m:sup>
          </m:sSup>
          <m:r>
            <w:rPr>
              <w:rFonts w:ascii="Cambria Math" w:hAnsi="Cambria Math" w:cs="Times New Roman"/>
              <w:color w:val="000000" w:themeColor="text1"/>
            </w:rPr>
            <m:t xml:space="preserve">                                         </m:t>
          </m:r>
          <m:r>
            <m:rPr>
              <m:sty m:val="p"/>
            </m:rPr>
            <w:rPr>
              <w:rFonts w:ascii="Cambria Math" w:hAnsi="Cambria Math" w:cs="Times New Roman"/>
              <w:color w:val="000000" w:themeColor="text1"/>
            </w:rPr>
            <m:t xml:space="preserve"> Eq.  (S22)</m:t>
          </m:r>
        </m:oMath>
      </m:oMathPara>
    </w:p>
    <w:p w14:paraId="74803BB1" w14:textId="77777777" w:rsidR="0041548D" w:rsidRPr="0026720E" w:rsidRDefault="0041548D" w:rsidP="00F42DFB">
      <w:pPr>
        <w:pStyle w:val="3-mainbody-ENG"/>
        <w:ind w:firstLineChars="0" w:firstLine="0"/>
      </w:pPr>
      <w:bookmarkStart w:id="79" w:name="_Hlk53249482"/>
      <w:r w:rsidRPr="0026720E">
        <w:t xml:space="preserve">Where </w:t>
      </w:r>
      <m:oMath>
        <m:r>
          <w:rPr>
            <w:rFonts w:ascii="Cambria Math" w:hAnsi="Cambria Math"/>
          </w:rPr>
          <m:t>k</m:t>
        </m:r>
      </m:oMath>
      <w:r w:rsidRPr="0026720E">
        <w:t xml:space="preserve"> is the pseudo-second-order rate constant (mg·L</w:t>
      </w:r>
      <w:r w:rsidRPr="0026720E">
        <w:rPr>
          <w:vertAlign w:val="superscript"/>
        </w:rPr>
        <w:t>-1</w:t>
      </w:r>
      <w:r w:rsidRPr="0026720E">
        <w:t>·min</w:t>
      </w:r>
      <w:r w:rsidRPr="0026720E">
        <w:rPr>
          <w:vertAlign w:val="superscript"/>
        </w:rPr>
        <w:t>-1</w:t>
      </w:r>
      <w:r w:rsidRPr="0026720E">
        <w:t xml:space="preserve">) of </w:t>
      </w:r>
      <w:proofErr w:type="spellStart"/>
      <w:r w:rsidRPr="0026720E">
        <w:t>RhB</w:t>
      </w:r>
      <w:proofErr w:type="spellEnd"/>
      <w:r w:rsidRPr="0026720E">
        <w:t xml:space="preserve"> removal by ZN-CS/PMS system with and without MeOH.</w:t>
      </w:r>
    </w:p>
    <w:p w14:paraId="767EDDF9" w14:textId="77777777" w:rsidR="0041548D" w:rsidRPr="0026720E" w:rsidRDefault="0041548D" w:rsidP="001C16B4">
      <w:pPr>
        <w:pStyle w:val="3-mainbody-ENG"/>
        <w:ind w:firstLine="210"/>
      </w:pPr>
      <w:bookmarkStart w:id="80" w:name="OLE_LINK499"/>
      <w:bookmarkStart w:id="81" w:name="OLE_LINK500"/>
      <w:bookmarkStart w:id="82" w:name="OLE_LINK503"/>
      <w:bookmarkStart w:id="83" w:name="OLE_LINK504"/>
      <w:r w:rsidRPr="0026720E">
        <w:t> In general, the calculation results are as follows:</w:t>
      </w:r>
    </w:p>
    <w:bookmarkStart w:id="84" w:name="OLE_LINK501"/>
    <w:bookmarkStart w:id="85" w:name="OLE_LINK502"/>
    <w:p w14:paraId="7C169037" w14:textId="77777777" w:rsidR="0041548D" w:rsidRPr="0026720E" w:rsidRDefault="00445426" w:rsidP="0041548D">
      <w:pPr>
        <w:spacing w:line="480" w:lineRule="auto"/>
        <w:rPr>
          <w:rFonts w:eastAsia="宋体" w:cs="Times New Roman"/>
          <w:i/>
          <w:color w:val="000000" w:themeColor="text1"/>
        </w:rPr>
      </w:pPr>
      <m:oMathPara>
        <m:oMath>
          <m:sSub>
            <m:sSubPr>
              <m:ctrlPr>
                <w:rPr>
                  <w:rFonts w:ascii="Cambria Math" w:eastAsia="宋体" w:hAnsi="Cambria Math" w:cs="Times New Roman"/>
                  <w:i/>
                  <w:color w:val="000000" w:themeColor="text1"/>
                </w:rPr>
              </m:ctrlPr>
            </m:sSubPr>
            <m:e>
              <m:r>
                <w:rPr>
                  <w:rFonts w:ascii="Cambria Math" w:eastAsia="宋体" w:hAnsi="Cambria Math" w:cs="Times New Roman"/>
                  <w:color w:val="000000" w:themeColor="text1"/>
                </w:rPr>
                <m:t>k</m:t>
              </m:r>
            </m:e>
            <m:sub>
              <m:r>
                <w:rPr>
                  <w:rFonts w:ascii="Cambria Math" w:eastAsia="宋体" w:hAnsi="Cambria Math" w:cs="Times New Roman"/>
                  <w:color w:val="000000" w:themeColor="text1"/>
                </w:rPr>
                <m:t>MeOH</m:t>
              </m:r>
            </m:sub>
          </m:sSub>
          <m:r>
            <w:rPr>
              <w:rFonts w:ascii="Cambria Math" w:eastAsia="宋体" w:hAnsi="Cambria Math" w:cs="Times New Roman"/>
              <w:color w:val="000000" w:themeColor="text1"/>
            </w:rPr>
            <m:t xml:space="preserve">=0.0166  </m:t>
          </m:r>
          <m:d>
            <m:dPr>
              <m:begChr m:val="（"/>
              <m:endChr m:val="）"/>
              <m:ctrlPr>
                <w:rPr>
                  <w:rFonts w:ascii="Cambria Math" w:eastAsia="宋体" w:hAnsi="Cambria Math" w:cs="Times New Roman"/>
                  <w:i/>
                  <w:color w:val="000000" w:themeColor="text1"/>
                </w:rPr>
              </m:ctrlPr>
            </m:dPr>
            <m:e>
              <m:sSup>
                <m:sSupPr>
                  <m:ctrlPr>
                    <w:rPr>
                      <w:rFonts w:ascii="Cambria Math" w:eastAsia="宋体" w:hAnsi="Cambria Math" w:cs="Times New Roman"/>
                      <w:i/>
                      <w:color w:val="000000" w:themeColor="text1"/>
                    </w:rPr>
                  </m:ctrlPr>
                </m:sSupPr>
                <m:e>
                  <m:r>
                    <w:rPr>
                      <w:rFonts w:ascii="Cambria Math" w:eastAsia="宋体" w:hAnsi="Cambria Math" w:cs="Times New Roman"/>
                      <w:color w:val="000000" w:themeColor="text1"/>
                    </w:rPr>
                    <m:t>R</m:t>
                  </m:r>
                </m:e>
                <m:sup>
                  <m:r>
                    <w:rPr>
                      <w:rFonts w:ascii="Cambria Math" w:eastAsia="宋体" w:hAnsi="Cambria Math" w:cs="Times New Roman"/>
                      <w:color w:val="000000" w:themeColor="text1"/>
                    </w:rPr>
                    <m:t>2</m:t>
                  </m:r>
                </m:sup>
              </m:sSup>
              <m:r>
                <w:rPr>
                  <w:rFonts w:ascii="Cambria Math" w:eastAsia="宋体" w:hAnsi="Cambria Math" w:cs="Times New Roman"/>
                  <w:color w:val="000000" w:themeColor="text1"/>
                </w:rPr>
                <m:t>=0.966</m:t>
              </m:r>
            </m:e>
          </m:d>
          <m:r>
            <w:rPr>
              <w:rFonts w:ascii="Cambria Math" w:eastAsia="宋体" w:hAnsi="Cambria Math" w:cs="Times New Roman"/>
              <w:color w:val="000000" w:themeColor="text1"/>
            </w:rPr>
            <m:t>；</m:t>
          </m:r>
          <m:sSub>
            <m:sSubPr>
              <m:ctrlPr>
                <w:rPr>
                  <w:rFonts w:ascii="Cambria Math" w:eastAsia="宋体" w:hAnsi="Cambria Math" w:cs="Times New Roman"/>
                  <w:i/>
                  <w:color w:val="000000" w:themeColor="text1"/>
                </w:rPr>
              </m:ctrlPr>
            </m:sSubPr>
            <m:e>
              <m:r>
                <w:rPr>
                  <w:rFonts w:ascii="Cambria Math" w:eastAsia="宋体" w:hAnsi="Cambria Math" w:cs="Times New Roman"/>
                  <w:color w:val="000000" w:themeColor="text1"/>
                </w:rPr>
                <m:t>k</m:t>
              </m:r>
            </m:e>
            <m:sub>
              <m:r>
                <w:rPr>
                  <w:rFonts w:ascii="Cambria Math" w:eastAsia="宋体" w:hAnsi="Cambria Math" w:cs="Times New Roman"/>
                  <w:color w:val="000000" w:themeColor="text1"/>
                </w:rPr>
                <m:t>overall</m:t>
              </m:r>
            </m:sub>
          </m:sSub>
          <m:r>
            <w:rPr>
              <w:rFonts w:ascii="Cambria Math" w:eastAsia="宋体" w:hAnsi="Cambria Math" w:cs="Times New Roman"/>
              <w:color w:val="000000" w:themeColor="text1"/>
            </w:rPr>
            <m:t>=0.0252 (</m:t>
          </m:r>
          <m:sSup>
            <m:sSupPr>
              <m:ctrlPr>
                <w:rPr>
                  <w:rFonts w:ascii="Cambria Math" w:eastAsia="宋体" w:hAnsi="Cambria Math" w:cs="Times New Roman"/>
                  <w:i/>
                  <w:color w:val="000000" w:themeColor="text1"/>
                </w:rPr>
              </m:ctrlPr>
            </m:sSupPr>
            <m:e>
              <m:r>
                <w:rPr>
                  <w:rFonts w:ascii="Cambria Math" w:eastAsia="宋体" w:hAnsi="Cambria Math" w:cs="Times New Roman"/>
                  <w:color w:val="000000" w:themeColor="text1"/>
                </w:rPr>
                <m:t>R</m:t>
              </m:r>
            </m:e>
            <m:sup>
              <m:r>
                <w:rPr>
                  <w:rFonts w:ascii="Cambria Math" w:eastAsia="宋体" w:hAnsi="Cambria Math" w:cs="Times New Roman"/>
                  <w:color w:val="000000" w:themeColor="text1"/>
                </w:rPr>
                <m:t>2</m:t>
              </m:r>
            </m:sup>
          </m:sSup>
          <m:r>
            <w:rPr>
              <w:rFonts w:ascii="Cambria Math" w:eastAsia="宋体" w:hAnsi="Cambria Math" w:cs="Times New Roman"/>
              <w:color w:val="000000" w:themeColor="text1"/>
            </w:rPr>
            <m:t>=0.982)</m:t>
          </m:r>
        </m:oMath>
      </m:oMathPara>
    </w:p>
    <w:p w14:paraId="08A78A71" w14:textId="77777777" w:rsidR="0041548D" w:rsidRPr="0026720E" w:rsidRDefault="00445426" w:rsidP="0041548D">
      <w:pPr>
        <w:spacing w:line="480" w:lineRule="auto"/>
        <w:jc w:val="center"/>
        <w:rPr>
          <w:rFonts w:eastAsia="宋体" w:cs="Times New Roman"/>
          <w:color w:val="000000" w:themeColor="text1"/>
        </w:rPr>
      </w:pPr>
      <m:oMath>
        <m:sSub>
          <m:sSubPr>
            <m:ctrlPr>
              <w:rPr>
                <w:rFonts w:ascii="Cambria Math" w:eastAsia="宋体" w:hAnsi="Cambria Math" w:cs="Times New Roman"/>
                <w:i/>
                <w:color w:val="000000" w:themeColor="text1"/>
              </w:rPr>
            </m:ctrlPr>
          </m:sSubPr>
          <m:e>
            <m:r>
              <w:rPr>
                <w:rFonts w:ascii="Cambria Math" w:eastAsia="宋体" w:hAnsi="Cambria Math" w:cs="Times New Roman"/>
                <w:color w:val="000000" w:themeColor="text1"/>
              </w:rPr>
              <m:t>R</m:t>
            </m:r>
          </m:e>
          <m:sub>
            <m:r>
              <w:rPr>
                <w:rFonts w:ascii="Cambria Math" w:eastAsia="宋体" w:hAnsi="Cambria Math" w:cs="Times New Roman"/>
                <w:color w:val="000000" w:themeColor="text1"/>
              </w:rPr>
              <m:t>nonradical</m:t>
            </m:r>
          </m:sub>
        </m:sSub>
        <m:r>
          <w:rPr>
            <w:rFonts w:ascii="Cambria Math" w:eastAsia="宋体" w:hAnsi="Cambria Math" w:cs="Times New Roman"/>
            <w:color w:val="000000" w:themeColor="text1"/>
          </w:rPr>
          <m:t>=65.9 %</m:t>
        </m:r>
        <m:r>
          <w:rPr>
            <w:rFonts w:ascii="Cambria Math" w:eastAsia="宋体" w:hAnsi="Cambria Math" w:cs="Times New Roman"/>
            <w:color w:val="000000" w:themeColor="text1"/>
          </w:rPr>
          <m:t>；</m:t>
        </m:r>
        <m:sSub>
          <m:sSubPr>
            <m:ctrlPr>
              <w:rPr>
                <w:rFonts w:ascii="Cambria Math" w:eastAsia="宋体" w:hAnsi="Cambria Math" w:cs="Times New Roman"/>
                <w:i/>
                <w:color w:val="000000" w:themeColor="text1"/>
              </w:rPr>
            </m:ctrlPr>
          </m:sSubPr>
          <m:e>
            <m:r>
              <w:rPr>
                <w:rFonts w:ascii="Cambria Math" w:eastAsia="宋体" w:hAnsi="Cambria Math" w:cs="Times New Roman"/>
                <w:color w:val="000000" w:themeColor="text1"/>
              </w:rPr>
              <m:t>R</m:t>
            </m:r>
          </m:e>
          <m:sub>
            <m:r>
              <w:rPr>
                <w:rFonts w:ascii="Cambria Math" w:eastAsia="宋体" w:hAnsi="Cambria Math" w:cs="Times New Roman"/>
                <w:color w:val="000000" w:themeColor="text1"/>
              </w:rPr>
              <m:t>radical</m:t>
            </m:r>
          </m:sub>
        </m:sSub>
        <m:r>
          <w:rPr>
            <w:rFonts w:ascii="Cambria Math" w:eastAsia="宋体" w:hAnsi="Cambria Math" w:cs="Times New Roman"/>
            <w:color w:val="000000" w:themeColor="text1"/>
          </w:rPr>
          <m:t>=34.1 %</m:t>
        </m:r>
      </m:oMath>
      <w:bookmarkEnd w:id="84"/>
      <w:bookmarkEnd w:id="85"/>
      <w:r w:rsidR="0041548D" w:rsidRPr="0026720E">
        <w:rPr>
          <w:rFonts w:eastAsia="宋体" w:cs="Times New Roman"/>
          <w:color w:val="000000" w:themeColor="text1"/>
        </w:rPr>
        <w:t xml:space="preserve"> </w:t>
      </w:r>
      <w:bookmarkEnd w:id="80"/>
      <w:bookmarkEnd w:id="81"/>
      <w:r w:rsidR="0041548D" w:rsidRPr="0026720E">
        <w:rPr>
          <w:rFonts w:eastAsia="宋体" w:cs="Times New Roman"/>
          <w:color w:val="000000" w:themeColor="text1"/>
        </w:rPr>
        <w:t>’’</w:t>
      </w:r>
    </w:p>
    <w:bookmarkEnd w:id="82"/>
    <w:bookmarkEnd w:id="83"/>
    <w:p w14:paraId="61E02C21" w14:textId="21F32FD8" w:rsidR="0027378F" w:rsidRPr="0026720E" w:rsidRDefault="0027378F" w:rsidP="001C16B4">
      <w:pPr>
        <w:pStyle w:val="0-1-ENG"/>
        <w:spacing w:before="163" w:after="163"/>
      </w:pPr>
      <w:r w:rsidRPr="0026720E">
        <w:t>Text</w:t>
      </w:r>
      <w:r w:rsidR="008F379F">
        <w:t xml:space="preserve"> S</w:t>
      </w:r>
      <w:r w:rsidR="00A516BA">
        <w:t>8</w:t>
      </w:r>
      <w:r w:rsidRPr="0026720E">
        <w:t xml:space="preserve">. Preparation of the working electrode. </w:t>
      </w:r>
    </w:p>
    <w:bookmarkEnd w:id="79"/>
    <w:p w14:paraId="7009C979" w14:textId="77777777" w:rsidR="0027378F" w:rsidRPr="0026720E" w:rsidRDefault="0027378F" w:rsidP="001C16B4">
      <w:pPr>
        <w:pStyle w:val="3-mainbody-ENG"/>
        <w:ind w:firstLine="210"/>
      </w:pPr>
      <w:r w:rsidRPr="0026720E">
        <w:t xml:space="preserve">At first, a homogenous slurry was fabricated in NMP with 70 wt.% ZN-CS, 20 wt.% acetylene black (conductive agent) and 10 wt.% polyvinylidene fluoride (PVDF, binder). </w:t>
      </w:r>
      <w:bookmarkStart w:id="86" w:name="OLE_LINK612"/>
      <w:bookmarkStart w:id="87" w:name="OLE_LINK613"/>
      <w:r w:rsidRPr="0026720E">
        <w:t>Then the slurry was coated on foamed nickel (current collector) to form the electrode. The working electrode was dried at 100℃ under vacuum overnight</w:t>
      </w:r>
      <w:r w:rsidRPr="0026720E">
        <w:rPr>
          <w:rFonts w:eastAsia="宋体"/>
        </w:rPr>
        <w:t>, t</w:t>
      </w:r>
      <w:r w:rsidRPr="0026720E">
        <w:t>hen punched at 10 MPa pressure. The active material loading of the electrode is about 150 mg/cm</w:t>
      </w:r>
      <w:r w:rsidRPr="0026720E">
        <w:rPr>
          <w:vertAlign w:val="superscript"/>
        </w:rPr>
        <w:t>2</w:t>
      </w:r>
      <w:r w:rsidRPr="0026720E">
        <w:t xml:space="preserve">. </w:t>
      </w:r>
      <w:bookmarkEnd w:id="86"/>
      <w:bookmarkEnd w:id="87"/>
    </w:p>
    <w:p w14:paraId="0F145051" w14:textId="6E854067" w:rsidR="00C3015F" w:rsidRPr="0026720E" w:rsidRDefault="00C3015F" w:rsidP="001C16B4">
      <w:pPr>
        <w:pStyle w:val="0-1-ENG"/>
        <w:spacing w:before="163" w:after="163"/>
      </w:pPr>
      <w:r w:rsidRPr="0026720E">
        <w:t>Text</w:t>
      </w:r>
      <w:r w:rsidR="008F379F">
        <w:t xml:space="preserve"> S</w:t>
      </w:r>
      <w:r w:rsidR="00A516BA">
        <w:t>9</w:t>
      </w:r>
      <w:r w:rsidRPr="0026720E">
        <w:t xml:space="preserve">. Influence of the operational parameters on </w:t>
      </w:r>
      <w:proofErr w:type="spellStart"/>
      <w:r w:rsidRPr="0026720E">
        <w:t>RhB</w:t>
      </w:r>
      <w:proofErr w:type="spellEnd"/>
      <w:r w:rsidRPr="0026720E">
        <w:t xml:space="preserve"> degradation by ZN-CS/PMS system.</w:t>
      </w:r>
    </w:p>
    <w:p w14:paraId="1959EF99" w14:textId="704095DF" w:rsidR="00C3015F" w:rsidRPr="0026720E" w:rsidRDefault="00C3015F" w:rsidP="001C16B4">
      <w:pPr>
        <w:pStyle w:val="3-mainbody-ENG"/>
        <w:ind w:firstLine="210"/>
        <w:rPr>
          <w:rFonts w:eastAsiaTheme="minorEastAsia"/>
        </w:rPr>
      </w:pPr>
      <w:r w:rsidRPr="0026720E">
        <w:t xml:space="preserve">Several experiments were </w:t>
      </w:r>
      <w:r w:rsidRPr="0026720E">
        <w:rPr>
          <w:rFonts w:hint="eastAsia"/>
        </w:rPr>
        <w:t>conducted</w:t>
      </w:r>
      <w:r w:rsidRPr="0026720E">
        <w:t xml:space="preserve"> to study the effect of reaction parameters on the </w:t>
      </w:r>
      <w:proofErr w:type="spellStart"/>
      <w:r w:rsidRPr="0026720E">
        <w:t>R</w:t>
      </w:r>
      <w:r w:rsidRPr="0026720E">
        <w:rPr>
          <w:rFonts w:hint="eastAsia"/>
        </w:rPr>
        <w:t>h</w:t>
      </w:r>
      <w:r w:rsidRPr="0026720E">
        <w:t>B</w:t>
      </w:r>
      <w:proofErr w:type="spellEnd"/>
      <w:r w:rsidRPr="0026720E">
        <w:t xml:space="preserve"> degradation with catalyst</w:t>
      </w:r>
      <w:r w:rsidRPr="0026720E">
        <w:rPr>
          <w:rFonts w:hint="eastAsia"/>
        </w:rPr>
        <w:t>s</w:t>
      </w:r>
      <w:r w:rsidRPr="0026720E">
        <w:t xml:space="preserve">. Fig.1 showed that an increase of the PMS </w:t>
      </w:r>
      <w:r w:rsidRPr="0026720E">
        <w:rPr>
          <w:rFonts w:hint="eastAsia"/>
        </w:rPr>
        <w:t>concentration</w:t>
      </w:r>
      <w:r w:rsidRPr="0026720E">
        <w:t xml:space="preserve"> </w:t>
      </w:r>
      <w:r w:rsidRPr="0026720E">
        <w:rPr>
          <w:rFonts w:hint="eastAsia"/>
        </w:rPr>
        <w:t>slightly</w:t>
      </w:r>
      <w:r w:rsidRPr="0026720E">
        <w:t xml:space="preserve"> enhanced the </w:t>
      </w:r>
      <w:proofErr w:type="spellStart"/>
      <w:r w:rsidRPr="0026720E">
        <w:t>R</w:t>
      </w:r>
      <w:r w:rsidRPr="0026720E">
        <w:rPr>
          <w:rFonts w:hint="eastAsia"/>
        </w:rPr>
        <w:t>h</w:t>
      </w:r>
      <w:r w:rsidRPr="0026720E">
        <w:t>B</w:t>
      </w:r>
      <w:proofErr w:type="spellEnd"/>
      <w:r w:rsidRPr="0026720E">
        <w:t xml:space="preserve"> degradation efficiency. When the Oxone dosage changed from 100</w:t>
      </w:r>
      <w:r w:rsidRPr="0026720E">
        <w:rPr>
          <w:rFonts w:hint="eastAsia"/>
        </w:rPr>
        <w:t>m</w:t>
      </w:r>
      <w:r w:rsidRPr="0026720E">
        <w:t>g/L to 400</w:t>
      </w:r>
      <w:r w:rsidRPr="0026720E">
        <w:rPr>
          <w:rFonts w:hint="eastAsia"/>
        </w:rPr>
        <w:t>m</w:t>
      </w:r>
      <w:r w:rsidRPr="0026720E">
        <w:t xml:space="preserve">g/L, the </w:t>
      </w:r>
      <w:proofErr w:type="spellStart"/>
      <w:r w:rsidRPr="0026720E">
        <w:t>R</w:t>
      </w:r>
      <w:r w:rsidRPr="0026720E">
        <w:rPr>
          <w:rFonts w:hint="eastAsia"/>
        </w:rPr>
        <w:t>h</w:t>
      </w:r>
      <w:r w:rsidRPr="0026720E">
        <w:t>B</w:t>
      </w:r>
      <w:proofErr w:type="spellEnd"/>
      <w:r w:rsidRPr="0026720E">
        <w:t xml:space="preserve"> degradation efficiency at 10 min increased from 84.2% to 88.3%. </w:t>
      </w:r>
      <w:r w:rsidRPr="0026720E">
        <w:rPr>
          <w:rFonts w:hint="eastAsia"/>
        </w:rPr>
        <w:t>As</w:t>
      </w:r>
      <w:r w:rsidRPr="0026720E">
        <w:t xml:space="preserve"> the source of active</w:t>
      </w:r>
      <w:r w:rsidRPr="0026720E">
        <w:rPr>
          <w:rFonts w:hint="eastAsia"/>
        </w:rPr>
        <w:t xml:space="preserve"> </w:t>
      </w:r>
      <w:r w:rsidRPr="0026720E">
        <w:t>radicals, the higher concentration of PMS, the more active radicals will</w:t>
      </w:r>
      <w:r w:rsidRPr="0026720E">
        <w:rPr>
          <w:rFonts w:hint="eastAsia"/>
        </w:rPr>
        <w:t xml:space="preserve"> </w:t>
      </w:r>
      <w:r w:rsidRPr="0026720E">
        <w:t xml:space="preserve">produce and attack the </w:t>
      </w:r>
      <w:proofErr w:type="spellStart"/>
      <w:r w:rsidRPr="0026720E">
        <w:t>R</w:t>
      </w:r>
      <w:r w:rsidRPr="0026720E">
        <w:rPr>
          <w:rFonts w:hint="eastAsia"/>
        </w:rPr>
        <w:t>h</w:t>
      </w:r>
      <w:r w:rsidRPr="0026720E">
        <w:t>B</w:t>
      </w:r>
      <w:proofErr w:type="spellEnd"/>
      <w:r w:rsidRPr="0026720E">
        <w:t xml:space="preserve"> molecules, which accounts for the </w:t>
      </w:r>
      <w:r w:rsidRPr="0026720E">
        <w:rPr>
          <w:rFonts w:hint="eastAsia"/>
        </w:rPr>
        <w:t xml:space="preserve">faster </w:t>
      </w:r>
      <w:r w:rsidRPr="0026720E">
        <w:t>removal.</w:t>
      </w:r>
      <w:r w:rsidRPr="0026720E">
        <w:rPr>
          <w:rFonts w:hint="eastAsia"/>
        </w:rPr>
        <w:t xml:space="preserve"> </w:t>
      </w:r>
      <w:r w:rsidRPr="0026720E">
        <w:t>However</w:t>
      </w:r>
      <w:r w:rsidRPr="0026720E">
        <w:rPr>
          <w:rFonts w:eastAsiaTheme="minorEastAsia" w:hint="eastAsia"/>
        </w:rPr>
        <w:t xml:space="preserve">, </w:t>
      </w:r>
      <w:r w:rsidRPr="0026720E">
        <w:t xml:space="preserve">the modest increase may due to </w:t>
      </w:r>
      <w:r w:rsidRPr="0026720E">
        <w:rPr>
          <w:rFonts w:hint="eastAsia"/>
        </w:rPr>
        <w:t>self-decomposition</w:t>
      </w:r>
      <w:r w:rsidRPr="0026720E">
        <w:t xml:space="preserve"> </w:t>
      </w:r>
      <w:r w:rsidRPr="0026720E">
        <w:rPr>
          <w:rFonts w:hint="eastAsia"/>
        </w:rPr>
        <w:t>between</w:t>
      </w:r>
      <w:r w:rsidRPr="0026720E">
        <w:t xml:space="preserve"> </w:t>
      </w:r>
      <w:r w:rsidRPr="0026720E">
        <w:rPr>
          <w:rFonts w:hint="eastAsia"/>
        </w:rPr>
        <w:t>the</w:t>
      </w:r>
      <w:r w:rsidRPr="0026720E">
        <w:t xml:space="preserve"> over-produced sulfate radicals,</w:t>
      </w:r>
      <w:r w:rsidRPr="0026720E">
        <w:rPr>
          <w:rFonts w:ascii="AdvOT596495f2" w:hAnsi="AdvOT596495f2" w:cs="AdvOT596495f2"/>
          <w:kern w:val="0"/>
          <w:sz w:val="16"/>
          <w:szCs w:val="16"/>
        </w:rPr>
        <w:t xml:space="preserve"> </w:t>
      </w:r>
      <w:r w:rsidRPr="0026720E">
        <w:t xml:space="preserve">shown in </w:t>
      </w:r>
      <w:proofErr w:type="spellStart"/>
      <w:r w:rsidRPr="0026720E">
        <w:t>Eqs</w:t>
      </w:r>
      <w:proofErr w:type="spellEnd"/>
      <w:r w:rsidRPr="0026720E">
        <w:t xml:space="preserve">. </w:t>
      </w:r>
      <w:r w:rsidRPr="0026720E">
        <w:rPr>
          <w:rFonts w:eastAsiaTheme="minorEastAsia"/>
        </w:rPr>
        <w:t>(</w:t>
      </w:r>
      <w:r w:rsidR="00630218">
        <w:rPr>
          <w:rFonts w:eastAsiaTheme="minorEastAsia"/>
        </w:rPr>
        <w:t>S</w:t>
      </w:r>
      <w:r w:rsidRPr="0026720E">
        <w:rPr>
          <w:rFonts w:eastAsiaTheme="minorEastAsia"/>
        </w:rPr>
        <w:t>23</w:t>
      </w:r>
      <w:r w:rsidR="00630218">
        <w:rPr>
          <w:rFonts w:eastAsiaTheme="minorEastAsia"/>
        </w:rPr>
        <w:t>–S</w:t>
      </w:r>
      <w:r w:rsidRPr="0026720E">
        <w:rPr>
          <w:rFonts w:eastAsiaTheme="minorEastAsia"/>
        </w:rPr>
        <w:t>25)</w:t>
      </w:r>
      <w:r w:rsidRPr="0026720E">
        <w:t xml:space="preserve"> </w:t>
      </w:r>
      <w:r w:rsidRPr="0026720E">
        <w:fldChar w:fldCharType="begin" w:fldLock="1"/>
      </w:r>
      <w:r w:rsidR="00160292" w:rsidRPr="0026720E">
        <w:instrText>ADDIN CSL_CITATION {"citationItems":[{"id":"ITEM-1","itemData":{"DOI":"10.1016/j.apcatb.2008.07.010","ISSN":"09263373","abstract":"Polychlorinated biphenyls (PCBs) in the environment pose long-term risk to public health because of their persistent and toxic nature. This study investigates the degradation of PCBs using sulfate radical-based advanced oxidation processes (SR-AOPs). These processes are based on the generation of sulfate radicals through iron (Fe(II), Fe(III)) mediated activation of peroxymonosulfate (KHSO5, PMS) or persulfate (Na2S2O8, PS). This study is the first instance for coupling of Fe(II)/Fe(III) with PMS for PCB degradation in aqueous and sediment systems. The high oxidation efficiencies of the free radicals (SO4{radical dot}-), in combination with the slow rate of consumption of the oxidants, make these processes very effective for the degradation of recalcitrant organic compounds. The effectiveness of the process was evaluated based on the degradation of a model polychlorinated biphenyl, 2-chlorobiphenyl and total organic carbon (TOC) removal. The kinetics of 2-chlorobiphenyl degradation along with the effect of oxidant and catalyst concentrations on the degradation efficiency was studied. Near complete removal of 2-chlorobiphenyl was observed when Fe(II) was used with PMS or PS. Fe(II) acts as a sulfate radical scavenger at higher concentrations indicating that there is an optimum concentration of Fe(II) that leads to most effective degradation of the target contaminant. A chelating agent, sodium citrate, was used to control the quantity of iron in the solution for activation of the oxidant. For the first time, we studied the feasibility of the activation of PMS using iron citrate complexes for PCB degradation. In the presence of sodium citrate, increase in degradation efficiency was observed up to a metal:ligand ratio of 1:2, after which the increase in citrate concentration led to a decrease in removal efficiency. Fe(II)/PMS systems were found to be very effective in degrading PCB in a sediment-slurry system with more than 90% PCB removal being observed within 24 h.","author":[{"dropping-particle":"","family":"Rastogi","given":"Aditya","non-dropping-particle":"","parse-names":false,"suffix":""},{"dropping-particle":"","family":"Al-Abed","given":"Souhail R.","non-dropping-particle":"","parse-names":false,"suffix":""},{"dropping-particle":"","family":"Dionysiou","given":"Dionysios D.","non-dropping-particle":"","parse-names":false,"suffix":""}],"container-title":"Applied Catalysis B: Environmental","id":"ITEM-1","issue":"3-4","issued":{"date-parts":[["2009","1"]]},"page":"171-179","title":"Sulfate radical-based ferrous–peroxymonosulfate oxidative system for PCBs degradation in aqueous and sediment systems","type":"article-journal","volume":"85"},"uris":["http://www.mendeley.com/documents/?uuid=f2de70ec-81ea-308d-a86c-729eaa0e999a"]},{"id":"ITEM-2","itemData":{"DOI":"10.1021/ja01587a011","ISSN":"0002-7863","abstract":"The kinetics and mechanism of the aqueous decomposition of Caro's acid has been investigated. Both titration and kinetic data indicate that the second ionization constant is about 4 × 10-10. Both spontaneous and catalytic paths for decomposition were observed; however, the latter path can be eliminated by addition of EDTA. The rate of spontaneous decomposition is second order in peroxide concentration and the pH dependence indicates the presence of one proton along with two divalent anions in the activated complex. The temperature dependences of the rates at high and low pH values allow the calculation of ionization and activation parameters. © 1956, American Chemical Society. All rights reserved.","author":[{"dropping-particle":"","family":"Ball","given":"Donald L.","non-dropping-particle":"","parse-names":false,"suffix":""},{"dropping-particle":"","family":"Edwards","given":"John O.","non-dropping-particle":"","parse-names":false,"suffix":""}],"container-title":"Journal of the American Chemical Society","id":"ITEM-2","issue":"6","issued":{"date-parts":[["1956","3","1"]]},"page":"1125-1129","title":"The Kinetics and Mechanism of the Decomposition of Caro's Acid. I","type":"article-journal","volume":"78"},"uris":["http://www.mendeley.com/documents/?uuid=df93f033-b3a8-3b8c-97ef-74a1ea4f9fa7"]}],"mendeley":{"formattedCitation":"[14,15]","plainTextFormattedCitation":"[14,15]","previouslyFormattedCitation":"[14,15]"},"properties":{"noteIndex":0},"schema":"https://github.com/citation-style-language/schema/raw/master/csl-citation.json"}</w:instrText>
      </w:r>
      <w:r w:rsidRPr="0026720E">
        <w:fldChar w:fldCharType="separate"/>
      </w:r>
      <w:r w:rsidR="00160292" w:rsidRPr="0026720E">
        <w:rPr>
          <w:noProof/>
        </w:rPr>
        <w:t>[14,15]</w:t>
      </w:r>
      <w:r w:rsidRPr="0026720E">
        <w:fldChar w:fldCharType="end"/>
      </w:r>
      <w:r w:rsidRPr="0026720E">
        <w:t xml:space="preserve">, thus diminishing the degradation efficiency of </w:t>
      </w:r>
      <w:proofErr w:type="spellStart"/>
      <w:r w:rsidRPr="0026720E">
        <w:t>RhB</w:t>
      </w:r>
      <w:proofErr w:type="spellEnd"/>
      <w:r w:rsidRPr="0026720E">
        <w:rPr>
          <w:rFonts w:eastAsiaTheme="minorEastAsia" w:hint="eastAsia"/>
        </w:rPr>
        <w:t>.</w:t>
      </w:r>
    </w:p>
    <w:p w14:paraId="2A496E97" w14:textId="5D6537D9" w:rsidR="00C3015F" w:rsidRPr="0026720E" w:rsidRDefault="00C3015F" w:rsidP="00C3015F">
      <w:pPr>
        <w:rPr>
          <w:color w:val="000000" w:themeColor="text1"/>
        </w:rPr>
      </w:pPr>
      <w:bookmarkStart w:id="88" w:name="_Hlk21968099"/>
      <w:bookmarkStart w:id="89" w:name="_Hlk21960807"/>
      <m:oMathPara>
        <m:oMathParaPr>
          <m:jc m:val="center"/>
        </m:oMathParaPr>
        <m:oMath>
          <m:r>
            <w:rPr>
              <w:rFonts w:ascii="Cambria Math" w:hAnsi="Cambria Math"/>
              <w:color w:val="000000" w:themeColor="text1"/>
            </w:rPr>
            <m:t>HS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5</m:t>
              </m:r>
            </m:sub>
            <m:sup>
              <m:r>
                <w:rPr>
                  <w:rFonts w:ascii="Cambria Math" w:hAnsi="Cambria Math"/>
                  <w:color w:val="000000" w:themeColor="text1"/>
                </w:rPr>
                <m:t>-</m:t>
              </m:r>
            </m:sup>
          </m:sSubSup>
          <w:bookmarkEnd w:id="88"/>
          <m:r>
            <w:rPr>
              <w:rFonts w:ascii="Cambria Math" w:hAnsi="Cambria Math"/>
              <w:color w:val="000000" w:themeColor="text1"/>
            </w:rPr>
            <m:t>+</m:t>
          </m:r>
          <m:sSub>
            <m:sSubPr>
              <m:ctrlPr>
                <w:rPr>
                  <w:rFonts w:ascii="Cambria Math"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2</m:t>
              </m:r>
            </m:sub>
          </m:sSub>
          <m:r>
            <w:rPr>
              <w:rFonts w:ascii="Cambria Math" w:hAnsi="Cambria Math"/>
              <w:color w:val="000000" w:themeColor="text1"/>
            </w:rPr>
            <m:t xml:space="preserve">O </m:t>
          </m:r>
          <m:r>
            <w:rPr>
              <w:rFonts w:ascii="Cambria Math" w:hAnsi="Cambria Math" w:hint="eastAsia"/>
              <w:color w:val="000000" w:themeColor="text1"/>
            </w:rPr>
            <m:t>→</m:t>
          </m:r>
          <m:r>
            <w:rPr>
              <w:rFonts w:ascii="Cambria Math" w:hAnsi="Cambria Math"/>
              <w:color w:val="000000" w:themeColor="text1"/>
            </w:rPr>
            <m:t>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5</m:t>
              </m:r>
            </m:sub>
            <m:sup>
              <m:r>
                <w:rPr>
                  <w:rFonts w:ascii="Cambria Math" w:hAnsi="Cambria Math"/>
                  <w:color w:val="000000" w:themeColor="text1"/>
                </w:rPr>
                <m:t>-</m:t>
              </m:r>
            </m:sup>
          </m:sSubSup>
          <m:r>
            <w:rPr>
              <w:rFonts w:ascii="Cambria Math" w:hAnsi="Cambria Math"/>
              <w:color w:val="000000" w:themeColor="text1"/>
            </w:rPr>
            <m:t>+</m:t>
          </m:r>
          <m:sSub>
            <m:sSubPr>
              <m:ctrlPr>
                <w:rPr>
                  <w:rFonts w:ascii="Cambria Math"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3</m:t>
              </m:r>
            </m:sub>
          </m:sSub>
          <m:sSup>
            <m:sSupPr>
              <m:ctrlPr>
                <w:rPr>
                  <w:rFonts w:ascii="Cambria Math" w:hAnsi="Cambria Math"/>
                  <w:i/>
                  <w:iCs/>
                  <w:color w:val="000000" w:themeColor="text1"/>
                </w:rPr>
              </m:ctrlPr>
            </m:sSupPr>
            <m:e>
              <m:r>
                <w:rPr>
                  <w:rFonts w:ascii="Cambria Math" w:hAnsi="Cambria Math"/>
                  <w:color w:val="000000" w:themeColor="text1"/>
                </w:rPr>
                <m:t>O</m:t>
              </m:r>
            </m:e>
            <m:sup>
              <m:r>
                <w:rPr>
                  <w:rFonts w:ascii="Cambria Math" w:hAnsi="Cambria Math"/>
                  <w:color w:val="000000" w:themeColor="text1"/>
                </w:rPr>
                <m:t>+</m:t>
              </m:r>
            </m:sup>
          </m:sSup>
          <m:r>
            <w:rPr>
              <w:rFonts w:ascii="Cambria Math" w:hAnsi="Cambria Math"/>
              <w:color w:val="000000" w:themeColor="text1"/>
            </w:rPr>
            <m:t xml:space="preserve">      </m:t>
          </m:r>
          <m:r>
            <m:rPr>
              <m:sty m:val="p"/>
            </m:rPr>
            <w:rPr>
              <w:rFonts w:ascii="Cambria Math" w:hAnsi="Cambria Math"/>
              <w:color w:val="000000" w:themeColor="text1"/>
            </w:rPr>
            <m:t xml:space="preserve">               Eq.  (S23)</m:t>
          </m:r>
        </m:oMath>
      </m:oMathPara>
    </w:p>
    <w:p w14:paraId="5E245E8F" w14:textId="0F1C54F4" w:rsidR="00C3015F" w:rsidRPr="0026720E" w:rsidRDefault="00C3015F" w:rsidP="00C3015F">
      <w:pPr>
        <w:rPr>
          <w:color w:val="000000" w:themeColor="text1"/>
        </w:rPr>
      </w:pPr>
      <m:oMathPara>
        <m:oMathParaPr>
          <m:jc m:val="center"/>
        </m:oMathParaPr>
        <m:oMath>
          <m:r>
            <w:rPr>
              <w:rFonts w:ascii="Cambria Math" w:hAnsi="Cambria Math"/>
              <w:color w:val="000000" w:themeColor="text1"/>
            </w:rPr>
            <m:t>HS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5</m:t>
              </m:r>
            </m:sub>
            <m:sup>
              <m:r>
                <w:rPr>
                  <w:rFonts w:ascii="Cambria Math" w:hAnsi="Cambria Math"/>
                  <w:color w:val="000000" w:themeColor="text1"/>
                </w:rPr>
                <m:t>-</m:t>
              </m:r>
            </m:sup>
          </m:sSubSup>
          <m:r>
            <w:rPr>
              <w:rFonts w:ascii="Cambria Math" w:hAnsi="Cambria Math"/>
              <w:color w:val="000000" w:themeColor="text1"/>
            </w:rPr>
            <m:t>+S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5</m:t>
              </m:r>
            </m:sub>
            <m:sup>
              <m:r>
                <w:rPr>
                  <w:rFonts w:ascii="Cambria Math" w:hAnsi="Cambria Math"/>
                  <w:color w:val="000000" w:themeColor="text1"/>
                </w:rPr>
                <m:t>-</m:t>
              </m:r>
            </m:sup>
          </m:sSubSup>
          <m:r>
            <w:rPr>
              <w:rFonts w:ascii="Cambria Math" w:hAnsi="Cambria Math"/>
              <w:color w:val="000000" w:themeColor="text1"/>
            </w:rPr>
            <m:t xml:space="preserve"> </m:t>
          </m:r>
          <m:r>
            <w:rPr>
              <w:rFonts w:ascii="Cambria Math" w:hAnsi="Cambria Math" w:hint="eastAsia"/>
              <w:color w:val="000000" w:themeColor="text1"/>
            </w:rPr>
            <m:t>→</m:t>
          </m:r>
          <m:r>
            <w:rPr>
              <w:rFonts w:ascii="Cambria Math" w:hAnsi="Cambria Math"/>
              <w:color w:val="000000" w:themeColor="text1"/>
            </w:rPr>
            <m:t>HS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6</m:t>
              </m:r>
            </m:sub>
            <m:sup>
              <m:r>
                <w:rPr>
                  <w:rFonts w:ascii="Cambria Math" w:hAnsi="Cambria Math"/>
                  <w:color w:val="000000" w:themeColor="text1"/>
                </w:rPr>
                <m:t>-</m:t>
              </m:r>
            </m:sup>
          </m:sSubSup>
          <m:r>
            <w:rPr>
              <w:rFonts w:ascii="Cambria Math" w:hAnsi="Cambria Math"/>
              <w:color w:val="000000" w:themeColor="text1"/>
            </w:rPr>
            <m:t>+ 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4</m:t>
              </m:r>
            </m:sub>
            <m:sup>
              <m:r>
                <w:rPr>
                  <w:rFonts w:ascii="Cambria Math" w:hAnsi="Cambria Math"/>
                  <w:color w:val="000000" w:themeColor="text1"/>
                </w:rPr>
                <m:t>-</m:t>
              </m:r>
            </m:sup>
          </m:sSubSup>
          <m:r>
            <w:rPr>
              <w:rFonts w:ascii="Cambria Math" w:hAnsi="Cambria Math"/>
              <w:color w:val="000000" w:themeColor="text1"/>
            </w:rPr>
            <m:t xml:space="preserve">     </m:t>
          </m:r>
          <m:r>
            <m:rPr>
              <m:sty m:val="p"/>
            </m:rPr>
            <w:rPr>
              <w:rFonts w:ascii="Cambria Math" w:hAnsi="Cambria Math"/>
              <w:color w:val="000000" w:themeColor="text1"/>
            </w:rPr>
            <m:t xml:space="preserve">               Eq.  (S24)</m:t>
          </m:r>
        </m:oMath>
      </m:oMathPara>
    </w:p>
    <w:p w14:paraId="344C8DA2" w14:textId="4CF3D54E" w:rsidR="00C3015F" w:rsidRPr="0026720E" w:rsidRDefault="00C3015F" w:rsidP="00C3015F">
      <w:pPr>
        <w:rPr>
          <w:color w:val="000000" w:themeColor="text1"/>
        </w:rPr>
      </w:pPr>
      <m:oMathPara>
        <m:oMathParaPr>
          <m:jc m:val="center"/>
        </m:oMathParaPr>
        <m:oMath>
          <m:r>
            <w:rPr>
              <w:rFonts w:ascii="Cambria Math" w:hAnsi="Cambria Math"/>
              <w:color w:val="000000" w:themeColor="text1"/>
            </w:rPr>
            <m:t>HS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6</m:t>
              </m:r>
            </m:sub>
            <m:sup>
              <m:r>
                <w:rPr>
                  <w:rFonts w:ascii="Cambria Math" w:hAnsi="Cambria Math"/>
                  <w:color w:val="000000" w:themeColor="text1"/>
                </w:rPr>
                <m:t>-</m:t>
              </m:r>
            </m:sup>
          </m:sSubSup>
          <m:r>
            <w:rPr>
              <w:rFonts w:ascii="Cambria Math" w:hAnsi="Cambria Math"/>
              <w:color w:val="000000" w:themeColor="text1"/>
            </w:rPr>
            <m:t>+O</m:t>
          </m:r>
          <m:sSup>
            <m:sSupPr>
              <m:ctrlPr>
                <w:rPr>
                  <w:rFonts w:ascii="Cambria Math" w:hAnsi="Cambria Math"/>
                  <w:i/>
                  <w:iCs/>
                  <w:color w:val="000000" w:themeColor="text1"/>
                </w:rPr>
              </m:ctrlPr>
            </m:sSupPr>
            <m:e>
              <m:r>
                <w:rPr>
                  <w:rFonts w:ascii="Cambria Math" w:hAnsi="Cambria Math"/>
                  <w:color w:val="000000" w:themeColor="text1"/>
                </w:rPr>
                <m:t>H</m:t>
              </m:r>
            </m:e>
            <m:sup>
              <m:r>
                <w:rPr>
                  <w:rFonts w:ascii="Cambria Math" w:hAnsi="Cambria Math"/>
                  <w:color w:val="000000" w:themeColor="text1"/>
                </w:rPr>
                <m:t>-</m:t>
              </m:r>
            </m:sup>
          </m:sSup>
          <m:r>
            <w:rPr>
              <w:rFonts w:ascii="Cambria Math" w:hAnsi="Cambria Math" w:hint="eastAsia"/>
              <w:color w:val="000000" w:themeColor="text1"/>
            </w:rPr>
            <m:t>→</m:t>
          </m:r>
          <m:sSub>
            <m:sSubPr>
              <m:ctrlPr>
                <w:rPr>
                  <w:rFonts w:ascii="Cambria Math" w:hAnsi="Cambria Math"/>
                  <w:i/>
                  <w:iCs/>
                  <w:color w:val="000000" w:themeColor="text1"/>
                </w:rPr>
              </m:ctrlPr>
            </m:sSubPr>
            <m:e>
              <m:r>
                <w:rPr>
                  <w:rFonts w:ascii="Cambria Math" w:hAnsi="Cambria Math"/>
                  <w:color w:val="000000" w:themeColor="text1"/>
                </w:rPr>
                <m:t>H</m:t>
              </m:r>
            </m:e>
            <m:sub>
              <m:r>
                <w:rPr>
                  <w:rFonts w:ascii="Cambria Math" w:hAnsi="Cambria Math"/>
                  <w:color w:val="000000" w:themeColor="text1"/>
                </w:rPr>
                <m:t>2</m:t>
              </m:r>
            </m:sub>
          </m:sSub>
          <m:r>
            <w:rPr>
              <w:rFonts w:ascii="Cambria Math" w:hAnsi="Cambria Math"/>
              <w:color w:val="000000" w:themeColor="text1"/>
            </w:rPr>
            <m:t>O+S</m:t>
          </m:r>
          <m:sSubSup>
            <m:sSubSupPr>
              <m:ctrlPr>
                <w:rPr>
                  <w:rFonts w:ascii="Cambria Math" w:hAnsi="Cambria Math"/>
                  <w:i/>
                  <w:iCs/>
                  <w:color w:val="000000" w:themeColor="text1"/>
                </w:rPr>
              </m:ctrlPr>
            </m:sSubSupPr>
            <m:e>
              <m:r>
                <w:rPr>
                  <w:rFonts w:ascii="Cambria Math" w:hAnsi="Cambria Math"/>
                  <w:color w:val="000000" w:themeColor="text1"/>
                </w:rPr>
                <m:t>O</m:t>
              </m:r>
            </m:e>
            <m:sub>
              <m:r>
                <w:rPr>
                  <w:rFonts w:ascii="Cambria Math" w:hAnsi="Cambria Math"/>
                  <w:color w:val="000000" w:themeColor="text1"/>
                </w:rPr>
                <m:t>4</m:t>
              </m:r>
            </m:sub>
            <m:sup>
              <m:r>
                <w:rPr>
                  <w:rFonts w:ascii="Cambria Math" w:hAnsi="Cambria Math"/>
                  <w:color w:val="000000" w:themeColor="text1"/>
                </w:rPr>
                <m:t>-</m:t>
              </m:r>
            </m:sup>
          </m:sSubSup>
          <m:r>
            <w:rPr>
              <w:rFonts w:ascii="Cambria Math" w:hAnsi="Cambria Math"/>
              <w:color w:val="000000" w:themeColor="text1"/>
            </w:rPr>
            <m:t>+</m:t>
          </m:r>
          <m:sSub>
            <m:sSubPr>
              <m:ctrlPr>
                <w:rPr>
                  <w:rFonts w:ascii="Cambria Math" w:hAnsi="Cambria Math"/>
                  <w:i/>
                  <w:iCs/>
                  <w:color w:val="000000" w:themeColor="text1"/>
                </w:rPr>
              </m:ctrlPr>
            </m:sSubPr>
            <m:e>
              <m:r>
                <w:rPr>
                  <w:rFonts w:ascii="Cambria Math" w:hAnsi="Cambria Math"/>
                  <w:color w:val="000000" w:themeColor="text1"/>
                </w:rPr>
                <m:t>O</m:t>
              </m:r>
            </m:e>
            <m:sub>
              <m:r>
                <w:rPr>
                  <w:rFonts w:ascii="Cambria Math" w:hAnsi="Cambria Math"/>
                  <w:color w:val="000000" w:themeColor="text1"/>
                </w:rPr>
                <m:t>2</m:t>
              </m:r>
            </m:sub>
          </m:sSub>
          <m:r>
            <w:rPr>
              <w:rFonts w:ascii="Cambria Math" w:hAnsi="Cambria Math"/>
              <w:color w:val="000000" w:themeColor="text1"/>
            </w:rPr>
            <m:t xml:space="preserve">    </m:t>
          </m:r>
          <m:r>
            <m:rPr>
              <m:sty m:val="p"/>
            </m:rPr>
            <w:rPr>
              <w:rFonts w:ascii="Cambria Math" w:hAnsi="Cambria Math"/>
              <w:color w:val="000000" w:themeColor="text1"/>
            </w:rPr>
            <m:t xml:space="preserve">          Eq.  (S25)</m:t>
          </m:r>
        </m:oMath>
      </m:oMathPara>
    </w:p>
    <w:p w14:paraId="77E25917" w14:textId="7A32D221" w:rsidR="00C3015F" w:rsidRPr="0026720E" w:rsidRDefault="00C3015F" w:rsidP="001C16B4">
      <w:pPr>
        <w:pStyle w:val="3-mainbody-ENG"/>
        <w:ind w:firstLine="210"/>
      </w:pPr>
      <w:bookmarkStart w:id="90" w:name="_Hlk43308289"/>
      <w:bookmarkEnd w:id="89"/>
      <w:r w:rsidRPr="0026720E">
        <w:t xml:space="preserve">Fig. </w:t>
      </w:r>
      <w:bookmarkEnd w:id="90"/>
      <w:r w:rsidR="00F42DFB">
        <w:t>S</w:t>
      </w:r>
      <w:r w:rsidRPr="0026720E">
        <w:rPr>
          <w:rFonts w:eastAsiaTheme="minorEastAsia"/>
        </w:rPr>
        <w:t>5</w:t>
      </w:r>
      <w:r w:rsidR="00F42DFB">
        <w:rPr>
          <w:rFonts w:eastAsiaTheme="minorEastAsia"/>
        </w:rPr>
        <w:t>(</w:t>
      </w:r>
      <w:r w:rsidRPr="0026720E">
        <w:t>a</w:t>
      </w:r>
      <w:r w:rsidR="00F42DFB">
        <w:t>)</w:t>
      </w:r>
      <w:r w:rsidRPr="0026720E">
        <w:t xml:space="preserve"> depict</w:t>
      </w:r>
      <w:r w:rsidRPr="0026720E">
        <w:rPr>
          <w:rFonts w:eastAsiaTheme="minorEastAsia" w:hint="eastAsia"/>
        </w:rPr>
        <w:t>s</w:t>
      </w:r>
      <w:r w:rsidRPr="0026720E">
        <w:t xml:space="preserve"> the influences of catalyst dosage on the </w:t>
      </w:r>
      <w:proofErr w:type="spellStart"/>
      <w:r w:rsidRPr="0026720E">
        <w:t>R</w:t>
      </w:r>
      <w:r w:rsidRPr="0026720E">
        <w:rPr>
          <w:rFonts w:hint="eastAsia"/>
        </w:rPr>
        <w:t>h</w:t>
      </w:r>
      <w:r w:rsidRPr="0026720E">
        <w:t>B</w:t>
      </w:r>
      <w:proofErr w:type="spellEnd"/>
      <w:r w:rsidRPr="0026720E">
        <w:t xml:space="preserve"> degradation in the ZN</w:t>
      </w:r>
      <w:r w:rsidRPr="0026720E">
        <w:rPr>
          <w:rFonts w:hint="eastAsia"/>
        </w:rPr>
        <w:t>-</w:t>
      </w:r>
      <w:r w:rsidRPr="0026720E">
        <w:t xml:space="preserve">CS /PMS systems. With </w:t>
      </w:r>
      <w:r w:rsidRPr="0026720E">
        <w:rPr>
          <w:rFonts w:hint="eastAsia"/>
        </w:rPr>
        <w:t xml:space="preserve">the </w:t>
      </w:r>
      <w:r w:rsidRPr="0026720E">
        <w:t>catalyst</w:t>
      </w:r>
      <w:r w:rsidRPr="0026720E">
        <w:rPr>
          <w:rFonts w:hint="eastAsia"/>
        </w:rPr>
        <w:t xml:space="preserve"> </w:t>
      </w:r>
      <w:r w:rsidRPr="0026720E">
        <w:t xml:space="preserve">dosage </w:t>
      </w:r>
      <w:r w:rsidRPr="0026720E">
        <w:rPr>
          <w:rFonts w:hint="eastAsia"/>
        </w:rPr>
        <w:t>changing</w:t>
      </w:r>
      <w:r w:rsidRPr="0026720E">
        <w:t xml:space="preserve"> from </w:t>
      </w:r>
      <w:bookmarkStart w:id="91" w:name="_Hlk3885886"/>
      <w:r w:rsidRPr="0026720E">
        <w:t xml:space="preserve">25 to 150 </w:t>
      </w:r>
      <w:r w:rsidRPr="0026720E">
        <w:rPr>
          <w:rFonts w:hint="eastAsia"/>
        </w:rPr>
        <w:t>m</w:t>
      </w:r>
      <w:r w:rsidRPr="0026720E">
        <w:t>g/L</w:t>
      </w:r>
      <w:bookmarkEnd w:id="91"/>
      <w:r w:rsidRPr="0026720E">
        <w:t xml:space="preserve">, the </w:t>
      </w:r>
      <w:r w:rsidRPr="0026720E">
        <w:rPr>
          <w:rFonts w:hint="eastAsia"/>
        </w:rPr>
        <w:t>removal</w:t>
      </w:r>
      <w:r w:rsidRPr="0026720E">
        <w:t xml:space="preserve"> </w:t>
      </w:r>
      <w:r w:rsidRPr="0026720E">
        <w:rPr>
          <w:rFonts w:hint="eastAsia"/>
        </w:rPr>
        <w:t>rate</w:t>
      </w:r>
      <w:r w:rsidRPr="0026720E">
        <w:t xml:space="preserve"> increased from 34.9% to 93.8%. The remarkable enhancement might be caused by more </w:t>
      </w:r>
      <w:r w:rsidRPr="0026720E">
        <w:rPr>
          <w:rFonts w:hint="eastAsia"/>
        </w:rPr>
        <w:t>adsorption</w:t>
      </w:r>
      <w:r w:rsidRPr="0026720E">
        <w:t xml:space="preserve"> </w:t>
      </w:r>
      <w:r w:rsidRPr="0026720E">
        <w:rPr>
          <w:rFonts w:hint="eastAsia"/>
        </w:rPr>
        <w:t>sites</w:t>
      </w:r>
      <w:r w:rsidRPr="0026720E">
        <w:t xml:space="preserve"> </w:t>
      </w:r>
      <w:r w:rsidRPr="0026720E">
        <w:rPr>
          <w:rFonts w:hint="eastAsia"/>
        </w:rPr>
        <w:t>and</w:t>
      </w:r>
      <w:r w:rsidRPr="0026720E">
        <w:t xml:space="preserve"> active surface sites for PMS activation, </w:t>
      </w:r>
      <w:r w:rsidRPr="0026720E">
        <w:rPr>
          <w:rFonts w:hint="eastAsia"/>
        </w:rPr>
        <w:t>which</w:t>
      </w:r>
      <w:r w:rsidRPr="0026720E">
        <w:t xml:space="preserve"> </w:t>
      </w:r>
      <w:r w:rsidRPr="0026720E">
        <w:rPr>
          <w:rFonts w:hint="eastAsia"/>
        </w:rPr>
        <w:t>facilitated</w:t>
      </w:r>
      <w:r w:rsidRPr="0026720E">
        <w:t xml:space="preserve"> the faster formation of active</w:t>
      </w:r>
      <w:r w:rsidRPr="0026720E">
        <w:rPr>
          <w:rFonts w:hint="eastAsia"/>
        </w:rPr>
        <w:t xml:space="preserve"> </w:t>
      </w:r>
      <w:r w:rsidRPr="0026720E">
        <w:t>radicals</w:t>
      </w:r>
      <w:r w:rsidRPr="0026720E">
        <w:rPr>
          <w:rFonts w:hint="eastAsia"/>
        </w:rPr>
        <w:t>.</w:t>
      </w:r>
      <w:r w:rsidRPr="0026720E">
        <w:t xml:space="preserve"> On the other hand, the reduction rate may be due to the agglomeration of nanoparticles and self-quenching of radicals generated in a short time.</w:t>
      </w:r>
    </w:p>
    <w:p w14:paraId="4180AE02" w14:textId="7C0B8756" w:rsidR="00C3015F" w:rsidRPr="0026720E" w:rsidRDefault="00C3015F" w:rsidP="001C16B4">
      <w:pPr>
        <w:pStyle w:val="3-mainbody-ENG"/>
        <w:ind w:firstLine="210"/>
      </w:pPr>
      <w:r w:rsidRPr="0026720E">
        <w:t xml:space="preserve">Fig. </w:t>
      </w:r>
      <w:r w:rsidR="00F42DFB">
        <w:t>S</w:t>
      </w:r>
      <w:r w:rsidR="00F42DFB" w:rsidRPr="0026720E">
        <w:rPr>
          <w:rFonts w:eastAsiaTheme="minorEastAsia"/>
        </w:rPr>
        <w:t>5</w:t>
      </w:r>
      <w:r w:rsidR="00F42DFB">
        <w:rPr>
          <w:rFonts w:eastAsiaTheme="minorEastAsia"/>
        </w:rPr>
        <w:t>(</w:t>
      </w:r>
      <w:r w:rsidR="00F42DFB">
        <w:t>b)</w:t>
      </w:r>
      <w:r w:rsidRPr="0026720E">
        <w:t xml:space="preserve"> exhibited</w:t>
      </w:r>
      <w:r w:rsidRPr="0026720E">
        <w:rPr>
          <w:rFonts w:hint="eastAsia"/>
        </w:rPr>
        <w:t xml:space="preserve"> </w:t>
      </w:r>
      <w:r w:rsidRPr="0026720E">
        <w:t xml:space="preserve">the effect of initial </w:t>
      </w:r>
      <w:proofErr w:type="spellStart"/>
      <w:r w:rsidRPr="0026720E">
        <w:t>R</w:t>
      </w:r>
      <w:r w:rsidRPr="0026720E">
        <w:rPr>
          <w:rFonts w:hint="eastAsia"/>
        </w:rPr>
        <w:t>h</w:t>
      </w:r>
      <w:r w:rsidRPr="0026720E">
        <w:t>B</w:t>
      </w:r>
      <w:proofErr w:type="spellEnd"/>
      <w:r w:rsidRPr="0026720E">
        <w:t xml:space="preserve"> concentration on its degradation efficiency. At initial </w:t>
      </w:r>
      <w:proofErr w:type="spellStart"/>
      <w:r w:rsidRPr="0026720E">
        <w:t>R</w:t>
      </w:r>
      <w:r w:rsidRPr="0026720E">
        <w:rPr>
          <w:rFonts w:hint="eastAsia"/>
        </w:rPr>
        <w:t>h</w:t>
      </w:r>
      <w:r w:rsidRPr="0026720E">
        <w:t>B</w:t>
      </w:r>
      <w:proofErr w:type="spellEnd"/>
      <w:r w:rsidRPr="0026720E">
        <w:t xml:space="preserve"> concentration of 3.8 mg/L, 94.3</w:t>
      </w:r>
      <w:r w:rsidRPr="0026720E">
        <w:rPr>
          <w:rFonts w:hint="eastAsia"/>
        </w:rPr>
        <w:t>%</w:t>
      </w:r>
      <w:r w:rsidRPr="0026720E">
        <w:t xml:space="preserve"> elimination of 4 </w:t>
      </w:r>
      <w:proofErr w:type="spellStart"/>
      <w:r w:rsidRPr="0026720E">
        <w:t>R</w:t>
      </w:r>
      <w:r w:rsidRPr="0026720E">
        <w:rPr>
          <w:rFonts w:hint="eastAsia"/>
        </w:rPr>
        <w:t>h</w:t>
      </w:r>
      <w:r w:rsidRPr="0026720E">
        <w:t>B</w:t>
      </w:r>
      <w:proofErr w:type="spellEnd"/>
      <w:r w:rsidRPr="0026720E">
        <w:t xml:space="preserve"> can be achieved within 30 min, but only 45.8% </w:t>
      </w:r>
      <w:proofErr w:type="spellStart"/>
      <w:r w:rsidRPr="0026720E">
        <w:t>RhB</w:t>
      </w:r>
      <w:proofErr w:type="spellEnd"/>
      <w:r w:rsidRPr="0026720E">
        <w:t xml:space="preserve"> removed at 15.2 mg/L </w:t>
      </w:r>
      <w:proofErr w:type="spellStart"/>
      <w:r w:rsidRPr="0026720E">
        <w:t>R</w:t>
      </w:r>
      <w:r w:rsidRPr="0026720E">
        <w:rPr>
          <w:rFonts w:hint="eastAsia"/>
        </w:rPr>
        <w:t>h</w:t>
      </w:r>
      <w:r w:rsidRPr="0026720E">
        <w:t>B</w:t>
      </w:r>
      <w:proofErr w:type="spellEnd"/>
      <w:r w:rsidRPr="0026720E">
        <w:t xml:space="preserve">. To explore the influence of other factors, other experiments were carried out at the </w:t>
      </w:r>
      <w:proofErr w:type="spellStart"/>
      <w:r w:rsidRPr="0026720E">
        <w:t>RhB</w:t>
      </w:r>
      <w:proofErr w:type="spellEnd"/>
      <w:r w:rsidRPr="0026720E">
        <w:t xml:space="preserve"> concentration of 7.6mg/L.</w:t>
      </w:r>
    </w:p>
    <w:p w14:paraId="5404B37E" w14:textId="6D6E1581" w:rsidR="00C3015F" w:rsidRPr="0026720E" w:rsidRDefault="00C3015F" w:rsidP="001C16B4">
      <w:pPr>
        <w:pStyle w:val="3-mainbody-ENG"/>
        <w:ind w:firstLine="210"/>
      </w:pPr>
      <w:r w:rsidRPr="0026720E">
        <w:t xml:space="preserve">The impact of the solution pH on the </w:t>
      </w:r>
      <w:proofErr w:type="spellStart"/>
      <w:r w:rsidRPr="0026720E">
        <w:t>R</w:t>
      </w:r>
      <w:r w:rsidRPr="0026720E">
        <w:rPr>
          <w:rFonts w:hint="eastAsia"/>
        </w:rPr>
        <w:t>h</w:t>
      </w:r>
      <w:r w:rsidRPr="0026720E">
        <w:t>B</w:t>
      </w:r>
      <w:proofErr w:type="spellEnd"/>
      <w:r w:rsidRPr="0026720E">
        <w:t xml:space="preserve"> degradation was examined, and </w:t>
      </w:r>
      <w:r w:rsidRPr="0026720E">
        <w:rPr>
          <w:rFonts w:hint="eastAsia"/>
        </w:rPr>
        <w:t>non</w:t>
      </w:r>
      <w:r w:rsidRPr="0026720E">
        <w:t xml:space="preserve">-negligible changes in the removal efficiency were observed in a wide pH range from 3.02 to 8.96. The result shown in Fig. </w:t>
      </w:r>
      <w:r w:rsidR="00630218">
        <w:t>S</w:t>
      </w:r>
      <w:r w:rsidRPr="0026720E">
        <w:rPr>
          <w:rFonts w:eastAsiaTheme="minorEastAsia"/>
        </w:rPr>
        <w:t>5</w:t>
      </w:r>
      <w:r w:rsidR="00630218">
        <w:rPr>
          <w:rFonts w:eastAsiaTheme="minorEastAsia"/>
        </w:rPr>
        <w:t>©</w:t>
      </w:r>
      <w:r w:rsidRPr="0026720E">
        <w:t xml:space="preserve">, demonstrate that pH can significantly affect the adsorption and degradation process. First, pH affects the charge on the catalyst surface and the presence of </w:t>
      </w:r>
      <w:proofErr w:type="spellStart"/>
      <w:r w:rsidRPr="0026720E">
        <w:t>RhB</w:t>
      </w:r>
      <w:bookmarkStart w:id="92" w:name="_Hlk21936833"/>
      <w:proofErr w:type="spellEnd"/>
      <w:r w:rsidRPr="0026720E">
        <w:t xml:space="preserve">, which makes the adsorption effect of catalyst different as mentioned before. </w:t>
      </w:r>
      <w:bookmarkEnd w:id="92"/>
      <w:r w:rsidRPr="0026720E">
        <w:t xml:space="preserve">Analogically, the present form of PMS depends mainly on solution pH and the second </w:t>
      </w:r>
      <w:proofErr w:type="spellStart"/>
      <w:r w:rsidRPr="0026720E">
        <w:t>pKa</w:t>
      </w:r>
      <w:proofErr w:type="spellEnd"/>
      <w:r w:rsidRPr="0026720E">
        <w:t xml:space="preserve">. The </w:t>
      </w:r>
      <w:proofErr w:type="spellStart"/>
      <w:r w:rsidRPr="0026720E">
        <w:t>p</w:t>
      </w:r>
      <w:r w:rsidRPr="00F42DFB">
        <w:rPr>
          <w:i/>
          <w:iCs/>
        </w:rPr>
        <w:t>K</w:t>
      </w:r>
      <w:r w:rsidRPr="00F42DFB">
        <w:rPr>
          <w:vertAlign w:val="subscript"/>
        </w:rPr>
        <w:t>a</w:t>
      </w:r>
      <w:proofErr w:type="spellEnd"/>
      <w:r w:rsidRPr="0026720E">
        <w:t xml:space="preserve"> of PMS is 9.4, and its parent acid</w:t>
      </w:r>
      <w:r w:rsidRPr="0026720E">
        <w:rPr>
          <w:rFonts w:eastAsiaTheme="minorEastAsia" w:hint="eastAsia"/>
        </w:rPr>
        <w:t xml:space="preserve"> </w:t>
      </w:r>
      <w:r w:rsidRPr="0026720E">
        <w:t>(</w:t>
      </w:r>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S</m:t>
        </m:r>
        <m:sSub>
          <m:sSubPr>
            <m:ctrlPr>
              <w:rPr>
                <w:rFonts w:ascii="Cambria Math" w:hAnsi="Cambria Math"/>
              </w:rPr>
            </m:ctrlPr>
          </m:sSubPr>
          <m:e>
            <m:r>
              <m:rPr>
                <m:sty m:val="p"/>
              </m:rPr>
              <w:rPr>
                <w:rFonts w:ascii="Cambria Math" w:hAnsi="Cambria Math"/>
              </w:rPr>
              <m:t>O</m:t>
            </m:r>
          </m:e>
          <m:sub>
            <m:r>
              <m:rPr>
                <m:sty m:val="p"/>
              </m:rPr>
              <w:rPr>
                <w:rFonts w:ascii="Cambria Math" w:hAnsi="Cambria Math"/>
              </w:rPr>
              <m:t>5</m:t>
            </m:r>
          </m:sub>
        </m:sSub>
      </m:oMath>
      <w:r w:rsidRPr="0026720E">
        <w:t>) is a strong acid as sulfuric acid</w:t>
      </w:r>
      <w:r w:rsidR="00F42DFB">
        <w:t xml:space="preserve"> </w:t>
      </w:r>
      <w:r w:rsidRPr="0026720E">
        <w:fldChar w:fldCharType="begin" w:fldLock="1"/>
      </w:r>
      <w:r w:rsidR="00160292" w:rsidRPr="0026720E">
        <w:instrText>ADDIN CSL_CITATION {"citationItems":[{"id":"ITEM-1","itemData":{"DOI":"10.1007/BF00621082","ISSN":"0340-4285","abstract":"Oxidation of Mnaq2+ by HSO5- in acetate buffer to manganese(IV) is autocatalytic, and obeys a rate expression of the general form -d[MnII]/dt = k0[MnII] + k1[MnII][MnOx]. The first-order (k0) and heterogenetic (k1) rate constants show first-order dependences on [HSO5-] and on 1/[H+]. The reaction is catalyzed by the addition of the chelating ligand glycine; k1 shows a first-order dependence on [glycine] at a fixed pH. This catalysis is ascribed to complexation, whereby the redox potential for Mn(gly)n(2-n)+ is lower than that for Mnaq2+, facilitating oxidation. The stoichiometry of the reaction is Mn2+: HSO5- = 1:1, and the manganese(IV) oxide formed is of battery-active grade. Purity of the recovered product is not affected by the presence of high concentrations of natural sugars in the initial solution. © 1985 VCH Verlagsgesellschaft mbH.","author":[{"dropping-particle":"","family":"Lawrance","given":"Geoffrey A.","non-dropping-particle":"","parse-names":false,"suffix":""},{"dropping-particle":"","family":"Ward","given":"Christopher B.","non-dropping-particle":"","parse-names":false,"suffix":""}],"container-title":"Transition Metal Chemistry","id":"ITEM-1","issue":"7","issued":{"date-parts":[["1985"]]},"page":"258-261","title":"Kinetics of oxidation of manganese(II) by peroxomonosulfuric acid in aqueous acidic solution","type":"article-journal","volume":"10"},"uris":["http://www.mendeley.com/documents/?uuid=b9a99dd9-7f24-3b03-ab85-e06f82df8113"]},{"id":"ITEM-2","itemData":{"DOI":"10.1016/j.apcata.2009.07.048","ISSN":"0926860X","abstract":"The kinetics and mechanisms of Mn(II)-catalyzed oxidative decarboxylation of five structurally different amino acids: alanine, valine, leucine, phenyl alanine and 2-methyl alanine, by peroxomonosulphate (PMS) in alkaline medium were studied at 313 K with a constant ionic strength of 0.05 mol dm-3. Analysis of the kinetic results revealed that the rate of oxidation was first-order in [PMS], [amino acid], [Mn2+] and inverse first-order in [OH-]. The effects of added product, ionic strength and dielectric constant were investigated. The reaction was studied at different temperatures and the activation parameters were calculated. The main products were identified as the corresponding carbonyl compounds by IR and by gas chromatography-mass spectrometry (GC-MS). Manganese peroxide (MnO(O)) was proposed as the intermediate to explain the experimental observations. The isokinetic temperature was calculated as 346 K by applying Exner's criterion. Catalytic constants were calculated at 313 K and are tabulated. © 2009 Elsevier B.V. All rights reserved.","author":[{"dropping-particle":"","family":"Rani","given":"S. Kutti","non-dropping-particle":"","parse-names":false,"suffix":""},{"dropping-particle":"","family":"Easwaramoorthy","given":"D.","non-dropping-particle":"","parse-names":false,"suffix":""},{"dropping-particle":"","family":"Bilal","given":"I. Mohammed","non-dropping-particle":"","parse-names":false,"suffix":""},{"dropping-particle":"","family":"Palanichamy","given":"M.","non-dropping-particle":"","parse-names":false,"suffix":""}],"container-title":"Applied Catalysis A: General","id":"ITEM-2","issue":"1-2","issued":{"date-parts":[["2009","11"]]},"page":"1-7","title":"Studies on Mn(II)-catalyzed oxidation of α-amino acids by peroxomonosulphate in alkaline medium-deamination and decarboxylation: A kinetic approach","type":"article-journal","volume":"369"},"uris":["http://www.mendeley.com/documents/?uuid=c7c98c8c-6e33-3b64-899c-490a431ebc9e"]}],"mendeley":{"formattedCitation":"[16,17]","plainTextFormattedCitation":"[16,17]","previouslyFormattedCitation":"[16,17]"},"properties":{"noteIndex":0},"schema":"https://github.com/citation-style-language/schema/raw/master/csl-citation.json"}</w:instrText>
      </w:r>
      <w:r w:rsidRPr="0026720E">
        <w:fldChar w:fldCharType="separate"/>
      </w:r>
      <w:r w:rsidR="00160292" w:rsidRPr="0026720E">
        <w:rPr>
          <w:noProof/>
        </w:rPr>
        <w:t>[16,17]</w:t>
      </w:r>
      <w:r w:rsidRPr="0026720E">
        <w:fldChar w:fldCharType="end"/>
      </w:r>
      <w:r w:rsidRPr="0026720E">
        <w:rPr>
          <w:rFonts w:hint="eastAsia"/>
        </w:rPr>
        <w:t>.</w:t>
      </w:r>
      <w:r w:rsidRPr="0026720E">
        <w:t xml:space="preserve"> Thus,</w:t>
      </w:r>
      <m:oMath>
        <m:r>
          <m:rPr>
            <m:sty m:val="p"/>
          </m:rPr>
          <w:rPr>
            <w:rFonts w:ascii="Cambria Math" w:hAnsi="Cambria Math"/>
          </w:rPr>
          <m:t xml:space="preserve"> HS</m:t>
        </m:r>
        <w:bookmarkStart w:id="93" w:name="_Hlk21968172"/>
        <m:sSubSup>
          <m:sSubSupPr>
            <m:ctrlPr>
              <w:rPr>
                <w:rFonts w:ascii="Cambria Math" w:hAnsi="Cambria Math"/>
              </w:rPr>
            </m:ctrlPr>
          </m:sSubSupPr>
          <m:e>
            <m:r>
              <m:rPr>
                <m:sty m:val="p"/>
              </m:rPr>
              <w:rPr>
                <w:rFonts w:ascii="Cambria Math" w:hAnsi="Cambria Math"/>
              </w:rPr>
              <m:t>O</m:t>
            </m:r>
          </m:e>
          <m:sub>
            <m:r>
              <m:rPr>
                <m:sty m:val="p"/>
              </m:rPr>
              <w:rPr>
                <w:rFonts w:ascii="Cambria Math" w:hAnsi="Cambria Math"/>
              </w:rPr>
              <m:t>5</m:t>
            </m:r>
          </m:sub>
          <m:sup>
            <m:r>
              <m:rPr>
                <m:sty m:val="p"/>
              </m:rPr>
              <w:rPr>
                <w:rFonts w:ascii="Cambria Math" w:hAnsi="Cambria Math"/>
              </w:rPr>
              <m:t>-</m:t>
            </m:r>
          </m:sup>
        </m:sSubSup>
      </m:oMath>
      <w:bookmarkEnd w:id="93"/>
      <w:r w:rsidRPr="0026720E">
        <w:t xml:space="preserve"> is the only PMS species appearing</w:t>
      </w:r>
      <w:r w:rsidRPr="0026720E">
        <w:rPr>
          <w:rFonts w:hint="eastAsia"/>
        </w:rPr>
        <w:t xml:space="preserve"> </w:t>
      </w:r>
      <w:r w:rsidRPr="0026720E">
        <w:t xml:space="preserve">in the solution in the pH range explored. Since the surface electrical properties of ZN-CS varies with pH, therefore under different pH conditions, the affinity between catalyst and oxidant will also be altered. At the same time, we know that when the solution pH value is close to </w:t>
      </w:r>
      <w:proofErr w:type="spellStart"/>
      <w:r w:rsidRPr="0026720E">
        <w:t>pH</w:t>
      </w:r>
      <w:r w:rsidRPr="0026720E">
        <w:rPr>
          <w:vertAlign w:val="subscript"/>
        </w:rPr>
        <w:t>pzc</w:t>
      </w:r>
      <w:proofErr w:type="spellEnd"/>
      <w:r w:rsidRPr="0026720E">
        <w:t xml:space="preserve"> of the catalyst, the catalyst Zeta potential is low, and it is easy to flocculate, which will reduce the adsorption and degradation effect. Moreover, the redox potential varies with pH value, affecting</w:t>
      </w:r>
      <w:r w:rsidRPr="0026720E">
        <w:rPr>
          <w:rFonts w:hint="eastAsia"/>
        </w:rPr>
        <w:t xml:space="preserve"> </w:t>
      </w:r>
      <w:r w:rsidRPr="0026720E">
        <w:t>non-radical degradation process, so the influence of pH value on the adsorption and degradation reaction system is various and complex.</w:t>
      </w:r>
    </w:p>
    <w:p w14:paraId="36F314AD" w14:textId="77777777" w:rsidR="001C16B4" w:rsidRDefault="001C16B4" w:rsidP="001C16B4">
      <w:pPr>
        <w:pStyle w:val="4-Fig-ENG"/>
        <w:rPr>
          <w:b/>
          <w:bCs/>
        </w:rPr>
      </w:pPr>
    </w:p>
    <w:p w14:paraId="21CBED59" w14:textId="77777777" w:rsidR="00E477E5" w:rsidRDefault="00E477E5" w:rsidP="001C16B4">
      <w:pPr>
        <w:pStyle w:val="4-Fig-ENG"/>
        <w:rPr>
          <w:b/>
          <w:bCs/>
        </w:rPr>
      </w:pPr>
    </w:p>
    <w:p w14:paraId="7DD4D3F6" w14:textId="77777777" w:rsidR="00E477E5" w:rsidRDefault="00E477E5">
      <w:pPr>
        <w:widowControl/>
        <w:spacing w:line="240" w:lineRule="auto"/>
        <w:jc w:val="left"/>
        <w:rPr>
          <w:rFonts w:eastAsia="等线" w:cs="Times New Roman"/>
          <w:b/>
          <w:bCs/>
          <w:sz w:val="18"/>
        </w:rPr>
      </w:pPr>
      <w:r>
        <w:rPr>
          <w:b/>
          <w:bCs/>
        </w:rPr>
        <w:br w:type="page"/>
      </w:r>
    </w:p>
    <w:p w14:paraId="05EE203E" w14:textId="77777777" w:rsidR="00A516BA" w:rsidRPr="0026720E" w:rsidRDefault="00A516BA" w:rsidP="00A516BA">
      <w:pPr>
        <w:pStyle w:val="4-Fig-ENG"/>
        <w:rPr>
          <w:b/>
          <w:bCs/>
        </w:rPr>
      </w:pPr>
      <w:bookmarkStart w:id="94" w:name="OLE_LINK67"/>
      <w:bookmarkStart w:id="95" w:name="OLE_LINK68"/>
      <w:r w:rsidRPr="0026720E">
        <w:rPr>
          <w:b/>
          <w:bCs/>
        </w:rPr>
        <w:lastRenderedPageBreak/>
        <w:t>Table</w:t>
      </w:r>
      <w:r>
        <w:rPr>
          <w:b/>
          <w:bCs/>
        </w:rPr>
        <w:t xml:space="preserve"> S1 </w:t>
      </w:r>
      <w:r w:rsidRPr="0026720E">
        <w:rPr>
          <w:rFonts w:cs="Times New Roman (正文 CS 字体)"/>
          <w:b/>
          <w:bCs/>
        </w:rPr>
        <w:t>(</w:t>
      </w:r>
      <w:r w:rsidRPr="0026720E">
        <w:rPr>
          <w:b/>
          <w:bCs/>
        </w:rPr>
        <w:t>a)</w:t>
      </w:r>
      <w:bookmarkEnd w:id="94"/>
      <w:bookmarkEnd w:id="95"/>
      <w:r w:rsidRPr="0026720E">
        <w:rPr>
          <w:b/>
          <w:bCs/>
        </w:rPr>
        <w:t xml:space="preserve"> </w:t>
      </w:r>
      <w:bookmarkStart w:id="96" w:name="OLE_LINK65"/>
      <w:bookmarkStart w:id="97" w:name="OLE_LINK66"/>
      <w:r w:rsidRPr="0026720E">
        <w:t xml:space="preserve">The kinetic results of different catalyst dosage. </w:t>
      </w:r>
      <w:bookmarkEnd w:id="96"/>
      <w:bookmarkEnd w:id="97"/>
    </w:p>
    <w:tbl>
      <w:tblPr>
        <w:tblStyle w:val="12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2"/>
        <w:gridCol w:w="3253"/>
        <w:gridCol w:w="3671"/>
      </w:tblGrid>
      <w:tr w:rsidR="00A516BA" w:rsidRPr="0026720E" w14:paraId="026E60FF" w14:textId="77777777" w:rsidTr="00FC5082">
        <w:tc>
          <w:tcPr>
            <w:tcW w:w="1692" w:type="pct"/>
            <w:tcBorders>
              <w:top w:val="single" w:sz="12" w:space="0" w:color="auto"/>
              <w:bottom w:val="single" w:sz="6" w:space="0" w:color="auto"/>
            </w:tcBorders>
          </w:tcPr>
          <w:p w14:paraId="1B579DC7" w14:textId="77777777" w:rsidR="00A516BA" w:rsidRPr="0026720E" w:rsidRDefault="00A516BA" w:rsidP="00FC5082">
            <w:pPr>
              <w:pStyle w:val="4-Tabbody-ENG"/>
              <w:contextualSpacing w:val="0"/>
            </w:pPr>
            <w:r w:rsidRPr="0026720E">
              <w:t>Catalyst dosage (mg/L)</w:t>
            </w:r>
          </w:p>
        </w:tc>
        <w:tc>
          <w:tcPr>
            <w:tcW w:w="1554" w:type="pct"/>
            <w:tcBorders>
              <w:top w:val="single" w:sz="12" w:space="0" w:color="auto"/>
              <w:bottom w:val="single" w:sz="6" w:space="0" w:color="auto"/>
            </w:tcBorders>
          </w:tcPr>
          <w:p w14:paraId="0B4C9810" w14:textId="77777777" w:rsidR="00A516BA" w:rsidRPr="0026720E" w:rsidRDefault="00445426" w:rsidP="00FC5082">
            <w:pPr>
              <w:pStyle w:val="4-Tabbody-ENG"/>
              <w:contextualSpacing w:val="0"/>
            </w:pPr>
            <m:oMathPara>
              <m:oMath>
                <m:sSub>
                  <m:sSubPr>
                    <m:ctrlPr>
                      <w:rPr>
                        <w:rFonts w:ascii="Cambria Math" w:hAnsi="Cambria Math" w:cs="Times New Roman (正文 CS 字体)"/>
                        <w:i/>
                      </w:rPr>
                    </m:ctrlPr>
                  </m:sSubPr>
                  <m:e>
                    <m:r>
                      <w:rPr>
                        <w:rFonts w:ascii="Cambria Math" w:hAnsi="Cambria Math" w:cs="Times New Roman (正文 CS 字体)"/>
                      </w:rPr>
                      <m:t>k</m:t>
                    </m:r>
                  </m:e>
                  <m:sub>
                    <m:r>
                      <w:rPr>
                        <w:rFonts w:ascii="Cambria Math" w:hAnsi="Cambria Math" w:cs="Times New Roman (正文 CS 字体)"/>
                      </w:rPr>
                      <m:t>obs</m:t>
                    </m:r>
                  </m:sub>
                </m:sSub>
              </m:oMath>
            </m:oMathPara>
          </w:p>
        </w:tc>
        <w:tc>
          <w:tcPr>
            <w:tcW w:w="1754" w:type="pct"/>
            <w:tcBorders>
              <w:top w:val="single" w:sz="12" w:space="0" w:color="auto"/>
              <w:bottom w:val="single" w:sz="6" w:space="0" w:color="auto"/>
            </w:tcBorders>
          </w:tcPr>
          <w:p w14:paraId="14725D34" w14:textId="77777777" w:rsidR="00A516BA" w:rsidRPr="0026720E" w:rsidRDefault="00445426" w:rsidP="00FC5082">
            <w:pPr>
              <w:pStyle w:val="4-Tabbody-ENG"/>
              <w:contextualSpacing w:val="0"/>
            </w:pPr>
            <m:oMathPara>
              <m:oMath>
                <m:sSup>
                  <m:sSupPr>
                    <m:ctrlPr>
                      <w:rPr>
                        <w:rFonts w:ascii="Cambria Math" w:hAnsi="Cambria Math"/>
                        <w:i/>
                      </w:rPr>
                    </m:ctrlPr>
                  </m:sSupPr>
                  <m:e>
                    <m:r>
                      <w:rPr>
                        <w:rFonts w:ascii="Cambria Math"/>
                      </w:rPr>
                      <m:t>R</m:t>
                    </m:r>
                  </m:e>
                  <m:sup>
                    <m:r>
                      <w:rPr>
                        <w:rFonts w:ascii="Cambria Math"/>
                      </w:rPr>
                      <m:t>2</m:t>
                    </m:r>
                  </m:sup>
                </m:sSup>
              </m:oMath>
            </m:oMathPara>
          </w:p>
        </w:tc>
      </w:tr>
      <w:tr w:rsidR="00A516BA" w:rsidRPr="0026720E" w14:paraId="442594EF" w14:textId="77777777" w:rsidTr="00FC5082">
        <w:tc>
          <w:tcPr>
            <w:tcW w:w="1692" w:type="pct"/>
            <w:tcBorders>
              <w:top w:val="single" w:sz="6" w:space="0" w:color="auto"/>
            </w:tcBorders>
          </w:tcPr>
          <w:p w14:paraId="5F8BC697" w14:textId="77777777" w:rsidR="00A516BA" w:rsidRPr="0026720E" w:rsidRDefault="00A516BA" w:rsidP="00FC5082">
            <w:pPr>
              <w:pStyle w:val="4-Tabbody-ENG"/>
              <w:contextualSpacing w:val="0"/>
            </w:pPr>
            <w:r w:rsidRPr="0026720E">
              <w:t>150</w:t>
            </w:r>
          </w:p>
        </w:tc>
        <w:tc>
          <w:tcPr>
            <w:tcW w:w="1554" w:type="pct"/>
            <w:tcBorders>
              <w:top w:val="single" w:sz="6" w:space="0" w:color="auto"/>
            </w:tcBorders>
          </w:tcPr>
          <w:p w14:paraId="104E724A" w14:textId="77777777" w:rsidR="00A516BA" w:rsidRPr="0026720E" w:rsidRDefault="00A516BA" w:rsidP="00FC5082">
            <w:pPr>
              <w:pStyle w:val="4-Tabbody-ENG"/>
              <w:contextualSpacing w:val="0"/>
            </w:pPr>
            <w:r w:rsidRPr="0026720E">
              <w:t>0.0512</w:t>
            </w:r>
          </w:p>
        </w:tc>
        <w:tc>
          <w:tcPr>
            <w:tcW w:w="1754" w:type="pct"/>
            <w:tcBorders>
              <w:top w:val="single" w:sz="6" w:space="0" w:color="auto"/>
            </w:tcBorders>
          </w:tcPr>
          <w:p w14:paraId="2C834CC9" w14:textId="77777777" w:rsidR="00A516BA" w:rsidRPr="0026720E" w:rsidRDefault="00A516BA" w:rsidP="00FC5082">
            <w:pPr>
              <w:pStyle w:val="4-Tabbody-ENG"/>
              <w:contextualSpacing w:val="0"/>
            </w:pPr>
            <w:r w:rsidRPr="0026720E">
              <w:t>0.979</w:t>
            </w:r>
          </w:p>
        </w:tc>
      </w:tr>
      <w:tr w:rsidR="00A516BA" w:rsidRPr="0026720E" w14:paraId="120DF16C" w14:textId="77777777" w:rsidTr="00FC5082">
        <w:tc>
          <w:tcPr>
            <w:tcW w:w="1692" w:type="pct"/>
          </w:tcPr>
          <w:p w14:paraId="70CF6D76" w14:textId="77777777" w:rsidR="00A516BA" w:rsidRPr="0026720E" w:rsidRDefault="00A516BA" w:rsidP="00FC5082">
            <w:pPr>
              <w:pStyle w:val="4-Tabbody-ENG"/>
              <w:contextualSpacing w:val="0"/>
            </w:pPr>
            <w:r w:rsidRPr="0026720E">
              <w:t>100</w:t>
            </w:r>
          </w:p>
        </w:tc>
        <w:tc>
          <w:tcPr>
            <w:tcW w:w="1554" w:type="pct"/>
          </w:tcPr>
          <w:p w14:paraId="60A7437F" w14:textId="77777777" w:rsidR="00A516BA" w:rsidRPr="0026720E" w:rsidRDefault="00A516BA" w:rsidP="00FC5082">
            <w:pPr>
              <w:pStyle w:val="4-Tabbody-ENG"/>
              <w:contextualSpacing w:val="0"/>
            </w:pPr>
            <w:r w:rsidRPr="0026720E">
              <w:rPr>
                <w:rFonts w:hint="eastAsia"/>
              </w:rPr>
              <w:t>0</w:t>
            </w:r>
            <w:r w:rsidRPr="0026720E">
              <w:t>.0252</w:t>
            </w:r>
          </w:p>
        </w:tc>
        <w:tc>
          <w:tcPr>
            <w:tcW w:w="1754" w:type="pct"/>
          </w:tcPr>
          <w:p w14:paraId="0BD55441" w14:textId="77777777" w:rsidR="00A516BA" w:rsidRPr="0026720E" w:rsidRDefault="00A516BA" w:rsidP="00FC5082">
            <w:pPr>
              <w:pStyle w:val="4-Tabbody-ENG"/>
              <w:contextualSpacing w:val="0"/>
            </w:pPr>
            <w:r w:rsidRPr="0026720E">
              <w:rPr>
                <w:rFonts w:hint="eastAsia"/>
              </w:rPr>
              <w:t>0</w:t>
            </w:r>
            <w:r w:rsidRPr="0026720E">
              <w:t>.982</w:t>
            </w:r>
          </w:p>
        </w:tc>
      </w:tr>
      <w:tr w:rsidR="00A516BA" w:rsidRPr="0026720E" w14:paraId="0CEC6E66" w14:textId="77777777" w:rsidTr="00FC5082">
        <w:tc>
          <w:tcPr>
            <w:tcW w:w="1692" w:type="pct"/>
          </w:tcPr>
          <w:p w14:paraId="3BF36B5D" w14:textId="77777777" w:rsidR="00A516BA" w:rsidRPr="0026720E" w:rsidRDefault="00A516BA" w:rsidP="00FC5082">
            <w:pPr>
              <w:pStyle w:val="4-Tabbody-ENG"/>
              <w:contextualSpacing w:val="0"/>
            </w:pPr>
            <w:r w:rsidRPr="0026720E">
              <w:t>50</w:t>
            </w:r>
          </w:p>
        </w:tc>
        <w:tc>
          <w:tcPr>
            <w:tcW w:w="1554" w:type="pct"/>
          </w:tcPr>
          <w:p w14:paraId="046AB24B" w14:textId="77777777" w:rsidR="00A516BA" w:rsidRPr="0026720E" w:rsidRDefault="00A516BA" w:rsidP="00FC5082">
            <w:pPr>
              <w:pStyle w:val="4-Tabbody-ENG"/>
              <w:contextualSpacing w:val="0"/>
            </w:pPr>
            <w:r w:rsidRPr="0026720E">
              <w:rPr>
                <w:rFonts w:hint="eastAsia"/>
              </w:rPr>
              <w:t>0</w:t>
            </w:r>
            <w:r w:rsidRPr="0026720E">
              <w:t>.0043</w:t>
            </w:r>
          </w:p>
        </w:tc>
        <w:tc>
          <w:tcPr>
            <w:tcW w:w="1754" w:type="pct"/>
          </w:tcPr>
          <w:p w14:paraId="0C46A31E" w14:textId="77777777" w:rsidR="00A516BA" w:rsidRPr="0026720E" w:rsidRDefault="00A516BA" w:rsidP="00FC5082">
            <w:pPr>
              <w:pStyle w:val="4-Tabbody-ENG"/>
              <w:contextualSpacing w:val="0"/>
            </w:pPr>
            <w:r w:rsidRPr="0026720E">
              <w:rPr>
                <w:rFonts w:hint="eastAsia"/>
              </w:rPr>
              <w:t>0</w:t>
            </w:r>
            <w:r w:rsidRPr="0026720E">
              <w:t>.892</w:t>
            </w:r>
          </w:p>
        </w:tc>
      </w:tr>
      <w:tr w:rsidR="00A516BA" w:rsidRPr="0026720E" w14:paraId="63D453CB" w14:textId="77777777" w:rsidTr="00FC5082">
        <w:tc>
          <w:tcPr>
            <w:tcW w:w="1692" w:type="pct"/>
            <w:tcBorders>
              <w:bottom w:val="single" w:sz="12" w:space="0" w:color="auto"/>
            </w:tcBorders>
          </w:tcPr>
          <w:p w14:paraId="6553F0E1" w14:textId="77777777" w:rsidR="00A516BA" w:rsidRPr="0026720E" w:rsidRDefault="00A516BA" w:rsidP="00FC5082">
            <w:pPr>
              <w:pStyle w:val="4-Tabbody-ENG"/>
              <w:contextualSpacing w:val="0"/>
            </w:pPr>
            <w:r w:rsidRPr="0026720E">
              <w:t>25</w:t>
            </w:r>
          </w:p>
        </w:tc>
        <w:tc>
          <w:tcPr>
            <w:tcW w:w="1554" w:type="pct"/>
            <w:tcBorders>
              <w:bottom w:val="single" w:sz="12" w:space="0" w:color="auto"/>
            </w:tcBorders>
          </w:tcPr>
          <w:p w14:paraId="604CDFEC" w14:textId="77777777" w:rsidR="00A516BA" w:rsidRPr="0026720E" w:rsidRDefault="00A516BA" w:rsidP="00FC5082">
            <w:pPr>
              <w:pStyle w:val="4-Tabbody-ENG"/>
              <w:contextualSpacing w:val="0"/>
            </w:pPr>
            <w:r w:rsidRPr="0026720E">
              <w:rPr>
                <w:rFonts w:hint="eastAsia"/>
              </w:rPr>
              <w:t>0</w:t>
            </w:r>
            <w:r w:rsidRPr="0026720E">
              <w:t>.0015</w:t>
            </w:r>
          </w:p>
        </w:tc>
        <w:tc>
          <w:tcPr>
            <w:tcW w:w="1754" w:type="pct"/>
            <w:tcBorders>
              <w:bottom w:val="single" w:sz="12" w:space="0" w:color="auto"/>
            </w:tcBorders>
          </w:tcPr>
          <w:p w14:paraId="00374811" w14:textId="77777777" w:rsidR="00A516BA" w:rsidRPr="0026720E" w:rsidRDefault="00A516BA" w:rsidP="00FC5082">
            <w:pPr>
              <w:pStyle w:val="4-Tabbody-ENG"/>
              <w:contextualSpacing w:val="0"/>
            </w:pPr>
            <w:r w:rsidRPr="0026720E">
              <w:rPr>
                <w:rFonts w:hint="eastAsia"/>
              </w:rPr>
              <w:t>0</w:t>
            </w:r>
            <w:r w:rsidRPr="0026720E">
              <w:t>.913</w:t>
            </w:r>
          </w:p>
        </w:tc>
      </w:tr>
    </w:tbl>
    <w:p w14:paraId="639F859C" w14:textId="77777777" w:rsidR="00A516BA" w:rsidRPr="0026720E" w:rsidRDefault="00A516BA" w:rsidP="00A516BA">
      <w:pPr>
        <w:pStyle w:val="4-Fig-ENG"/>
      </w:pPr>
      <w:r w:rsidRPr="0026720E">
        <w:rPr>
          <w:b/>
          <w:bCs/>
        </w:rPr>
        <w:t>T</w:t>
      </w:r>
      <w:r w:rsidRPr="0026720E">
        <w:rPr>
          <w:rFonts w:cs="宋体"/>
          <w:b/>
          <w:bCs/>
          <w:kern w:val="0"/>
        </w:rPr>
        <w:t>able</w:t>
      </w:r>
      <w:r>
        <w:rPr>
          <w:rFonts w:cs="宋体"/>
          <w:b/>
          <w:bCs/>
          <w:kern w:val="0"/>
        </w:rPr>
        <w:t xml:space="preserve"> S1 </w:t>
      </w:r>
      <w:r w:rsidRPr="0026720E">
        <w:rPr>
          <w:b/>
          <w:bCs/>
        </w:rPr>
        <w:t xml:space="preserve">(b) </w:t>
      </w:r>
      <w:r w:rsidRPr="0026720E">
        <w:t xml:space="preserve">The kinetic results of different PMS concentration. </w:t>
      </w:r>
    </w:p>
    <w:tbl>
      <w:tblPr>
        <w:tblStyle w:val="12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2"/>
        <w:gridCol w:w="3253"/>
        <w:gridCol w:w="3671"/>
      </w:tblGrid>
      <w:tr w:rsidR="00A516BA" w:rsidRPr="0026720E" w14:paraId="27045335" w14:textId="77777777" w:rsidTr="00FC5082">
        <w:tc>
          <w:tcPr>
            <w:tcW w:w="1692" w:type="pct"/>
            <w:tcBorders>
              <w:top w:val="single" w:sz="12" w:space="0" w:color="auto"/>
              <w:bottom w:val="single" w:sz="6" w:space="0" w:color="auto"/>
            </w:tcBorders>
          </w:tcPr>
          <w:p w14:paraId="79D5AB5A" w14:textId="77777777" w:rsidR="00A516BA" w:rsidRPr="0026720E" w:rsidRDefault="00A516BA" w:rsidP="00FC5082">
            <w:pPr>
              <w:pStyle w:val="4-Tabbody-ENG"/>
              <w:rPr>
                <w:rFonts w:cs="宋体"/>
                <w:szCs w:val="24"/>
              </w:rPr>
            </w:pPr>
            <w:r w:rsidRPr="0026720E">
              <w:t>PMS concentration</w:t>
            </w:r>
            <w:r w:rsidRPr="0026720E">
              <w:rPr>
                <w:rFonts w:cs="宋体"/>
                <w:szCs w:val="24"/>
              </w:rPr>
              <w:t xml:space="preserve"> (mg/L)</w:t>
            </w:r>
          </w:p>
        </w:tc>
        <w:tc>
          <w:tcPr>
            <w:tcW w:w="1554" w:type="pct"/>
            <w:tcBorders>
              <w:top w:val="single" w:sz="12" w:space="0" w:color="auto"/>
              <w:bottom w:val="single" w:sz="6" w:space="0" w:color="auto"/>
            </w:tcBorders>
          </w:tcPr>
          <w:p w14:paraId="151B9B4D" w14:textId="77777777" w:rsidR="00A516BA" w:rsidRPr="0026720E" w:rsidRDefault="00445426" w:rsidP="00FC5082">
            <w:pPr>
              <w:pStyle w:val="4-Tabbody-ENG"/>
              <w:rPr>
                <w:rFonts w:cs="宋体"/>
                <w:szCs w:val="24"/>
              </w:rPr>
            </w:pPr>
            <m:oMathPara>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obs</m:t>
                    </m:r>
                  </m:sub>
                </m:sSub>
              </m:oMath>
            </m:oMathPara>
          </w:p>
        </w:tc>
        <w:tc>
          <w:tcPr>
            <w:tcW w:w="1754" w:type="pct"/>
            <w:tcBorders>
              <w:top w:val="single" w:sz="12" w:space="0" w:color="auto"/>
              <w:bottom w:val="single" w:sz="6" w:space="0" w:color="auto"/>
            </w:tcBorders>
          </w:tcPr>
          <w:p w14:paraId="5F219956" w14:textId="77777777" w:rsidR="00A516BA" w:rsidRPr="0026720E" w:rsidRDefault="00445426" w:rsidP="00FC5082">
            <w:pPr>
              <w:pStyle w:val="4-Tabbody-ENG"/>
              <w:rPr>
                <w:rFonts w:cs="宋体"/>
                <w:szCs w:val="24"/>
              </w:rPr>
            </w:pPr>
            <m:oMathPara>
              <m:oMath>
                <m:sSup>
                  <m:sSupPr>
                    <m:ctrlPr>
                      <w:rPr>
                        <w:rFonts w:ascii="Cambria Math" w:hAnsi="Cambria Math"/>
                        <w:i/>
                        <w:szCs w:val="24"/>
                      </w:rPr>
                    </m:ctrlPr>
                  </m:sSupPr>
                  <m:e>
                    <m:r>
                      <w:rPr>
                        <w:rFonts w:ascii="Cambria Math"/>
                        <w:szCs w:val="24"/>
                      </w:rPr>
                      <m:t>R</m:t>
                    </m:r>
                  </m:e>
                  <m:sup>
                    <m:r>
                      <w:rPr>
                        <w:rFonts w:ascii="Cambria Math"/>
                        <w:szCs w:val="24"/>
                      </w:rPr>
                      <m:t>2</m:t>
                    </m:r>
                  </m:sup>
                </m:sSup>
              </m:oMath>
            </m:oMathPara>
          </w:p>
        </w:tc>
      </w:tr>
      <w:tr w:rsidR="00A516BA" w:rsidRPr="0026720E" w14:paraId="606E6360" w14:textId="77777777" w:rsidTr="00FC5082">
        <w:tc>
          <w:tcPr>
            <w:tcW w:w="1692" w:type="pct"/>
            <w:tcBorders>
              <w:top w:val="single" w:sz="6" w:space="0" w:color="auto"/>
            </w:tcBorders>
          </w:tcPr>
          <w:p w14:paraId="6BF8DF5C" w14:textId="77777777" w:rsidR="00A516BA" w:rsidRPr="0026720E" w:rsidRDefault="00A516BA" w:rsidP="00FC5082">
            <w:pPr>
              <w:pStyle w:val="4-Tabbody-ENG"/>
              <w:rPr>
                <w:rFonts w:cs="宋体"/>
                <w:szCs w:val="24"/>
              </w:rPr>
            </w:pPr>
            <w:r w:rsidRPr="0026720E">
              <w:rPr>
                <w:rFonts w:cs="宋体"/>
                <w:szCs w:val="24"/>
              </w:rPr>
              <w:t>400</w:t>
            </w:r>
          </w:p>
        </w:tc>
        <w:tc>
          <w:tcPr>
            <w:tcW w:w="1554" w:type="pct"/>
            <w:tcBorders>
              <w:top w:val="single" w:sz="6" w:space="0" w:color="auto"/>
            </w:tcBorders>
          </w:tcPr>
          <w:p w14:paraId="459DB4B9" w14:textId="77777777" w:rsidR="00A516BA" w:rsidRPr="0026720E" w:rsidRDefault="00A516BA" w:rsidP="00FC5082">
            <w:pPr>
              <w:pStyle w:val="4-Tabbody-ENG"/>
              <w:rPr>
                <w:rFonts w:cs="宋体"/>
                <w:szCs w:val="24"/>
              </w:rPr>
            </w:pPr>
            <w:r w:rsidRPr="0026720E">
              <w:rPr>
                <w:rFonts w:cs="宋体"/>
                <w:szCs w:val="24"/>
              </w:rPr>
              <w:t>0.0279</w:t>
            </w:r>
          </w:p>
        </w:tc>
        <w:tc>
          <w:tcPr>
            <w:tcW w:w="1754" w:type="pct"/>
            <w:tcBorders>
              <w:top w:val="single" w:sz="6" w:space="0" w:color="auto"/>
            </w:tcBorders>
          </w:tcPr>
          <w:p w14:paraId="4E2AF10D" w14:textId="77777777" w:rsidR="00A516BA" w:rsidRPr="0026720E" w:rsidRDefault="00A516BA" w:rsidP="00FC5082">
            <w:pPr>
              <w:pStyle w:val="4-Tabbody-ENG"/>
              <w:rPr>
                <w:rFonts w:cs="宋体"/>
                <w:szCs w:val="24"/>
              </w:rPr>
            </w:pPr>
            <w:r w:rsidRPr="0026720E">
              <w:rPr>
                <w:rFonts w:cs="宋体"/>
                <w:szCs w:val="24"/>
              </w:rPr>
              <w:t>0.920</w:t>
            </w:r>
          </w:p>
        </w:tc>
      </w:tr>
      <w:tr w:rsidR="00A516BA" w:rsidRPr="0026720E" w14:paraId="1EC2929A" w14:textId="77777777" w:rsidTr="00FC5082">
        <w:tc>
          <w:tcPr>
            <w:tcW w:w="1692" w:type="pct"/>
          </w:tcPr>
          <w:p w14:paraId="05E74A0C" w14:textId="77777777" w:rsidR="00A516BA" w:rsidRPr="0026720E" w:rsidRDefault="00A516BA" w:rsidP="00FC5082">
            <w:pPr>
              <w:pStyle w:val="4-Tabbody-ENG"/>
              <w:rPr>
                <w:rFonts w:cs="宋体"/>
                <w:szCs w:val="24"/>
              </w:rPr>
            </w:pPr>
            <w:r w:rsidRPr="0026720E">
              <w:rPr>
                <w:rFonts w:cs="宋体"/>
                <w:szCs w:val="24"/>
              </w:rPr>
              <w:t>300</w:t>
            </w:r>
          </w:p>
        </w:tc>
        <w:tc>
          <w:tcPr>
            <w:tcW w:w="1554" w:type="pct"/>
          </w:tcPr>
          <w:p w14:paraId="15105E9E"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.0265</w:t>
            </w:r>
          </w:p>
        </w:tc>
        <w:tc>
          <w:tcPr>
            <w:tcW w:w="1754" w:type="pct"/>
          </w:tcPr>
          <w:p w14:paraId="300A85FA"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.951</w:t>
            </w:r>
          </w:p>
        </w:tc>
      </w:tr>
      <w:tr w:rsidR="00A516BA" w:rsidRPr="0026720E" w14:paraId="399C2F81" w14:textId="77777777" w:rsidTr="00FC5082">
        <w:tc>
          <w:tcPr>
            <w:tcW w:w="1692" w:type="pct"/>
          </w:tcPr>
          <w:p w14:paraId="297EDC10" w14:textId="77777777" w:rsidR="00A516BA" w:rsidRPr="0026720E" w:rsidRDefault="00A516BA" w:rsidP="00FC5082">
            <w:pPr>
              <w:pStyle w:val="4-Tabbody-ENG"/>
              <w:rPr>
                <w:rFonts w:cs="宋体"/>
                <w:szCs w:val="24"/>
              </w:rPr>
            </w:pPr>
            <w:r w:rsidRPr="0026720E">
              <w:rPr>
                <w:rFonts w:cs="宋体"/>
                <w:szCs w:val="24"/>
              </w:rPr>
              <w:t>200</w:t>
            </w:r>
          </w:p>
        </w:tc>
        <w:tc>
          <w:tcPr>
            <w:tcW w:w="1554" w:type="pct"/>
          </w:tcPr>
          <w:p w14:paraId="02CD1B8C"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.0252</w:t>
            </w:r>
          </w:p>
        </w:tc>
        <w:tc>
          <w:tcPr>
            <w:tcW w:w="1754" w:type="pct"/>
          </w:tcPr>
          <w:p w14:paraId="11A67326"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.982</w:t>
            </w:r>
          </w:p>
        </w:tc>
      </w:tr>
      <w:tr w:rsidR="00A516BA" w:rsidRPr="0026720E" w14:paraId="7D2DC897" w14:textId="77777777" w:rsidTr="00FC5082">
        <w:tc>
          <w:tcPr>
            <w:tcW w:w="1692" w:type="pct"/>
            <w:tcBorders>
              <w:bottom w:val="single" w:sz="12" w:space="0" w:color="auto"/>
            </w:tcBorders>
          </w:tcPr>
          <w:p w14:paraId="37D74945" w14:textId="77777777" w:rsidR="00A516BA" w:rsidRPr="0026720E" w:rsidRDefault="00A516BA" w:rsidP="00FC5082">
            <w:pPr>
              <w:pStyle w:val="4-Tabbody-ENG"/>
              <w:rPr>
                <w:rFonts w:cs="宋体"/>
                <w:szCs w:val="24"/>
              </w:rPr>
            </w:pPr>
            <w:r w:rsidRPr="0026720E">
              <w:rPr>
                <w:rFonts w:cs="宋体"/>
                <w:szCs w:val="24"/>
              </w:rPr>
              <w:t>100</w:t>
            </w:r>
          </w:p>
        </w:tc>
        <w:tc>
          <w:tcPr>
            <w:tcW w:w="1554" w:type="pct"/>
            <w:tcBorders>
              <w:bottom w:val="single" w:sz="12" w:space="0" w:color="auto"/>
            </w:tcBorders>
          </w:tcPr>
          <w:p w14:paraId="5922BB00"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.0176</w:t>
            </w:r>
          </w:p>
        </w:tc>
        <w:tc>
          <w:tcPr>
            <w:tcW w:w="1754" w:type="pct"/>
            <w:tcBorders>
              <w:bottom w:val="single" w:sz="12" w:space="0" w:color="auto"/>
            </w:tcBorders>
          </w:tcPr>
          <w:p w14:paraId="246CCE29"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.988</w:t>
            </w:r>
          </w:p>
        </w:tc>
      </w:tr>
    </w:tbl>
    <w:p w14:paraId="607556EB" w14:textId="77777777" w:rsidR="00A516BA" w:rsidRPr="0026720E" w:rsidRDefault="00A516BA" w:rsidP="00A516BA">
      <w:pPr>
        <w:pStyle w:val="4-Fig-ENG"/>
      </w:pPr>
      <w:r w:rsidRPr="0026720E">
        <w:rPr>
          <w:rFonts w:cs="宋体"/>
          <w:b/>
          <w:bCs/>
          <w:kern w:val="0"/>
        </w:rPr>
        <w:t>Table</w:t>
      </w:r>
      <w:r>
        <w:rPr>
          <w:rFonts w:cs="宋体"/>
          <w:b/>
          <w:bCs/>
          <w:kern w:val="0"/>
        </w:rPr>
        <w:t xml:space="preserve"> S1 </w:t>
      </w:r>
      <w:r w:rsidRPr="0026720E">
        <w:rPr>
          <w:b/>
          <w:bCs/>
        </w:rPr>
        <w:t xml:space="preserve">(c) </w:t>
      </w:r>
      <w:r w:rsidRPr="0026720E">
        <w:t xml:space="preserve">The kinetic results of different </w:t>
      </w:r>
      <w:proofErr w:type="spellStart"/>
      <w:r w:rsidRPr="0026720E">
        <w:t>RhB</w:t>
      </w:r>
      <w:proofErr w:type="spellEnd"/>
      <w:r w:rsidRPr="0026720E">
        <w:t xml:space="preserve"> concentration.</w:t>
      </w:r>
    </w:p>
    <w:tbl>
      <w:tblPr>
        <w:tblStyle w:val="12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2"/>
        <w:gridCol w:w="3253"/>
        <w:gridCol w:w="3671"/>
      </w:tblGrid>
      <w:tr w:rsidR="00A516BA" w:rsidRPr="0026720E" w14:paraId="6C15A035" w14:textId="77777777" w:rsidTr="00FC5082">
        <w:tc>
          <w:tcPr>
            <w:tcW w:w="1692" w:type="pct"/>
            <w:tcBorders>
              <w:top w:val="single" w:sz="12" w:space="0" w:color="auto"/>
              <w:bottom w:val="single" w:sz="6" w:space="0" w:color="auto"/>
            </w:tcBorders>
          </w:tcPr>
          <w:p w14:paraId="10945E33" w14:textId="77777777" w:rsidR="00A516BA" w:rsidRPr="0026720E" w:rsidRDefault="00A516BA" w:rsidP="00FC5082">
            <w:pPr>
              <w:pStyle w:val="4-Tabbody-ENG"/>
              <w:rPr>
                <w:rFonts w:cs="宋体"/>
                <w:szCs w:val="24"/>
              </w:rPr>
            </w:pPr>
            <w:proofErr w:type="spellStart"/>
            <w:r w:rsidRPr="0026720E">
              <w:t>RhB</w:t>
            </w:r>
            <w:proofErr w:type="spellEnd"/>
            <w:r w:rsidRPr="0026720E">
              <w:t xml:space="preserve"> concentration</w:t>
            </w:r>
            <w:r w:rsidRPr="0026720E">
              <w:rPr>
                <w:rFonts w:cs="宋体"/>
                <w:szCs w:val="24"/>
              </w:rPr>
              <w:t xml:space="preserve"> (mg/L)</w:t>
            </w:r>
          </w:p>
        </w:tc>
        <w:tc>
          <w:tcPr>
            <w:tcW w:w="1554" w:type="pct"/>
            <w:tcBorders>
              <w:top w:val="single" w:sz="12" w:space="0" w:color="auto"/>
              <w:bottom w:val="single" w:sz="6" w:space="0" w:color="auto"/>
            </w:tcBorders>
          </w:tcPr>
          <w:p w14:paraId="26EE826D" w14:textId="77777777" w:rsidR="00A516BA" w:rsidRPr="0026720E" w:rsidRDefault="00445426" w:rsidP="00FC5082">
            <w:pPr>
              <w:pStyle w:val="4-Tabbody-ENG"/>
              <w:rPr>
                <w:rFonts w:cs="宋体"/>
                <w:szCs w:val="24"/>
              </w:rPr>
            </w:pPr>
            <m:oMathPara>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obs</m:t>
                    </m:r>
                  </m:sub>
                </m:sSub>
              </m:oMath>
            </m:oMathPara>
          </w:p>
        </w:tc>
        <w:tc>
          <w:tcPr>
            <w:tcW w:w="1754" w:type="pct"/>
            <w:tcBorders>
              <w:top w:val="single" w:sz="12" w:space="0" w:color="auto"/>
              <w:bottom w:val="single" w:sz="6" w:space="0" w:color="auto"/>
            </w:tcBorders>
          </w:tcPr>
          <w:p w14:paraId="270E5668" w14:textId="77777777" w:rsidR="00A516BA" w:rsidRPr="0026720E" w:rsidRDefault="00445426" w:rsidP="00FC5082">
            <w:pPr>
              <w:pStyle w:val="4-Tabbody-ENG"/>
              <w:rPr>
                <w:rFonts w:cs="宋体"/>
                <w:szCs w:val="24"/>
              </w:rPr>
            </w:pPr>
            <m:oMathPara>
              <m:oMath>
                <m:sSup>
                  <m:sSupPr>
                    <m:ctrlPr>
                      <w:rPr>
                        <w:rFonts w:ascii="Cambria Math" w:hAnsi="Cambria Math"/>
                        <w:i/>
                        <w:szCs w:val="24"/>
                      </w:rPr>
                    </m:ctrlPr>
                  </m:sSupPr>
                  <m:e>
                    <m:r>
                      <w:rPr>
                        <w:rFonts w:ascii="Cambria Math"/>
                        <w:szCs w:val="24"/>
                      </w:rPr>
                      <m:t>R</m:t>
                    </m:r>
                  </m:e>
                  <m:sup>
                    <m:r>
                      <w:rPr>
                        <w:rFonts w:ascii="Cambria Math"/>
                        <w:szCs w:val="24"/>
                      </w:rPr>
                      <m:t>2</m:t>
                    </m:r>
                  </m:sup>
                </m:sSup>
              </m:oMath>
            </m:oMathPara>
          </w:p>
        </w:tc>
      </w:tr>
      <w:tr w:rsidR="00A516BA" w:rsidRPr="0026720E" w14:paraId="4E11D959" w14:textId="77777777" w:rsidTr="00FC5082">
        <w:tc>
          <w:tcPr>
            <w:tcW w:w="1692" w:type="pct"/>
            <w:tcBorders>
              <w:top w:val="single" w:sz="6" w:space="0" w:color="auto"/>
            </w:tcBorders>
          </w:tcPr>
          <w:p w14:paraId="14AFF596" w14:textId="77777777" w:rsidR="00A516BA" w:rsidRPr="0026720E" w:rsidRDefault="00A516BA" w:rsidP="00FC5082">
            <w:pPr>
              <w:pStyle w:val="4-Tabbody-ENG"/>
              <w:rPr>
                <w:rFonts w:cs="宋体"/>
                <w:szCs w:val="24"/>
              </w:rPr>
            </w:pPr>
            <w:r w:rsidRPr="0026720E">
              <w:rPr>
                <w:rFonts w:cs="宋体"/>
                <w:szCs w:val="24"/>
              </w:rPr>
              <w:t>3.8</w:t>
            </w:r>
          </w:p>
        </w:tc>
        <w:tc>
          <w:tcPr>
            <w:tcW w:w="1554" w:type="pct"/>
            <w:tcBorders>
              <w:top w:val="single" w:sz="6" w:space="0" w:color="auto"/>
            </w:tcBorders>
          </w:tcPr>
          <w:p w14:paraId="3D6D375C" w14:textId="77777777" w:rsidR="00A516BA" w:rsidRPr="0026720E" w:rsidRDefault="00A516BA" w:rsidP="00FC5082">
            <w:pPr>
              <w:pStyle w:val="4-Tabbody-ENG"/>
              <w:rPr>
                <w:rFonts w:cs="宋体"/>
                <w:szCs w:val="24"/>
              </w:rPr>
            </w:pPr>
            <w:r w:rsidRPr="0026720E">
              <w:rPr>
                <w:rFonts w:cs="宋体"/>
                <w:szCs w:val="24"/>
              </w:rPr>
              <w:t>0.0123</w:t>
            </w:r>
          </w:p>
        </w:tc>
        <w:tc>
          <w:tcPr>
            <w:tcW w:w="1754" w:type="pct"/>
            <w:tcBorders>
              <w:top w:val="single" w:sz="6" w:space="0" w:color="auto"/>
            </w:tcBorders>
          </w:tcPr>
          <w:p w14:paraId="21F1A349" w14:textId="77777777" w:rsidR="00A516BA" w:rsidRPr="0026720E" w:rsidRDefault="00A516BA" w:rsidP="00FC5082">
            <w:pPr>
              <w:pStyle w:val="4-Tabbody-ENG"/>
              <w:rPr>
                <w:rFonts w:cs="宋体"/>
                <w:szCs w:val="24"/>
              </w:rPr>
            </w:pPr>
            <w:r w:rsidRPr="0026720E">
              <w:rPr>
                <w:rFonts w:cs="宋体"/>
                <w:szCs w:val="24"/>
              </w:rPr>
              <w:t>0.923</w:t>
            </w:r>
          </w:p>
        </w:tc>
      </w:tr>
      <w:tr w:rsidR="00A516BA" w:rsidRPr="0026720E" w14:paraId="41922FC4" w14:textId="77777777" w:rsidTr="00FC5082">
        <w:tc>
          <w:tcPr>
            <w:tcW w:w="1692" w:type="pct"/>
            <w:vAlign w:val="center"/>
          </w:tcPr>
          <w:p w14:paraId="1DCBFD28" w14:textId="77777777" w:rsidR="00A516BA" w:rsidRPr="0026720E" w:rsidRDefault="00A516BA" w:rsidP="00FC5082">
            <w:pPr>
              <w:pStyle w:val="4-Tabbody-ENG"/>
              <w:rPr>
                <w:rFonts w:cs="宋体"/>
                <w:szCs w:val="24"/>
              </w:rPr>
            </w:pPr>
            <w:r w:rsidRPr="0026720E">
              <w:rPr>
                <w:rFonts w:cs="宋体" w:hint="eastAsia"/>
                <w:szCs w:val="24"/>
              </w:rPr>
              <w:t>7</w:t>
            </w:r>
            <w:r w:rsidRPr="0026720E">
              <w:rPr>
                <w:rFonts w:cs="宋体"/>
                <w:szCs w:val="24"/>
              </w:rPr>
              <w:t>.6</w:t>
            </w:r>
          </w:p>
        </w:tc>
        <w:tc>
          <w:tcPr>
            <w:tcW w:w="1554" w:type="pct"/>
          </w:tcPr>
          <w:p w14:paraId="35BBA87F"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.0252</w:t>
            </w:r>
          </w:p>
        </w:tc>
        <w:tc>
          <w:tcPr>
            <w:tcW w:w="1754" w:type="pct"/>
          </w:tcPr>
          <w:p w14:paraId="7B3BD61E"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.982</w:t>
            </w:r>
          </w:p>
        </w:tc>
      </w:tr>
      <w:tr w:rsidR="00A516BA" w:rsidRPr="0026720E" w14:paraId="07043773" w14:textId="77777777" w:rsidTr="00FC5082">
        <w:tc>
          <w:tcPr>
            <w:tcW w:w="1692" w:type="pct"/>
          </w:tcPr>
          <w:p w14:paraId="203F3737" w14:textId="77777777" w:rsidR="00A516BA" w:rsidRPr="0026720E" w:rsidRDefault="00A516BA" w:rsidP="00FC5082">
            <w:pPr>
              <w:pStyle w:val="4-Tabbody-ENG"/>
              <w:rPr>
                <w:rFonts w:cs="宋体"/>
                <w:szCs w:val="24"/>
              </w:rPr>
            </w:pPr>
            <w:r w:rsidRPr="0026720E">
              <w:rPr>
                <w:rFonts w:cs="宋体" w:hint="eastAsia"/>
                <w:szCs w:val="24"/>
              </w:rPr>
              <w:t>1</w:t>
            </w:r>
            <w:r w:rsidRPr="0026720E">
              <w:rPr>
                <w:rFonts w:cs="宋体"/>
                <w:szCs w:val="24"/>
              </w:rPr>
              <w:t>1.4</w:t>
            </w:r>
          </w:p>
        </w:tc>
        <w:tc>
          <w:tcPr>
            <w:tcW w:w="1554" w:type="pct"/>
          </w:tcPr>
          <w:p w14:paraId="3435F79F"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.0017</w:t>
            </w:r>
          </w:p>
        </w:tc>
        <w:tc>
          <w:tcPr>
            <w:tcW w:w="1754" w:type="pct"/>
          </w:tcPr>
          <w:p w14:paraId="156962E9"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.907</w:t>
            </w:r>
          </w:p>
        </w:tc>
      </w:tr>
      <w:tr w:rsidR="00A516BA" w:rsidRPr="0026720E" w14:paraId="4D1306AF" w14:textId="77777777" w:rsidTr="00FC5082">
        <w:tc>
          <w:tcPr>
            <w:tcW w:w="1692" w:type="pct"/>
            <w:tcBorders>
              <w:bottom w:val="single" w:sz="12" w:space="0" w:color="auto"/>
            </w:tcBorders>
          </w:tcPr>
          <w:p w14:paraId="47CFF019" w14:textId="77777777" w:rsidR="00A516BA" w:rsidRPr="0026720E" w:rsidRDefault="00A516BA" w:rsidP="00FC5082">
            <w:pPr>
              <w:pStyle w:val="4-Tabbody-ENG"/>
              <w:rPr>
                <w:rFonts w:cs="宋体"/>
                <w:szCs w:val="24"/>
              </w:rPr>
            </w:pPr>
            <w:r w:rsidRPr="0026720E">
              <w:rPr>
                <w:rFonts w:cs="宋体"/>
                <w:szCs w:val="24"/>
              </w:rPr>
              <w:t>15.2</w:t>
            </w:r>
          </w:p>
        </w:tc>
        <w:tc>
          <w:tcPr>
            <w:tcW w:w="1554" w:type="pct"/>
            <w:tcBorders>
              <w:bottom w:val="single" w:sz="12" w:space="0" w:color="auto"/>
            </w:tcBorders>
          </w:tcPr>
          <w:p w14:paraId="0F3AC733"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.0007</w:t>
            </w:r>
          </w:p>
        </w:tc>
        <w:tc>
          <w:tcPr>
            <w:tcW w:w="1754" w:type="pct"/>
            <w:tcBorders>
              <w:bottom w:val="single" w:sz="12" w:space="0" w:color="auto"/>
            </w:tcBorders>
          </w:tcPr>
          <w:p w14:paraId="5CF8BA61"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.971</w:t>
            </w:r>
          </w:p>
        </w:tc>
      </w:tr>
    </w:tbl>
    <w:p w14:paraId="6DF4538B" w14:textId="77777777" w:rsidR="00A516BA" w:rsidRPr="0026720E" w:rsidRDefault="00A516BA" w:rsidP="00A516BA">
      <w:pPr>
        <w:pStyle w:val="4-Fig-ENG"/>
      </w:pPr>
      <w:r w:rsidRPr="0026720E">
        <w:rPr>
          <w:rFonts w:cs="宋体"/>
          <w:b/>
          <w:bCs/>
          <w:kern w:val="0"/>
          <w:szCs w:val="24"/>
        </w:rPr>
        <w:t>Table</w:t>
      </w:r>
      <w:r>
        <w:rPr>
          <w:rFonts w:cs="宋体"/>
          <w:b/>
          <w:bCs/>
          <w:kern w:val="0"/>
          <w:szCs w:val="24"/>
        </w:rPr>
        <w:t xml:space="preserve"> S1 </w:t>
      </w:r>
      <w:r w:rsidRPr="0026720E">
        <w:rPr>
          <w:b/>
          <w:bCs/>
        </w:rPr>
        <w:t xml:space="preserve">(d) </w:t>
      </w:r>
      <w:r w:rsidRPr="0026720E">
        <w:t>The kinetic results of different pH value.</w:t>
      </w:r>
    </w:p>
    <w:tbl>
      <w:tblPr>
        <w:tblStyle w:val="120"/>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2"/>
        <w:gridCol w:w="3253"/>
        <w:gridCol w:w="3671"/>
      </w:tblGrid>
      <w:tr w:rsidR="00A516BA" w:rsidRPr="0026720E" w14:paraId="415AF389" w14:textId="77777777" w:rsidTr="00FC5082">
        <w:trPr>
          <w:jc w:val="center"/>
        </w:trPr>
        <w:tc>
          <w:tcPr>
            <w:tcW w:w="1692" w:type="pct"/>
            <w:tcBorders>
              <w:top w:val="single" w:sz="12" w:space="0" w:color="auto"/>
              <w:bottom w:val="single" w:sz="6" w:space="0" w:color="auto"/>
            </w:tcBorders>
            <w:vAlign w:val="center"/>
          </w:tcPr>
          <w:p w14:paraId="5135F1E2" w14:textId="77777777" w:rsidR="00A516BA" w:rsidRPr="0026720E" w:rsidRDefault="00A516BA" w:rsidP="00FC5082">
            <w:pPr>
              <w:pStyle w:val="4-Tabbody-ENG"/>
              <w:rPr>
                <w:rFonts w:cs="宋体"/>
                <w:szCs w:val="24"/>
              </w:rPr>
            </w:pPr>
            <w:r w:rsidRPr="0026720E">
              <w:t>pH value</w:t>
            </w:r>
          </w:p>
        </w:tc>
        <w:tc>
          <w:tcPr>
            <w:tcW w:w="1554" w:type="pct"/>
            <w:tcBorders>
              <w:top w:val="single" w:sz="12" w:space="0" w:color="auto"/>
              <w:bottom w:val="single" w:sz="6" w:space="0" w:color="auto"/>
            </w:tcBorders>
            <w:vAlign w:val="center"/>
          </w:tcPr>
          <w:p w14:paraId="1D8D44A5" w14:textId="77777777" w:rsidR="00A516BA" w:rsidRPr="0026720E" w:rsidRDefault="00445426" w:rsidP="00FC5082">
            <w:pPr>
              <w:pStyle w:val="4-Tabbody-ENG"/>
              <w:rPr>
                <w:rFonts w:cs="宋体"/>
                <w:szCs w:val="24"/>
              </w:rPr>
            </w:pPr>
            <m:oMathPara>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obs</m:t>
                    </m:r>
                  </m:sub>
                </m:sSub>
              </m:oMath>
            </m:oMathPara>
          </w:p>
        </w:tc>
        <w:tc>
          <w:tcPr>
            <w:tcW w:w="1754" w:type="pct"/>
            <w:tcBorders>
              <w:top w:val="single" w:sz="12" w:space="0" w:color="auto"/>
              <w:bottom w:val="single" w:sz="6" w:space="0" w:color="auto"/>
            </w:tcBorders>
            <w:vAlign w:val="center"/>
          </w:tcPr>
          <w:p w14:paraId="4F8F23BD" w14:textId="77777777" w:rsidR="00A516BA" w:rsidRPr="0026720E" w:rsidRDefault="00445426" w:rsidP="00FC5082">
            <w:pPr>
              <w:pStyle w:val="4-Tabbody-ENG"/>
              <w:rPr>
                <w:rFonts w:cs="宋体"/>
                <w:szCs w:val="24"/>
              </w:rPr>
            </w:pPr>
            <m:oMathPara>
              <m:oMath>
                <m:sSup>
                  <m:sSupPr>
                    <m:ctrlPr>
                      <w:rPr>
                        <w:rFonts w:ascii="Cambria Math" w:hAnsi="Cambria Math"/>
                        <w:i/>
                        <w:szCs w:val="24"/>
                      </w:rPr>
                    </m:ctrlPr>
                  </m:sSupPr>
                  <m:e>
                    <m:r>
                      <w:rPr>
                        <w:rFonts w:ascii="Cambria Math"/>
                        <w:szCs w:val="24"/>
                      </w:rPr>
                      <m:t>R</m:t>
                    </m:r>
                  </m:e>
                  <m:sup>
                    <m:r>
                      <w:rPr>
                        <w:rFonts w:ascii="Cambria Math"/>
                        <w:szCs w:val="24"/>
                      </w:rPr>
                      <m:t>2</m:t>
                    </m:r>
                  </m:sup>
                </m:sSup>
              </m:oMath>
            </m:oMathPara>
          </w:p>
        </w:tc>
      </w:tr>
      <w:tr w:rsidR="00A516BA" w:rsidRPr="0026720E" w14:paraId="4784932A" w14:textId="77777777" w:rsidTr="00FC5082">
        <w:trPr>
          <w:jc w:val="center"/>
        </w:trPr>
        <w:tc>
          <w:tcPr>
            <w:tcW w:w="1692" w:type="pct"/>
            <w:tcBorders>
              <w:top w:val="single" w:sz="6" w:space="0" w:color="auto"/>
            </w:tcBorders>
            <w:vAlign w:val="center"/>
          </w:tcPr>
          <w:p w14:paraId="593D9B7F" w14:textId="77777777" w:rsidR="00A516BA" w:rsidRPr="0026720E" w:rsidRDefault="00A516BA" w:rsidP="00FC5082">
            <w:pPr>
              <w:pStyle w:val="4-Tabbody-ENG"/>
              <w:rPr>
                <w:rFonts w:cs="宋体"/>
                <w:szCs w:val="24"/>
              </w:rPr>
            </w:pPr>
            <w:r w:rsidRPr="0026720E">
              <w:rPr>
                <w:rFonts w:cs="宋体"/>
                <w:szCs w:val="24"/>
              </w:rPr>
              <w:t>3.02</w:t>
            </w:r>
          </w:p>
        </w:tc>
        <w:tc>
          <w:tcPr>
            <w:tcW w:w="1554" w:type="pct"/>
            <w:tcBorders>
              <w:top w:val="single" w:sz="6" w:space="0" w:color="auto"/>
            </w:tcBorders>
            <w:vAlign w:val="center"/>
          </w:tcPr>
          <w:p w14:paraId="2B8330FA" w14:textId="77777777" w:rsidR="00A516BA" w:rsidRPr="0026720E" w:rsidRDefault="00A516BA" w:rsidP="00FC5082">
            <w:pPr>
              <w:pStyle w:val="4-Tabbody-ENG"/>
              <w:rPr>
                <w:rFonts w:cs="宋体"/>
                <w:szCs w:val="24"/>
              </w:rPr>
            </w:pPr>
            <w:r w:rsidRPr="0026720E">
              <w:rPr>
                <w:rFonts w:cs="宋体"/>
                <w:szCs w:val="24"/>
              </w:rPr>
              <w:t>0.0297</w:t>
            </w:r>
          </w:p>
        </w:tc>
        <w:tc>
          <w:tcPr>
            <w:tcW w:w="1754" w:type="pct"/>
            <w:tcBorders>
              <w:top w:val="single" w:sz="6" w:space="0" w:color="auto"/>
            </w:tcBorders>
            <w:vAlign w:val="center"/>
          </w:tcPr>
          <w:p w14:paraId="62FAB87E" w14:textId="77777777" w:rsidR="00A516BA" w:rsidRPr="0026720E" w:rsidRDefault="00A516BA" w:rsidP="00FC5082">
            <w:pPr>
              <w:pStyle w:val="4-Tabbody-ENG"/>
              <w:rPr>
                <w:rFonts w:cs="宋体"/>
                <w:szCs w:val="24"/>
              </w:rPr>
            </w:pPr>
            <w:r w:rsidRPr="0026720E">
              <w:rPr>
                <w:rFonts w:cs="宋体"/>
                <w:szCs w:val="24"/>
              </w:rPr>
              <w:t>0.989</w:t>
            </w:r>
          </w:p>
        </w:tc>
      </w:tr>
      <w:tr w:rsidR="00A516BA" w:rsidRPr="0026720E" w14:paraId="2D4FF0D0" w14:textId="77777777" w:rsidTr="00FC5082">
        <w:trPr>
          <w:jc w:val="center"/>
        </w:trPr>
        <w:tc>
          <w:tcPr>
            <w:tcW w:w="1692" w:type="pct"/>
            <w:vAlign w:val="center"/>
          </w:tcPr>
          <w:p w14:paraId="440E807C" w14:textId="77777777" w:rsidR="00A516BA" w:rsidRPr="0026720E" w:rsidRDefault="00A516BA" w:rsidP="00FC5082">
            <w:pPr>
              <w:pStyle w:val="4-Tabbody-ENG"/>
              <w:rPr>
                <w:rFonts w:cs="宋体"/>
                <w:szCs w:val="24"/>
              </w:rPr>
            </w:pPr>
            <w:r w:rsidRPr="0026720E">
              <w:rPr>
                <w:rFonts w:cs="宋体" w:hint="eastAsia"/>
                <w:szCs w:val="24"/>
              </w:rPr>
              <w:t>5</w:t>
            </w:r>
            <w:r w:rsidRPr="0026720E">
              <w:rPr>
                <w:rFonts w:cs="宋体"/>
                <w:szCs w:val="24"/>
              </w:rPr>
              <w:t>.21</w:t>
            </w:r>
          </w:p>
        </w:tc>
        <w:tc>
          <w:tcPr>
            <w:tcW w:w="1554" w:type="pct"/>
            <w:vAlign w:val="center"/>
          </w:tcPr>
          <w:p w14:paraId="7B63E0CC"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.0141</w:t>
            </w:r>
          </w:p>
        </w:tc>
        <w:tc>
          <w:tcPr>
            <w:tcW w:w="1754" w:type="pct"/>
            <w:vAlign w:val="center"/>
          </w:tcPr>
          <w:p w14:paraId="41B3E473"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.983</w:t>
            </w:r>
          </w:p>
        </w:tc>
      </w:tr>
      <w:tr w:rsidR="00A516BA" w:rsidRPr="0026720E" w14:paraId="14A43DFD" w14:textId="77777777" w:rsidTr="00FC5082">
        <w:trPr>
          <w:jc w:val="center"/>
        </w:trPr>
        <w:tc>
          <w:tcPr>
            <w:tcW w:w="1692" w:type="pct"/>
            <w:vAlign w:val="center"/>
          </w:tcPr>
          <w:p w14:paraId="6ED617A7" w14:textId="77777777" w:rsidR="00A516BA" w:rsidRPr="0026720E" w:rsidRDefault="00A516BA" w:rsidP="00FC5082">
            <w:pPr>
              <w:pStyle w:val="4-Tabbody-ENG"/>
              <w:rPr>
                <w:rFonts w:cs="宋体"/>
                <w:szCs w:val="24"/>
              </w:rPr>
            </w:pPr>
            <w:r w:rsidRPr="0026720E">
              <w:rPr>
                <w:rFonts w:cs="宋体"/>
                <w:szCs w:val="24"/>
              </w:rPr>
              <w:t>7.14</w:t>
            </w:r>
          </w:p>
        </w:tc>
        <w:tc>
          <w:tcPr>
            <w:tcW w:w="1554" w:type="pct"/>
            <w:vAlign w:val="center"/>
          </w:tcPr>
          <w:p w14:paraId="2656556F"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.0054</w:t>
            </w:r>
          </w:p>
        </w:tc>
        <w:tc>
          <w:tcPr>
            <w:tcW w:w="1754" w:type="pct"/>
            <w:vAlign w:val="center"/>
          </w:tcPr>
          <w:p w14:paraId="59184F3A"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.990</w:t>
            </w:r>
          </w:p>
        </w:tc>
      </w:tr>
      <w:tr w:rsidR="00A516BA" w:rsidRPr="0026720E" w14:paraId="1F9A301C" w14:textId="77777777" w:rsidTr="00FC5082">
        <w:trPr>
          <w:jc w:val="center"/>
        </w:trPr>
        <w:tc>
          <w:tcPr>
            <w:tcW w:w="1692" w:type="pct"/>
            <w:vAlign w:val="center"/>
          </w:tcPr>
          <w:p w14:paraId="7BEAC52F" w14:textId="77777777" w:rsidR="00A516BA" w:rsidRPr="0026720E" w:rsidRDefault="00A516BA" w:rsidP="00FC5082">
            <w:pPr>
              <w:pStyle w:val="4-Tabbody-ENG"/>
              <w:rPr>
                <w:rFonts w:cs="宋体"/>
                <w:szCs w:val="24"/>
              </w:rPr>
            </w:pPr>
            <w:r w:rsidRPr="0026720E">
              <w:rPr>
                <w:rFonts w:cs="宋体" w:hint="eastAsia"/>
                <w:szCs w:val="24"/>
              </w:rPr>
              <w:t>8</w:t>
            </w:r>
            <w:r w:rsidRPr="0026720E">
              <w:rPr>
                <w:rFonts w:cs="宋体"/>
                <w:szCs w:val="24"/>
              </w:rPr>
              <w:t>.96</w:t>
            </w:r>
          </w:p>
        </w:tc>
        <w:tc>
          <w:tcPr>
            <w:tcW w:w="1554" w:type="pct"/>
            <w:vAlign w:val="center"/>
          </w:tcPr>
          <w:p w14:paraId="789B97B4"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.0241</w:t>
            </w:r>
          </w:p>
        </w:tc>
        <w:tc>
          <w:tcPr>
            <w:tcW w:w="1754" w:type="pct"/>
            <w:vAlign w:val="center"/>
          </w:tcPr>
          <w:p w14:paraId="0417C982"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.992</w:t>
            </w:r>
          </w:p>
        </w:tc>
      </w:tr>
      <w:tr w:rsidR="00A516BA" w:rsidRPr="0026720E" w14:paraId="6A606ECF" w14:textId="77777777" w:rsidTr="00FC5082">
        <w:trPr>
          <w:jc w:val="center"/>
        </w:trPr>
        <w:tc>
          <w:tcPr>
            <w:tcW w:w="1692" w:type="pct"/>
            <w:tcBorders>
              <w:bottom w:val="single" w:sz="12" w:space="0" w:color="auto"/>
            </w:tcBorders>
            <w:vAlign w:val="center"/>
          </w:tcPr>
          <w:p w14:paraId="79345844" w14:textId="77777777" w:rsidR="00A516BA" w:rsidRPr="0026720E" w:rsidRDefault="00A516BA" w:rsidP="00FC5082">
            <w:pPr>
              <w:pStyle w:val="4-Tabbody-ENG"/>
              <w:rPr>
                <w:rFonts w:cs="宋体"/>
                <w:szCs w:val="24"/>
              </w:rPr>
            </w:pPr>
            <w:r w:rsidRPr="0026720E">
              <w:rPr>
                <w:rFonts w:cs="宋体" w:hint="eastAsia"/>
                <w:szCs w:val="24"/>
              </w:rPr>
              <w:t>1</w:t>
            </w:r>
            <w:r w:rsidRPr="0026720E">
              <w:rPr>
                <w:rFonts w:cs="宋体"/>
                <w:szCs w:val="24"/>
              </w:rPr>
              <w:t>0.92</w:t>
            </w:r>
          </w:p>
        </w:tc>
        <w:tc>
          <w:tcPr>
            <w:tcW w:w="1554" w:type="pct"/>
            <w:tcBorders>
              <w:bottom w:val="single" w:sz="12" w:space="0" w:color="auto"/>
            </w:tcBorders>
            <w:vAlign w:val="center"/>
          </w:tcPr>
          <w:p w14:paraId="682B2E73"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.0106</w:t>
            </w:r>
          </w:p>
        </w:tc>
        <w:tc>
          <w:tcPr>
            <w:tcW w:w="1754" w:type="pct"/>
            <w:tcBorders>
              <w:bottom w:val="single" w:sz="12" w:space="0" w:color="auto"/>
            </w:tcBorders>
            <w:vAlign w:val="center"/>
          </w:tcPr>
          <w:p w14:paraId="5BA1D475" w14:textId="77777777" w:rsidR="00A516BA" w:rsidRPr="0026720E" w:rsidRDefault="00A516BA" w:rsidP="00FC5082">
            <w:pPr>
              <w:pStyle w:val="4-Tabbody-ENG"/>
              <w:rPr>
                <w:rFonts w:cs="宋体"/>
                <w:szCs w:val="24"/>
              </w:rPr>
            </w:pPr>
            <w:r w:rsidRPr="0026720E">
              <w:rPr>
                <w:rFonts w:cs="宋体" w:hint="eastAsia"/>
                <w:szCs w:val="24"/>
              </w:rPr>
              <w:t>0</w:t>
            </w:r>
            <w:r w:rsidRPr="0026720E">
              <w:rPr>
                <w:rFonts w:cs="宋体"/>
                <w:szCs w:val="24"/>
              </w:rPr>
              <w:t>.999</w:t>
            </w:r>
          </w:p>
        </w:tc>
      </w:tr>
    </w:tbl>
    <w:p w14:paraId="0D7E612A" w14:textId="77777777" w:rsidR="00A516BA" w:rsidRDefault="00A516BA" w:rsidP="001C16B4">
      <w:pPr>
        <w:pStyle w:val="4-Fig-ENG"/>
        <w:rPr>
          <w:b/>
          <w:bCs/>
        </w:rPr>
      </w:pPr>
    </w:p>
    <w:p w14:paraId="5BCC6048" w14:textId="0EFCA624" w:rsidR="00C3015F" w:rsidRPr="0026720E" w:rsidRDefault="00C3015F" w:rsidP="001C16B4">
      <w:pPr>
        <w:pStyle w:val="4-Fig-ENG"/>
      </w:pPr>
      <w:r w:rsidRPr="0026720E">
        <w:rPr>
          <w:b/>
          <w:bCs/>
        </w:rPr>
        <w:t>Table</w:t>
      </w:r>
      <w:r w:rsidR="008F379F">
        <w:rPr>
          <w:b/>
          <w:bCs/>
        </w:rPr>
        <w:t xml:space="preserve"> S</w:t>
      </w:r>
      <w:r w:rsidR="00A516BA">
        <w:rPr>
          <w:b/>
          <w:bCs/>
        </w:rPr>
        <w:t>2</w:t>
      </w:r>
      <w:r w:rsidRPr="0026720E">
        <w:rPr>
          <w:b/>
          <w:bCs/>
        </w:rPr>
        <w:t>.</w:t>
      </w:r>
      <w:r w:rsidRPr="0026720E">
        <w:t xml:space="preserve"> The</w:t>
      </w:r>
      <w:r w:rsidRPr="0026720E">
        <w:rPr>
          <w:rFonts w:hint="eastAsia"/>
        </w:rPr>
        <w:t xml:space="preserve"> </w:t>
      </w:r>
      <w:r w:rsidRPr="0026720E">
        <w:t xml:space="preserve">proportion of zinc and nickel atoms in different area </w:t>
      </w:r>
      <w:r w:rsidRPr="0026720E">
        <w:rPr>
          <w:rFonts w:hint="eastAsia"/>
        </w:rPr>
        <w:t>according</w:t>
      </w:r>
      <w:r w:rsidRPr="0026720E">
        <w:t xml:space="preserve"> </w:t>
      </w:r>
      <w:r w:rsidRPr="0026720E">
        <w:rPr>
          <w:rFonts w:hint="eastAsia"/>
        </w:rPr>
        <w:t>to</w:t>
      </w:r>
      <w:r w:rsidRPr="0026720E">
        <w:t xml:space="preserve"> EDS result.</w:t>
      </w:r>
    </w:p>
    <w:tbl>
      <w:tblPr>
        <w:tblStyle w:val="110"/>
        <w:tblW w:w="4837" w:type="pct"/>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2381"/>
        <w:gridCol w:w="1691"/>
        <w:gridCol w:w="1731"/>
        <w:gridCol w:w="2574"/>
        <w:gridCol w:w="1748"/>
      </w:tblGrid>
      <w:tr w:rsidR="0026720E" w:rsidRPr="0026720E" w14:paraId="529859D3" w14:textId="77777777" w:rsidTr="00A516BA">
        <w:tc>
          <w:tcPr>
            <w:tcW w:w="1176" w:type="pct"/>
            <w:tcBorders>
              <w:top w:val="single" w:sz="12" w:space="0" w:color="auto"/>
              <w:bottom w:val="single" w:sz="6" w:space="0" w:color="auto"/>
            </w:tcBorders>
            <w:vAlign w:val="center"/>
          </w:tcPr>
          <w:p w14:paraId="4A969AA0" w14:textId="77777777" w:rsidR="00C3015F" w:rsidRPr="0026720E" w:rsidRDefault="00C3015F" w:rsidP="001C16B4">
            <w:pPr>
              <w:pStyle w:val="4-Tabbody-ENG"/>
            </w:pPr>
            <w:r w:rsidRPr="0026720E">
              <w:t>A</w:t>
            </w:r>
            <w:r w:rsidRPr="0026720E">
              <w:rPr>
                <w:rFonts w:hint="eastAsia"/>
              </w:rPr>
              <w:t>rea</w:t>
            </w:r>
          </w:p>
        </w:tc>
        <w:tc>
          <w:tcPr>
            <w:tcW w:w="835" w:type="pct"/>
            <w:tcBorders>
              <w:top w:val="single" w:sz="12" w:space="0" w:color="auto"/>
              <w:bottom w:val="single" w:sz="6" w:space="0" w:color="auto"/>
            </w:tcBorders>
            <w:vAlign w:val="center"/>
          </w:tcPr>
          <w:p w14:paraId="0EB6B841" w14:textId="77777777" w:rsidR="00C3015F" w:rsidRPr="0026720E" w:rsidRDefault="00C3015F" w:rsidP="001C16B4">
            <w:pPr>
              <w:pStyle w:val="4-Tabbody-ENG"/>
            </w:pPr>
            <w:bookmarkStart w:id="98" w:name="OLE_LINK83"/>
            <w:bookmarkStart w:id="99" w:name="OLE_LINK84"/>
            <w:r w:rsidRPr="0026720E">
              <w:t>S</w:t>
            </w:r>
            <w:r w:rsidRPr="0026720E">
              <w:rPr>
                <w:rFonts w:hint="eastAsia"/>
              </w:rPr>
              <w:t>hell</w:t>
            </w:r>
            <w:r w:rsidRPr="0026720E">
              <w:t xml:space="preserve"> (a)</w:t>
            </w:r>
            <w:bookmarkEnd w:id="98"/>
            <w:bookmarkEnd w:id="99"/>
          </w:p>
        </w:tc>
        <w:tc>
          <w:tcPr>
            <w:tcW w:w="855" w:type="pct"/>
            <w:tcBorders>
              <w:top w:val="single" w:sz="12" w:space="0" w:color="auto"/>
              <w:bottom w:val="single" w:sz="6" w:space="0" w:color="auto"/>
            </w:tcBorders>
            <w:vAlign w:val="center"/>
          </w:tcPr>
          <w:p w14:paraId="12C75E12" w14:textId="77777777" w:rsidR="00C3015F" w:rsidRPr="0026720E" w:rsidRDefault="00C3015F" w:rsidP="001C16B4">
            <w:pPr>
              <w:pStyle w:val="4-Tabbody-ENG"/>
            </w:pPr>
            <w:r w:rsidRPr="0026720E">
              <w:t>S</w:t>
            </w:r>
            <w:r w:rsidRPr="0026720E">
              <w:rPr>
                <w:rFonts w:hint="eastAsia"/>
              </w:rPr>
              <w:t>hell</w:t>
            </w:r>
            <w:r w:rsidRPr="0026720E">
              <w:t xml:space="preserve"> (b)</w:t>
            </w:r>
          </w:p>
        </w:tc>
        <w:tc>
          <w:tcPr>
            <w:tcW w:w="1271" w:type="pct"/>
            <w:tcBorders>
              <w:top w:val="single" w:sz="12" w:space="0" w:color="auto"/>
              <w:bottom w:val="single" w:sz="6" w:space="0" w:color="auto"/>
            </w:tcBorders>
            <w:vAlign w:val="center"/>
          </w:tcPr>
          <w:p w14:paraId="0570A4D2" w14:textId="77777777" w:rsidR="00C3015F" w:rsidRPr="0026720E" w:rsidRDefault="00C3015F" w:rsidP="001C16B4">
            <w:pPr>
              <w:pStyle w:val="4-Tabbody-ENG"/>
            </w:pPr>
            <w:r w:rsidRPr="0026720E">
              <w:t>S</w:t>
            </w:r>
            <w:r w:rsidRPr="0026720E">
              <w:rPr>
                <w:rFonts w:hint="eastAsia"/>
              </w:rPr>
              <w:t>hell</w:t>
            </w:r>
            <w:r w:rsidRPr="0026720E">
              <w:t xml:space="preserve"> (average)</w:t>
            </w:r>
          </w:p>
        </w:tc>
        <w:tc>
          <w:tcPr>
            <w:tcW w:w="863" w:type="pct"/>
            <w:tcBorders>
              <w:top w:val="single" w:sz="12" w:space="0" w:color="auto"/>
              <w:bottom w:val="single" w:sz="6" w:space="0" w:color="auto"/>
            </w:tcBorders>
            <w:vAlign w:val="center"/>
          </w:tcPr>
          <w:p w14:paraId="4D6FBC51" w14:textId="77777777" w:rsidR="00C3015F" w:rsidRPr="0026720E" w:rsidRDefault="00C3015F" w:rsidP="001C16B4">
            <w:pPr>
              <w:pStyle w:val="4-Tabbody-ENG"/>
            </w:pPr>
            <w:r w:rsidRPr="0026720E">
              <w:t>C</w:t>
            </w:r>
            <w:r w:rsidRPr="0026720E">
              <w:rPr>
                <w:rFonts w:hint="eastAsia"/>
              </w:rPr>
              <w:t>ore</w:t>
            </w:r>
            <w:r w:rsidRPr="0026720E">
              <w:t xml:space="preserve"> (c)</w:t>
            </w:r>
          </w:p>
        </w:tc>
      </w:tr>
      <w:tr w:rsidR="0026720E" w:rsidRPr="0026720E" w14:paraId="79775205" w14:textId="77777777" w:rsidTr="00A516BA">
        <w:tc>
          <w:tcPr>
            <w:tcW w:w="1176" w:type="pct"/>
            <w:tcBorders>
              <w:top w:val="single" w:sz="6" w:space="0" w:color="auto"/>
              <w:bottom w:val="single" w:sz="12" w:space="0" w:color="auto"/>
            </w:tcBorders>
            <w:vAlign w:val="center"/>
          </w:tcPr>
          <w:p w14:paraId="39BACACB" w14:textId="77777777" w:rsidR="00C3015F" w:rsidRPr="0026720E" w:rsidRDefault="00C3015F" w:rsidP="001C16B4">
            <w:pPr>
              <w:pStyle w:val="4-Tabbody-ENG"/>
            </w:pPr>
            <w:r w:rsidRPr="0026720E">
              <w:t>Ni (</w:t>
            </w:r>
            <w:r w:rsidRPr="0026720E">
              <w:rPr>
                <w:rFonts w:hint="eastAsia"/>
              </w:rPr>
              <w:t>%)</w:t>
            </w:r>
            <w:r w:rsidRPr="0026720E">
              <w:t xml:space="preserve"> / Zn (</w:t>
            </w:r>
            <w:r w:rsidRPr="0026720E">
              <w:rPr>
                <w:rFonts w:hint="eastAsia"/>
              </w:rPr>
              <w:t>%)</w:t>
            </w:r>
          </w:p>
        </w:tc>
        <w:tc>
          <w:tcPr>
            <w:tcW w:w="835" w:type="pct"/>
            <w:tcBorders>
              <w:top w:val="single" w:sz="6" w:space="0" w:color="auto"/>
              <w:bottom w:val="single" w:sz="12" w:space="0" w:color="auto"/>
            </w:tcBorders>
            <w:vAlign w:val="center"/>
          </w:tcPr>
          <w:p w14:paraId="4E02B11A" w14:textId="77777777" w:rsidR="00C3015F" w:rsidRPr="0026720E" w:rsidRDefault="00C3015F" w:rsidP="001C16B4">
            <w:pPr>
              <w:pStyle w:val="4-Tabbody-ENG"/>
            </w:pPr>
            <w:r w:rsidRPr="0026720E">
              <w:t>0.70</w:t>
            </w:r>
          </w:p>
        </w:tc>
        <w:tc>
          <w:tcPr>
            <w:tcW w:w="855" w:type="pct"/>
            <w:tcBorders>
              <w:top w:val="single" w:sz="6" w:space="0" w:color="auto"/>
              <w:bottom w:val="single" w:sz="12" w:space="0" w:color="auto"/>
            </w:tcBorders>
            <w:vAlign w:val="center"/>
          </w:tcPr>
          <w:p w14:paraId="585106BD" w14:textId="77777777" w:rsidR="00C3015F" w:rsidRPr="0026720E" w:rsidRDefault="00C3015F" w:rsidP="001C16B4">
            <w:pPr>
              <w:pStyle w:val="4-Tabbody-ENG"/>
            </w:pPr>
            <w:r w:rsidRPr="0026720E">
              <w:t>0.57</w:t>
            </w:r>
          </w:p>
        </w:tc>
        <w:tc>
          <w:tcPr>
            <w:tcW w:w="1271" w:type="pct"/>
            <w:tcBorders>
              <w:top w:val="single" w:sz="6" w:space="0" w:color="auto"/>
              <w:bottom w:val="single" w:sz="12" w:space="0" w:color="auto"/>
            </w:tcBorders>
            <w:vAlign w:val="center"/>
          </w:tcPr>
          <w:p w14:paraId="377C67C3" w14:textId="77777777" w:rsidR="00C3015F" w:rsidRPr="0026720E" w:rsidRDefault="00C3015F" w:rsidP="001C16B4">
            <w:pPr>
              <w:pStyle w:val="4-Tabbody-ENG"/>
            </w:pPr>
            <w:r w:rsidRPr="0026720E">
              <w:t>0.64</w:t>
            </w:r>
          </w:p>
        </w:tc>
        <w:tc>
          <w:tcPr>
            <w:tcW w:w="863" w:type="pct"/>
            <w:tcBorders>
              <w:top w:val="single" w:sz="6" w:space="0" w:color="auto"/>
              <w:bottom w:val="single" w:sz="12" w:space="0" w:color="auto"/>
            </w:tcBorders>
            <w:vAlign w:val="center"/>
          </w:tcPr>
          <w:p w14:paraId="3AA57B48" w14:textId="77777777" w:rsidR="00C3015F" w:rsidRPr="0026720E" w:rsidRDefault="00C3015F" w:rsidP="001C16B4">
            <w:pPr>
              <w:pStyle w:val="4-Tabbody-ENG"/>
            </w:pPr>
            <w:r w:rsidRPr="0026720E">
              <w:t>0.61</w:t>
            </w:r>
          </w:p>
        </w:tc>
      </w:tr>
    </w:tbl>
    <w:p w14:paraId="5662E23D" w14:textId="77777777" w:rsidR="00E477E5" w:rsidRDefault="00E477E5" w:rsidP="001C16B4">
      <w:pPr>
        <w:pStyle w:val="4-Fig-ENG"/>
        <w:rPr>
          <w:b/>
          <w:bCs/>
        </w:rPr>
      </w:pPr>
    </w:p>
    <w:p w14:paraId="719273FD" w14:textId="41803749" w:rsidR="00C3015F" w:rsidRPr="0026720E" w:rsidRDefault="00C3015F" w:rsidP="001C16B4">
      <w:pPr>
        <w:pStyle w:val="4-Fig-ENG"/>
      </w:pPr>
      <w:r w:rsidRPr="0026720E">
        <w:rPr>
          <w:b/>
          <w:bCs/>
        </w:rPr>
        <w:t>Table</w:t>
      </w:r>
      <w:r w:rsidR="008F379F">
        <w:rPr>
          <w:b/>
          <w:bCs/>
        </w:rPr>
        <w:t xml:space="preserve"> S</w:t>
      </w:r>
      <w:r w:rsidR="00A516BA">
        <w:rPr>
          <w:b/>
          <w:bCs/>
        </w:rPr>
        <w:t>3</w:t>
      </w:r>
      <w:r w:rsidRPr="0026720E">
        <w:t>. The isotherm parameters of Langmuir, F</w:t>
      </w:r>
      <w:r w:rsidRPr="0026720E">
        <w:rPr>
          <w:rFonts w:hint="eastAsia"/>
        </w:rPr>
        <w:t>re</w:t>
      </w:r>
      <w:r w:rsidRPr="0026720E">
        <w:t xml:space="preserve">undlich, Temkin models and </w:t>
      </w:r>
      <w:proofErr w:type="spellStart"/>
      <w:r w:rsidRPr="0026720E">
        <w:t>Dubinin</w:t>
      </w:r>
      <w:bookmarkStart w:id="100" w:name="OLE_LINK2"/>
      <w:proofErr w:type="spellEnd"/>
      <w:r w:rsidRPr="0026720E">
        <w:t>–</w:t>
      </w:r>
      <w:bookmarkEnd w:id="100"/>
      <w:proofErr w:type="spellStart"/>
      <w:r w:rsidRPr="0026720E">
        <w:t>Redushckevich</w:t>
      </w:r>
      <w:proofErr w:type="spellEnd"/>
      <w:r w:rsidRPr="0026720E">
        <w:t xml:space="preserve"> (D–R) model regarding the </w:t>
      </w:r>
      <w:proofErr w:type="spellStart"/>
      <w:r w:rsidRPr="0026720E">
        <w:t>RhB</w:t>
      </w:r>
      <w:proofErr w:type="spellEnd"/>
      <w:r w:rsidRPr="0026720E">
        <w:t xml:space="preserve"> adsorption on ZN-CS.</w:t>
      </w:r>
    </w:p>
    <w:tbl>
      <w:tblPr>
        <w:tblStyle w:val="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4"/>
        <w:gridCol w:w="663"/>
        <w:gridCol w:w="216"/>
        <w:gridCol w:w="6"/>
        <w:gridCol w:w="1500"/>
        <w:gridCol w:w="529"/>
        <w:gridCol w:w="698"/>
        <w:gridCol w:w="6"/>
        <w:gridCol w:w="217"/>
        <w:gridCol w:w="672"/>
        <w:gridCol w:w="806"/>
        <w:gridCol w:w="651"/>
        <w:gridCol w:w="222"/>
        <w:gridCol w:w="971"/>
        <w:gridCol w:w="1059"/>
        <w:gridCol w:w="664"/>
      </w:tblGrid>
      <w:tr w:rsidR="0026720E" w:rsidRPr="0026720E" w14:paraId="7911FF99" w14:textId="77777777" w:rsidTr="00E477E5">
        <w:tc>
          <w:tcPr>
            <w:tcW w:w="759" w:type="pct"/>
            <w:gridSpan w:val="2"/>
            <w:tcBorders>
              <w:top w:val="single" w:sz="12" w:space="0" w:color="auto"/>
              <w:bottom w:val="single" w:sz="6" w:space="0" w:color="auto"/>
            </w:tcBorders>
            <w:vAlign w:val="center"/>
          </w:tcPr>
          <w:p w14:paraId="1A789996" w14:textId="77777777" w:rsidR="00C3015F" w:rsidRPr="0026720E" w:rsidRDefault="00C3015F" w:rsidP="001C16B4">
            <w:pPr>
              <w:pStyle w:val="4-Tabbody-ENG"/>
            </w:pPr>
            <w:r w:rsidRPr="0026720E">
              <w:t>Langmuir</w:t>
            </w:r>
          </w:p>
        </w:tc>
        <w:tc>
          <w:tcPr>
            <w:tcW w:w="419" w:type="pct"/>
            <w:gridSpan w:val="2"/>
            <w:tcBorders>
              <w:top w:val="single" w:sz="12" w:space="0" w:color="auto"/>
            </w:tcBorders>
            <w:vAlign w:val="center"/>
          </w:tcPr>
          <w:p w14:paraId="1FA8DFE4" w14:textId="77777777" w:rsidR="00C3015F" w:rsidRPr="0026720E" w:rsidRDefault="00C3015F" w:rsidP="001C16B4">
            <w:pPr>
              <w:pStyle w:val="4-Tabbody-ENG"/>
            </w:pPr>
          </w:p>
        </w:tc>
        <w:tc>
          <w:tcPr>
            <w:tcW w:w="1309" w:type="pct"/>
            <w:gridSpan w:val="5"/>
            <w:tcBorders>
              <w:top w:val="single" w:sz="12" w:space="0" w:color="auto"/>
              <w:bottom w:val="single" w:sz="6" w:space="0" w:color="auto"/>
            </w:tcBorders>
            <w:vAlign w:val="center"/>
          </w:tcPr>
          <w:p w14:paraId="2CA203D9" w14:textId="77777777" w:rsidR="00C3015F" w:rsidRPr="0026720E" w:rsidRDefault="00C3015F" w:rsidP="001C16B4">
            <w:pPr>
              <w:pStyle w:val="4-Tabbody-ENG"/>
            </w:pPr>
            <w:r w:rsidRPr="0026720E">
              <w:t>Freundlich</w:t>
            </w:r>
          </w:p>
        </w:tc>
        <w:tc>
          <w:tcPr>
            <w:tcW w:w="1225" w:type="pct"/>
            <w:gridSpan w:val="5"/>
            <w:tcBorders>
              <w:top w:val="single" w:sz="12" w:space="0" w:color="auto"/>
            </w:tcBorders>
            <w:vAlign w:val="center"/>
          </w:tcPr>
          <w:p w14:paraId="5E7A6363" w14:textId="77777777" w:rsidR="00C3015F" w:rsidRPr="0026720E" w:rsidRDefault="00C3015F" w:rsidP="001C16B4">
            <w:pPr>
              <w:pStyle w:val="4-Tabbody-ENG"/>
            </w:pPr>
            <w:proofErr w:type="spellStart"/>
            <w:r w:rsidRPr="0026720E">
              <w:t>Tempkin</w:t>
            </w:r>
            <w:proofErr w:type="spellEnd"/>
          </w:p>
        </w:tc>
        <w:tc>
          <w:tcPr>
            <w:tcW w:w="1287" w:type="pct"/>
            <w:gridSpan w:val="3"/>
            <w:tcBorders>
              <w:top w:val="single" w:sz="12" w:space="0" w:color="auto"/>
              <w:bottom w:val="single" w:sz="6" w:space="0" w:color="auto"/>
            </w:tcBorders>
          </w:tcPr>
          <w:p w14:paraId="1843B8B7" w14:textId="59CB9F3C" w:rsidR="00C3015F" w:rsidRPr="0026720E" w:rsidRDefault="00C3015F" w:rsidP="001C16B4">
            <w:pPr>
              <w:pStyle w:val="4-Tabbody-ENG"/>
            </w:pPr>
            <w:r w:rsidRPr="0026720E">
              <w:rPr>
                <w:rFonts w:hint="eastAsia"/>
              </w:rPr>
              <w:t>D</w:t>
            </w:r>
            <w:r w:rsidR="0076211F" w:rsidRPr="0026720E">
              <w:t>–</w:t>
            </w:r>
            <w:r w:rsidRPr="0026720E">
              <w:t>R</w:t>
            </w:r>
          </w:p>
        </w:tc>
      </w:tr>
      <w:tr w:rsidR="0026720E" w:rsidRPr="0026720E" w14:paraId="25D176C1" w14:textId="77777777" w:rsidTr="00E477E5">
        <w:tc>
          <w:tcPr>
            <w:tcW w:w="379" w:type="pct"/>
            <w:tcBorders>
              <w:top w:val="single" w:sz="6" w:space="0" w:color="auto"/>
              <w:bottom w:val="single" w:sz="6" w:space="0" w:color="auto"/>
            </w:tcBorders>
            <w:vAlign w:val="center"/>
          </w:tcPr>
          <w:p w14:paraId="4287767C" w14:textId="77777777" w:rsidR="00C3015F" w:rsidRPr="0026720E" w:rsidRDefault="00445426" w:rsidP="001C16B4">
            <w:pPr>
              <w:pStyle w:val="4-Tabbody-ENG"/>
            </w:pPr>
            <m:oMathPara>
              <m:oMath>
                <m:sSub>
                  <m:sSubPr>
                    <m:ctrlPr>
                      <w:rPr>
                        <w:rFonts w:ascii="Cambria Math" w:hAnsi="Cambria Math"/>
                        <w:i/>
                      </w:rPr>
                    </m:ctrlPr>
                  </m:sSubPr>
                  <m:e>
                    <m:r>
                      <w:rPr>
                        <w:rFonts w:ascii="Cambria Math" w:hAnsi="Cambria Math"/>
                      </w:rPr>
                      <m:t>k</m:t>
                    </m:r>
                  </m:e>
                  <m:sub>
                    <m:r>
                      <w:rPr>
                        <w:rFonts w:ascii="Cambria Math" w:hAnsi="Cambria Math"/>
                      </w:rPr>
                      <m:t>L</m:t>
                    </m:r>
                  </m:sub>
                </m:sSub>
              </m:oMath>
            </m:oMathPara>
          </w:p>
          <w:p w14:paraId="61D94E15" w14:textId="77777777" w:rsidR="00C3015F" w:rsidRPr="0026720E" w:rsidRDefault="00C3015F" w:rsidP="001C16B4">
            <w:pPr>
              <w:pStyle w:val="4-Tabbody-ENG"/>
            </w:pPr>
            <m:oMath>
              <m:r>
                <m:rPr>
                  <m:sty m:val="p"/>
                </m:rPr>
                <w:rPr>
                  <w:rFonts w:ascii="Cambria Math" w:hAnsi="Cambria Math"/>
                </w:rPr>
                <m:t>(L/mg</m:t>
              </m:r>
            </m:oMath>
            <w:r w:rsidRPr="0026720E">
              <w:t>)</w:t>
            </w:r>
          </w:p>
        </w:tc>
        <w:tc>
          <w:tcPr>
            <w:tcW w:w="380" w:type="pct"/>
            <w:tcBorders>
              <w:top w:val="single" w:sz="6" w:space="0" w:color="auto"/>
              <w:bottom w:val="single" w:sz="6" w:space="0" w:color="auto"/>
            </w:tcBorders>
            <w:vAlign w:val="center"/>
          </w:tcPr>
          <w:p w14:paraId="68957011" w14:textId="77777777" w:rsidR="00C3015F" w:rsidRPr="0026720E" w:rsidRDefault="00445426" w:rsidP="001C16B4">
            <w:pPr>
              <w:pStyle w:val="4-Tabbody-ENG"/>
            </w:pPr>
            <m:oMathPara>
              <m:oMath>
                <m:sSub>
                  <m:sSubPr>
                    <m:ctrlPr>
                      <w:rPr>
                        <w:rFonts w:ascii="Cambria Math" w:hAnsi="Cambria Math"/>
                        <w:i/>
                      </w:rPr>
                    </m:ctrlPr>
                  </m:sSubPr>
                  <m:e>
                    <m:r>
                      <w:rPr>
                        <w:rFonts w:ascii="Cambria Math" w:hAnsi="Cambria Math"/>
                      </w:rPr>
                      <m:t>q</m:t>
                    </m:r>
                  </m:e>
                  <m:sub>
                    <m:r>
                      <w:rPr>
                        <w:rFonts w:ascii="Cambria Math" w:hAnsi="Cambria Math"/>
                      </w:rPr>
                      <m:t>m</m:t>
                    </m:r>
                  </m:sub>
                </m:sSub>
              </m:oMath>
            </m:oMathPara>
          </w:p>
          <w:p w14:paraId="47F9205B" w14:textId="77777777" w:rsidR="00C3015F" w:rsidRPr="0026720E" w:rsidRDefault="00C3015F" w:rsidP="001C16B4">
            <w:pPr>
              <w:pStyle w:val="4-Tabbody-ENG"/>
            </w:pPr>
            <m:oMathPara>
              <m:oMath>
                <m:r>
                  <w:rPr>
                    <w:rFonts w:ascii="Cambria Math" w:hAnsi="Cambria Math"/>
                  </w:rPr>
                  <m:t>(mg/g)</m:t>
                </m:r>
              </m:oMath>
            </m:oMathPara>
          </w:p>
        </w:tc>
        <w:tc>
          <w:tcPr>
            <w:tcW w:w="317" w:type="pct"/>
            <w:tcBorders>
              <w:top w:val="single" w:sz="6" w:space="0" w:color="auto"/>
              <w:bottom w:val="single" w:sz="6" w:space="0" w:color="auto"/>
            </w:tcBorders>
            <w:vAlign w:val="center"/>
          </w:tcPr>
          <w:p w14:paraId="3B5B1747" w14:textId="77777777" w:rsidR="00C3015F" w:rsidRPr="0026720E" w:rsidRDefault="00C3015F" w:rsidP="001C16B4">
            <w:pPr>
              <w:pStyle w:val="4-Tabbody-ENG"/>
            </w:pPr>
            <w:r w:rsidRPr="0076211F">
              <w:rPr>
                <w:rFonts w:hint="eastAsia"/>
                <w:i/>
                <w:iCs/>
              </w:rPr>
              <w:t>R</w:t>
            </w:r>
            <w:r w:rsidRPr="0026720E">
              <w:rPr>
                <w:vertAlign w:val="superscript"/>
              </w:rPr>
              <w:t>2</w:t>
            </w:r>
          </w:p>
        </w:tc>
        <w:tc>
          <w:tcPr>
            <w:tcW w:w="105" w:type="pct"/>
            <w:gridSpan w:val="2"/>
            <w:vAlign w:val="center"/>
          </w:tcPr>
          <w:p w14:paraId="3098DEED" w14:textId="77777777" w:rsidR="00C3015F" w:rsidRPr="0026720E" w:rsidRDefault="00C3015F" w:rsidP="001C16B4">
            <w:pPr>
              <w:pStyle w:val="4-Tabbody-ENG"/>
            </w:pPr>
          </w:p>
        </w:tc>
        <w:tc>
          <w:tcPr>
            <w:tcW w:w="717" w:type="pct"/>
            <w:tcBorders>
              <w:bottom w:val="single" w:sz="6" w:space="0" w:color="auto"/>
            </w:tcBorders>
            <w:vAlign w:val="center"/>
          </w:tcPr>
          <w:p w14:paraId="73AD05A8" w14:textId="77777777" w:rsidR="00C3015F" w:rsidRPr="0026720E" w:rsidRDefault="00445426" w:rsidP="001C16B4">
            <w:pPr>
              <w:pStyle w:val="4-Tabbody-ENG"/>
            </w:pPr>
            <m:oMathPara>
              <m:oMathParaPr>
                <m:jc m:val="center"/>
              </m:oMathParaPr>
              <m:oMath>
                <m:sSub>
                  <m:sSubPr>
                    <m:ctrlPr>
                      <w:rPr>
                        <w:rFonts w:ascii="Cambria Math" w:hAnsi="Cambria Math"/>
                        <w:i/>
                      </w:rPr>
                    </m:ctrlPr>
                  </m:sSubPr>
                  <m:e>
                    <m:r>
                      <w:rPr>
                        <w:rFonts w:ascii="Cambria Math" w:hAnsi="Cambria Math"/>
                      </w:rPr>
                      <m:t>k</m:t>
                    </m:r>
                  </m:e>
                  <m:sub>
                    <m:r>
                      <w:rPr>
                        <w:rFonts w:ascii="Cambria Math" w:hAnsi="Cambria Math"/>
                      </w:rPr>
                      <m:t>F</m:t>
                    </m:r>
                  </m:sub>
                </m:sSub>
              </m:oMath>
            </m:oMathPara>
          </w:p>
          <w:p w14:paraId="4FBEFCE2" w14:textId="77777777" w:rsidR="00C3015F" w:rsidRPr="0026720E" w:rsidRDefault="00C3015F" w:rsidP="001C16B4">
            <w:pPr>
              <w:pStyle w:val="4-Tabbody-ENG"/>
            </w:pPr>
            <m:oMathPara>
              <m:oMath>
                <m:r>
                  <m:rPr>
                    <m:sty m:val="p"/>
                  </m:rPr>
                  <w:rPr>
                    <w:rFonts w:ascii="Cambria Math" w:hAnsi="Cambria Math"/>
                  </w:rPr>
                  <m:t>[mg/g</m:t>
                </m:r>
                <m:sSup>
                  <m:sSupPr>
                    <m:ctrlPr>
                      <w:rPr>
                        <w:rFonts w:ascii="Cambria Math" w:hAnsi="Cambria Math"/>
                        <w:vertAlign w:val="superscript"/>
                      </w:rPr>
                    </m:ctrlPr>
                  </m:sSupPr>
                  <m:e>
                    <m:r>
                      <m:rPr>
                        <m:sty m:val="p"/>
                      </m:rPr>
                      <w:rPr>
                        <w:rFonts w:ascii="Cambria Math" w:hAnsi="Cambria Math"/>
                      </w:rPr>
                      <m:t>(L∙mg)</m:t>
                    </m:r>
                  </m:e>
                  <m:sup>
                    <m:r>
                      <m:rPr>
                        <m:sty m:val="p"/>
                      </m:rPr>
                      <w:rPr>
                        <w:rFonts w:ascii="Cambria Math" w:hAnsi="Cambria Math"/>
                        <w:vertAlign w:val="superscript"/>
                      </w:rPr>
                      <m:t>1/n</m:t>
                    </m:r>
                  </m:sup>
                </m:sSup>
                <m:r>
                  <m:rPr>
                    <m:sty m:val="p"/>
                  </m:rPr>
                  <w:rPr>
                    <w:rFonts w:ascii="Cambria Math" w:hAnsi="Cambria Math"/>
                  </w:rPr>
                  <m:t>]</m:t>
                </m:r>
              </m:oMath>
            </m:oMathPara>
          </w:p>
        </w:tc>
        <w:tc>
          <w:tcPr>
            <w:tcW w:w="253" w:type="pct"/>
            <w:tcBorders>
              <w:bottom w:val="single" w:sz="6" w:space="0" w:color="auto"/>
            </w:tcBorders>
            <w:vAlign w:val="center"/>
          </w:tcPr>
          <w:p w14:paraId="6CF857DE" w14:textId="77777777" w:rsidR="00C3015F" w:rsidRPr="0026720E" w:rsidRDefault="00C3015F" w:rsidP="001C16B4">
            <w:pPr>
              <w:pStyle w:val="4-Tabbody-ENG"/>
            </w:pPr>
            <m:oMathPara>
              <m:oMath>
                <m:r>
                  <w:rPr>
                    <w:rFonts w:ascii="Cambria Math" w:hAnsi="Cambria Math"/>
                  </w:rPr>
                  <m:t>n</m:t>
                </m:r>
              </m:oMath>
            </m:oMathPara>
          </w:p>
        </w:tc>
        <w:tc>
          <w:tcPr>
            <w:tcW w:w="334" w:type="pct"/>
            <w:tcBorders>
              <w:bottom w:val="single" w:sz="6" w:space="0" w:color="auto"/>
            </w:tcBorders>
            <w:vAlign w:val="center"/>
          </w:tcPr>
          <w:p w14:paraId="0E4FE3D3" w14:textId="77777777" w:rsidR="00C3015F" w:rsidRPr="0026720E" w:rsidRDefault="00C3015F" w:rsidP="001C16B4">
            <w:pPr>
              <w:pStyle w:val="4-Tabbody-ENG"/>
            </w:pPr>
            <w:r w:rsidRPr="0076211F">
              <w:rPr>
                <w:rFonts w:hint="eastAsia"/>
                <w:i/>
                <w:iCs/>
              </w:rPr>
              <w:t>R</w:t>
            </w:r>
            <w:r w:rsidRPr="0026720E">
              <w:rPr>
                <w:vertAlign w:val="superscript"/>
              </w:rPr>
              <w:t>2</w:t>
            </w:r>
          </w:p>
        </w:tc>
        <w:tc>
          <w:tcPr>
            <w:tcW w:w="105" w:type="pct"/>
            <w:gridSpan w:val="2"/>
            <w:vAlign w:val="center"/>
          </w:tcPr>
          <w:p w14:paraId="29E3D904" w14:textId="77777777" w:rsidR="00C3015F" w:rsidRPr="0026720E" w:rsidRDefault="00C3015F" w:rsidP="001C16B4">
            <w:pPr>
              <w:pStyle w:val="4-Tabbody-ENG"/>
            </w:pPr>
          </w:p>
        </w:tc>
        <w:tc>
          <w:tcPr>
            <w:tcW w:w="321" w:type="pct"/>
            <w:tcBorders>
              <w:top w:val="single" w:sz="6" w:space="0" w:color="auto"/>
              <w:bottom w:val="single" w:sz="6" w:space="0" w:color="auto"/>
            </w:tcBorders>
            <w:vAlign w:val="center"/>
          </w:tcPr>
          <w:p w14:paraId="25092D3F" w14:textId="77777777" w:rsidR="00C3015F" w:rsidRPr="0026720E" w:rsidRDefault="00445426" w:rsidP="001C16B4">
            <w:pPr>
              <w:pStyle w:val="4-Tabbody-ENG"/>
            </w:pPr>
            <m:oMathPara>
              <m:oMath>
                <m:sSub>
                  <m:sSubPr>
                    <m:ctrlPr>
                      <w:rPr>
                        <w:rFonts w:ascii="Cambria Math" w:hAnsi="Cambria Math"/>
                        <w:i/>
                      </w:rPr>
                    </m:ctrlPr>
                  </m:sSubPr>
                  <m:e>
                    <m:r>
                      <w:rPr>
                        <w:rFonts w:ascii="Cambria Math" w:hAnsi="Cambria Math"/>
                      </w:rPr>
                      <m:t>k</m:t>
                    </m:r>
                  </m:e>
                  <m:sub>
                    <m:r>
                      <w:rPr>
                        <w:rFonts w:ascii="Cambria Math" w:hAnsi="Cambria Math"/>
                      </w:rPr>
                      <m:t>T</m:t>
                    </m:r>
                  </m:sub>
                </m:sSub>
              </m:oMath>
            </m:oMathPara>
          </w:p>
        </w:tc>
        <w:tc>
          <w:tcPr>
            <w:tcW w:w="385" w:type="pct"/>
            <w:tcBorders>
              <w:top w:val="single" w:sz="6" w:space="0" w:color="auto"/>
              <w:bottom w:val="single" w:sz="6" w:space="0" w:color="auto"/>
            </w:tcBorders>
            <w:vAlign w:val="center"/>
          </w:tcPr>
          <w:p w14:paraId="6C19859A" w14:textId="77777777" w:rsidR="00C3015F" w:rsidRPr="0026720E" w:rsidRDefault="00445426" w:rsidP="001C16B4">
            <w:pPr>
              <w:pStyle w:val="4-Tabbody-ENG"/>
            </w:pPr>
            <m:oMathPara>
              <m:oMath>
                <m:sSub>
                  <m:sSubPr>
                    <m:ctrlPr>
                      <w:rPr>
                        <w:rFonts w:ascii="Cambria Math" w:hAnsi="Cambria Math"/>
                        <w:i/>
                      </w:rPr>
                    </m:ctrlPr>
                  </m:sSubPr>
                  <m:e>
                    <m:r>
                      <w:rPr>
                        <w:rFonts w:ascii="Cambria Math" w:hAnsi="Cambria Math"/>
                      </w:rPr>
                      <m:t>q</m:t>
                    </m:r>
                  </m:e>
                  <m:sub>
                    <m:r>
                      <w:rPr>
                        <w:rFonts w:ascii="Cambria Math" w:hAnsi="Cambria Math"/>
                      </w:rPr>
                      <m:t>m</m:t>
                    </m:r>
                  </m:sub>
                </m:sSub>
              </m:oMath>
            </m:oMathPara>
          </w:p>
          <w:p w14:paraId="2A275C3C" w14:textId="77777777" w:rsidR="00C3015F" w:rsidRPr="0026720E" w:rsidRDefault="00C3015F" w:rsidP="001C16B4">
            <w:pPr>
              <w:pStyle w:val="4-Tabbody-ENG"/>
            </w:pPr>
            <m:oMathPara>
              <m:oMath>
                <m:r>
                  <w:rPr>
                    <w:rFonts w:ascii="Cambria Math" w:hAnsi="Cambria Math"/>
                  </w:rPr>
                  <m:t>(mg/g)</m:t>
                </m:r>
              </m:oMath>
            </m:oMathPara>
          </w:p>
        </w:tc>
        <w:tc>
          <w:tcPr>
            <w:tcW w:w="311" w:type="pct"/>
            <w:tcBorders>
              <w:top w:val="single" w:sz="6" w:space="0" w:color="auto"/>
              <w:bottom w:val="single" w:sz="6" w:space="0" w:color="auto"/>
            </w:tcBorders>
            <w:vAlign w:val="center"/>
          </w:tcPr>
          <w:p w14:paraId="430A23DE" w14:textId="77777777" w:rsidR="00C3015F" w:rsidRPr="0026720E" w:rsidRDefault="00C3015F" w:rsidP="001C16B4">
            <w:pPr>
              <w:pStyle w:val="4-Tabbody-ENG"/>
            </w:pPr>
            <w:r w:rsidRPr="0076211F">
              <w:rPr>
                <w:rFonts w:hint="eastAsia"/>
                <w:i/>
                <w:iCs/>
              </w:rPr>
              <w:t>R</w:t>
            </w:r>
            <w:r w:rsidRPr="0026720E">
              <w:rPr>
                <w:vertAlign w:val="superscript"/>
              </w:rPr>
              <w:t>2</w:t>
            </w:r>
          </w:p>
        </w:tc>
        <w:tc>
          <w:tcPr>
            <w:tcW w:w="105" w:type="pct"/>
            <w:vAlign w:val="center"/>
          </w:tcPr>
          <w:p w14:paraId="770ECCB8" w14:textId="77777777" w:rsidR="00C3015F" w:rsidRPr="0026720E" w:rsidRDefault="00C3015F" w:rsidP="001C16B4">
            <w:pPr>
              <w:pStyle w:val="4-Tabbody-ENG"/>
            </w:pPr>
          </w:p>
        </w:tc>
        <w:tc>
          <w:tcPr>
            <w:tcW w:w="464" w:type="pct"/>
            <w:tcBorders>
              <w:top w:val="single" w:sz="6" w:space="0" w:color="auto"/>
              <w:bottom w:val="single" w:sz="6" w:space="0" w:color="auto"/>
            </w:tcBorders>
            <w:vAlign w:val="center"/>
          </w:tcPr>
          <w:p w14:paraId="0DD09D37" w14:textId="77777777" w:rsidR="00C3015F" w:rsidRPr="0026720E" w:rsidRDefault="00445426" w:rsidP="001C16B4">
            <w:pPr>
              <w:pStyle w:val="4-Tabbody-ENG"/>
            </w:pPr>
            <m:oMathPara>
              <m:oMath>
                <m:sSub>
                  <m:sSubPr>
                    <m:ctrlPr>
                      <w:rPr>
                        <w:rFonts w:ascii="Cambria Math" w:hAnsi="Cambria Math"/>
                        <w:i/>
                      </w:rPr>
                    </m:ctrlPr>
                  </m:sSubPr>
                  <m:e>
                    <m:r>
                      <w:rPr>
                        <w:rFonts w:ascii="Cambria Math" w:hAnsi="Cambria Math"/>
                      </w:rPr>
                      <m:t>q</m:t>
                    </m:r>
                  </m:e>
                  <m:sub>
                    <m:r>
                      <w:rPr>
                        <w:rFonts w:ascii="Cambria Math" w:hAnsi="Cambria Math"/>
                      </w:rPr>
                      <m:t>m</m:t>
                    </m:r>
                  </m:sub>
                </m:sSub>
              </m:oMath>
            </m:oMathPara>
          </w:p>
          <w:p w14:paraId="172C0FE3" w14:textId="77777777" w:rsidR="00C3015F" w:rsidRPr="0026720E" w:rsidRDefault="00C3015F" w:rsidP="001C16B4">
            <w:pPr>
              <w:pStyle w:val="4-Tabbody-ENG"/>
            </w:pPr>
            <m:oMathPara>
              <m:oMath>
                <m:r>
                  <w:rPr>
                    <w:rFonts w:ascii="Cambria Math" w:hAnsi="Cambria Math"/>
                  </w:rPr>
                  <m:t>(m</m:t>
                </m:r>
                <m:r>
                  <w:rPr>
                    <w:rFonts w:ascii="Cambria Math" w:hAnsi="Cambria Math" w:hint="eastAsia"/>
                  </w:rPr>
                  <m:t>mol</m:t>
                </m:r>
                <m:r>
                  <w:rPr>
                    <w:rFonts w:ascii="Cambria Math" w:hAnsi="Cambria Math"/>
                  </w:rPr>
                  <m:t>/g)</m:t>
                </m:r>
              </m:oMath>
            </m:oMathPara>
          </w:p>
        </w:tc>
        <w:tc>
          <w:tcPr>
            <w:tcW w:w="506" w:type="pct"/>
            <w:tcBorders>
              <w:top w:val="single" w:sz="6" w:space="0" w:color="auto"/>
              <w:bottom w:val="single" w:sz="6" w:space="0" w:color="auto"/>
            </w:tcBorders>
            <w:vAlign w:val="center"/>
          </w:tcPr>
          <w:p w14:paraId="106A4731" w14:textId="77777777" w:rsidR="00C3015F" w:rsidRPr="0026720E" w:rsidRDefault="00C3015F" w:rsidP="001C16B4">
            <w:pPr>
              <w:pStyle w:val="4-Tabbody-ENG"/>
            </w:pPr>
            <m:oMathPara>
              <m:oMath>
                <m:r>
                  <w:rPr>
                    <w:rFonts w:ascii="Cambria Math" w:hAnsi="Cambria Math"/>
                  </w:rPr>
                  <m:t>β</m:t>
                </m:r>
              </m:oMath>
            </m:oMathPara>
          </w:p>
          <w:p w14:paraId="5839E077" w14:textId="77777777" w:rsidR="00C3015F" w:rsidRPr="0026720E" w:rsidRDefault="00445426" w:rsidP="001C16B4">
            <w:pPr>
              <w:pStyle w:val="4-Tabbody-ENG"/>
            </w:pPr>
            <m:oMathPara>
              <m:oMath>
                <m:sSup>
                  <m:sSupPr>
                    <m:ctrlPr>
                      <w:rPr>
                        <w:rFonts w:ascii="Cambria Math" w:hAnsi="Cambria Math"/>
                      </w:rPr>
                    </m:ctrlPr>
                  </m:sSupPr>
                  <m:e>
                    <m:r>
                      <m:rPr>
                        <m:sty m:val="p"/>
                      </m:rPr>
                      <w:rPr>
                        <w:rFonts w:ascii="Cambria Math" w:hAnsi="Cambria Math" w:hint="eastAsia"/>
                      </w:rPr>
                      <m:t>mol</m:t>
                    </m:r>
                  </m:e>
                  <m:sup>
                    <m:r>
                      <w:rPr>
                        <w:rFonts w:ascii="Cambria Math" w:hAnsi="Cambria Math"/>
                      </w:rPr>
                      <m:t>2</m:t>
                    </m:r>
                  </m:sup>
                </m:sSup>
                <m:r>
                  <m:rPr>
                    <m:sty m:val="p"/>
                  </m:rPr>
                  <w:rPr>
                    <w:rFonts w:ascii="Cambria Math" w:hAnsi="Cambria Math"/>
                  </w:rPr>
                  <m:t>/</m:t>
                </m:r>
                <m:sSup>
                  <m:sSupPr>
                    <m:ctrlPr>
                      <w:rPr>
                        <w:rFonts w:ascii="Cambria Math" w:hAnsi="Cambria Math"/>
                      </w:rPr>
                    </m:ctrlPr>
                  </m:sSupPr>
                  <m:e>
                    <m:r>
                      <m:rPr>
                        <m:sty m:val="p"/>
                      </m:rPr>
                      <w:rPr>
                        <w:rFonts w:ascii="Cambria Math" w:hAnsi="Cambria Math" w:hint="eastAsia"/>
                      </w:rPr>
                      <m:t>k</m:t>
                    </m:r>
                    <m:r>
                      <m:rPr>
                        <m:sty m:val="p"/>
                      </m:rPr>
                      <w:rPr>
                        <w:rFonts w:ascii="Cambria Math" w:hAnsi="Cambria Math"/>
                      </w:rPr>
                      <m:t>J</m:t>
                    </m:r>
                  </m:e>
                  <m:sup>
                    <m:r>
                      <w:rPr>
                        <w:rFonts w:ascii="Cambria Math" w:hAnsi="Cambria Math"/>
                      </w:rPr>
                      <m:t>-2</m:t>
                    </m:r>
                  </m:sup>
                </m:sSup>
              </m:oMath>
            </m:oMathPara>
          </w:p>
        </w:tc>
        <w:tc>
          <w:tcPr>
            <w:tcW w:w="317" w:type="pct"/>
            <w:tcBorders>
              <w:top w:val="single" w:sz="6" w:space="0" w:color="auto"/>
              <w:bottom w:val="single" w:sz="6" w:space="0" w:color="auto"/>
            </w:tcBorders>
            <w:vAlign w:val="center"/>
          </w:tcPr>
          <w:p w14:paraId="3F6521E0" w14:textId="77777777" w:rsidR="00C3015F" w:rsidRPr="0026720E" w:rsidRDefault="00C3015F" w:rsidP="001C16B4">
            <w:pPr>
              <w:pStyle w:val="4-Tabbody-ENG"/>
            </w:pPr>
            <w:r w:rsidRPr="0076211F">
              <w:rPr>
                <w:rFonts w:hint="eastAsia"/>
                <w:i/>
                <w:iCs/>
              </w:rPr>
              <w:t>R</w:t>
            </w:r>
            <w:r w:rsidRPr="0026720E">
              <w:rPr>
                <w:vertAlign w:val="superscript"/>
              </w:rPr>
              <w:t>2</w:t>
            </w:r>
          </w:p>
        </w:tc>
      </w:tr>
      <w:tr w:rsidR="0026720E" w:rsidRPr="0026720E" w14:paraId="61BF308A" w14:textId="77777777" w:rsidTr="00E477E5">
        <w:tc>
          <w:tcPr>
            <w:tcW w:w="379" w:type="pct"/>
            <w:tcBorders>
              <w:top w:val="single" w:sz="6" w:space="0" w:color="auto"/>
              <w:bottom w:val="single" w:sz="12" w:space="0" w:color="auto"/>
            </w:tcBorders>
            <w:vAlign w:val="center"/>
          </w:tcPr>
          <w:p w14:paraId="6FC57E8F" w14:textId="77777777" w:rsidR="00C3015F" w:rsidRPr="0026720E" w:rsidRDefault="00C3015F" w:rsidP="001C16B4">
            <w:pPr>
              <w:pStyle w:val="4-Tabbody-ENG"/>
            </w:pPr>
            <w:r w:rsidRPr="0026720E">
              <w:rPr>
                <w:rFonts w:hint="eastAsia"/>
              </w:rPr>
              <w:t>1</w:t>
            </w:r>
            <w:r w:rsidRPr="0026720E">
              <w:t>.00</w:t>
            </w:r>
          </w:p>
        </w:tc>
        <w:tc>
          <w:tcPr>
            <w:tcW w:w="380" w:type="pct"/>
            <w:tcBorders>
              <w:top w:val="single" w:sz="6" w:space="0" w:color="auto"/>
              <w:bottom w:val="single" w:sz="12" w:space="0" w:color="auto"/>
            </w:tcBorders>
            <w:vAlign w:val="center"/>
          </w:tcPr>
          <w:p w14:paraId="069539DA" w14:textId="77777777" w:rsidR="00C3015F" w:rsidRPr="0026720E" w:rsidRDefault="00C3015F" w:rsidP="001C16B4">
            <w:pPr>
              <w:pStyle w:val="4-Tabbody-ENG"/>
            </w:pPr>
            <w:r w:rsidRPr="0026720E">
              <w:rPr>
                <w:rFonts w:hint="eastAsia"/>
              </w:rPr>
              <w:t>5</w:t>
            </w:r>
            <w:r w:rsidRPr="0026720E">
              <w:t>7.80</w:t>
            </w:r>
          </w:p>
        </w:tc>
        <w:tc>
          <w:tcPr>
            <w:tcW w:w="317" w:type="pct"/>
            <w:tcBorders>
              <w:top w:val="single" w:sz="6" w:space="0" w:color="auto"/>
              <w:bottom w:val="single" w:sz="12" w:space="0" w:color="auto"/>
            </w:tcBorders>
            <w:vAlign w:val="center"/>
          </w:tcPr>
          <w:p w14:paraId="25D90417" w14:textId="77777777" w:rsidR="00C3015F" w:rsidRPr="0026720E" w:rsidRDefault="00C3015F" w:rsidP="001C16B4">
            <w:pPr>
              <w:pStyle w:val="4-Tabbody-ENG"/>
            </w:pPr>
            <w:r w:rsidRPr="0026720E">
              <w:rPr>
                <w:rFonts w:hint="eastAsia"/>
              </w:rPr>
              <w:t>0</w:t>
            </w:r>
            <w:r w:rsidRPr="0026720E">
              <w:t>.995</w:t>
            </w:r>
          </w:p>
        </w:tc>
        <w:tc>
          <w:tcPr>
            <w:tcW w:w="105" w:type="pct"/>
            <w:gridSpan w:val="2"/>
            <w:tcBorders>
              <w:bottom w:val="single" w:sz="12" w:space="0" w:color="auto"/>
            </w:tcBorders>
            <w:vAlign w:val="center"/>
          </w:tcPr>
          <w:p w14:paraId="117E9A0F" w14:textId="77777777" w:rsidR="00C3015F" w:rsidRPr="0026720E" w:rsidRDefault="00C3015F" w:rsidP="001C16B4">
            <w:pPr>
              <w:pStyle w:val="4-Tabbody-ENG"/>
            </w:pPr>
          </w:p>
        </w:tc>
        <w:tc>
          <w:tcPr>
            <w:tcW w:w="717" w:type="pct"/>
            <w:tcBorders>
              <w:top w:val="single" w:sz="6" w:space="0" w:color="auto"/>
              <w:bottom w:val="single" w:sz="12" w:space="0" w:color="auto"/>
            </w:tcBorders>
            <w:vAlign w:val="center"/>
          </w:tcPr>
          <w:p w14:paraId="40E8F1AA" w14:textId="77777777" w:rsidR="00C3015F" w:rsidRPr="0026720E" w:rsidRDefault="00C3015F" w:rsidP="001C16B4">
            <w:pPr>
              <w:pStyle w:val="4-Tabbody-ENG"/>
            </w:pPr>
            <w:r w:rsidRPr="0026720E">
              <w:rPr>
                <w:rFonts w:hint="eastAsia"/>
              </w:rPr>
              <w:t>3</w:t>
            </w:r>
            <w:r w:rsidRPr="0026720E">
              <w:t>1.83</w:t>
            </w:r>
          </w:p>
        </w:tc>
        <w:tc>
          <w:tcPr>
            <w:tcW w:w="253" w:type="pct"/>
            <w:tcBorders>
              <w:top w:val="single" w:sz="6" w:space="0" w:color="auto"/>
              <w:bottom w:val="single" w:sz="12" w:space="0" w:color="auto"/>
            </w:tcBorders>
            <w:vAlign w:val="center"/>
          </w:tcPr>
          <w:p w14:paraId="438BD3C9" w14:textId="77777777" w:rsidR="00C3015F" w:rsidRPr="0026720E" w:rsidRDefault="00C3015F" w:rsidP="001C16B4">
            <w:pPr>
              <w:pStyle w:val="4-Tabbody-ENG"/>
            </w:pPr>
            <w:r w:rsidRPr="0026720E">
              <w:rPr>
                <w:rFonts w:hint="eastAsia"/>
              </w:rPr>
              <w:t>4</w:t>
            </w:r>
            <w:r w:rsidRPr="0026720E">
              <w:t>.41</w:t>
            </w:r>
          </w:p>
        </w:tc>
        <w:tc>
          <w:tcPr>
            <w:tcW w:w="334" w:type="pct"/>
            <w:tcBorders>
              <w:top w:val="single" w:sz="6" w:space="0" w:color="auto"/>
              <w:bottom w:val="single" w:sz="12" w:space="0" w:color="auto"/>
            </w:tcBorders>
            <w:vAlign w:val="center"/>
          </w:tcPr>
          <w:p w14:paraId="6648955E" w14:textId="77777777" w:rsidR="00C3015F" w:rsidRPr="0026720E" w:rsidRDefault="00C3015F" w:rsidP="001C16B4">
            <w:pPr>
              <w:pStyle w:val="4-Tabbody-ENG"/>
            </w:pPr>
            <w:r w:rsidRPr="0026720E">
              <w:rPr>
                <w:rFonts w:hint="eastAsia"/>
              </w:rPr>
              <w:t>0</w:t>
            </w:r>
            <w:r w:rsidRPr="0026720E">
              <w:t>.999</w:t>
            </w:r>
          </w:p>
        </w:tc>
        <w:tc>
          <w:tcPr>
            <w:tcW w:w="105" w:type="pct"/>
            <w:gridSpan w:val="2"/>
            <w:tcBorders>
              <w:bottom w:val="single" w:sz="12" w:space="0" w:color="auto"/>
            </w:tcBorders>
            <w:vAlign w:val="center"/>
          </w:tcPr>
          <w:p w14:paraId="09971EB4" w14:textId="77777777" w:rsidR="00C3015F" w:rsidRPr="0026720E" w:rsidRDefault="00C3015F" w:rsidP="001C16B4">
            <w:pPr>
              <w:pStyle w:val="4-Tabbody-ENG"/>
            </w:pPr>
          </w:p>
        </w:tc>
        <w:tc>
          <w:tcPr>
            <w:tcW w:w="321" w:type="pct"/>
            <w:tcBorders>
              <w:top w:val="single" w:sz="6" w:space="0" w:color="auto"/>
              <w:bottom w:val="single" w:sz="12" w:space="0" w:color="auto"/>
            </w:tcBorders>
            <w:vAlign w:val="center"/>
          </w:tcPr>
          <w:p w14:paraId="058193EB" w14:textId="77777777" w:rsidR="00C3015F" w:rsidRPr="0026720E" w:rsidRDefault="00C3015F" w:rsidP="001C16B4">
            <w:pPr>
              <w:pStyle w:val="4-Tabbody-ENG"/>
            </w:pPr>
            <w:r w:rsidRPr="0026720E">
              <w:rPr>
                <w:rFonts w:hint="eastAsia"/>
              </w:rPr>
              <w:t>7</w:t>
            </w:r>
            <w:r w:rsidRPr="0026720E">
              <w:t>6.38</w:t>
            </w:r>
          </w:p>
        </w:tc>
        <w:tc>
          <w:tcPr>
            <w:tcW w:w="385" w:type="pct"/>
            <w:tcBorders>
              <w:top w:val="single" w:sz="6" w:space="0" w:color="auto"/>
              <w:bottom w:val="single" w:sz="12" w:space="0" w:color="auto"/>
            </w:tcBorders>
            <w:vAlign w:val="center"/>
          </w:tcPr>
          <w:p w14:paraId="57145E82" w14:textId="77777777" w:rsidR="00C3015F" w:rsidRPr="0026720E" w:rsidRDefault="00C3015F" w:rsidP="001C16B4">
            <w:pPr>
              <w:pStyle w:val="4-Tabbody-ENG"/>
            </w:pPr>
            <w:r w:rsidRPr="0026720E">
              <w:rPr>
                <w:rFonts w:hint="eastAsia"/>
              </w:rPr>
              <w:t>8</w:t>
            </w:r>
            <w:r w:rsidRPr="0026720E">
              <w:t>.38</w:t>
            </w:r>
          </w:p>
        </w:tc>
        <w:tc>
          <w:tcPr>
            <w:tcW w:w="311" w:type="pct"/>
            <w:tcBorders>
              <w:top w:val="single" w:sz="6" w:space="0" w:color="auto"/>
              <w:bottom w:val="single" w:sz="12" w:space="0" w:color="auto"/>
            </w:tcBorders>
            <w:vAlign w:val="center"/>
          </w:tcPr>
          <w:p w14:paraId="437A8DA6" w14:textId="77777777" w:rsidR="00C3015F" w:rsidRPr="0026720E" w:rsidRDefault="00C3015F" w:rsidP="001C16B4">
            <w:pPr>
              <w:pStyle w:val="4-Tabbody-ENG"/>
            </w:pPr>
            <w:r w:rsidRPr="0026720E">
              <w:rPr>
                <w:rFonts w:hint="eastAsia"/>
              </w:rPr>
              <w:t>0</w:t>
            </w:r>
            <w:r w:rsidRPr="0026720E">
              <w:t>.995</w:t>
            </w:r>
          </w:p>
        </w:tc>
        <w:tc>
          <w:tcPr>
            <w:tcW w:w="105" w:type="pct"/>
            <w:tcBorders>
              <w:bottom w:val="single" w:sz="12" w:space="0" w:color="auto"/>
            </w:tcBorders>
          </w:tcPr>
          <w:p w14:paraId="4F98ECC6" w14:textId="77777777" w:rsidR="00C3015F" w:rsidRPr="0026720E" w:rsidRDefault="00C3015F" w:rsidP="001C16B4">
            <w:pPr>
              <w:pStyle w:val="4-Tabbody-ENG"/>
            </w:pPr>
          </w:p>
        </w:tc>
        <w:tc>
          <w:tcPr>
            <w:tcW w:w="464" w:type="pct"/>
            <w:tcBorders>
              <w:top w:val="single" w:sz="6" w:space="0" w:color="auto"/>
              <w:bottom w:val="single" w:sz="12" w:space="0" w:color="auto"/>
            </w:tcBorders>
          </w:tcPr>
          <w:p w14:paraId="38C04F1B" w14:textId="77777777" w:rsidR="00C3015F" w:rsidRPr="0026720E" w:rsidRDefault="00C3015F" w:rsidP="001C16B4">
            <w:pPr>
              <w:pStyle w:val="4-Tabbody-ENG"/>
            </w:pPr>
            <w:r w:rsidRPr="0026720E">
              <w:rPr>
                <w:rFonts w:hint="eastAsia"/>
              </w:rPr>
              <w:t>0</w:t>
            </w:r>
            <w:r w:rsidRPr="0026720E">
              <w:t>.0402</w:t>
            </w:r>
          </w:p>
        </w:tc>
        <w:tc>
          <w:tcPr>
            <w:tcW w:w="506" w:type="pct"/>
            <w:tcBorders>
              <w:top w:val="single" w:sz="6" w:space="0" w:color="auto"/>
              <w:bottom w:val="single" w:sz="12" w:space="0" w:color="auto"/>
            </w:tcBorders>
          </w:tcPr>
          <w:p w14:paraId="44A79D38" w14:textId="77777777" w:rsidR="00C3015F" w:rsidRPr="0026720E" w:rsidRDefault="00C3015F" w:rsidP="001C16B4">
            <w:pPr>
              <w:pStyle w:val="4-Tabbody-ENG"/>
            </w:pPr>
            <w:r w:rsidRPr="0026720E">
              <w:rPr>
                <w:rFonts w:hint="eastAsia"/>
              </w:rPr>
              <w:t>0</w:t>
            </w:r>
            <w:r w:rsidRPr="0026720E">
              <w:t>.0517</w:t>
            </w:r>
          </w:p>
        </w:tc>
        <w:tc>
          <w:tcPr>
            <w:tcW w:w="317" w:type="pct"/>
            <w:tcBorders>
              <w:top w:val="single" w:sz="6" w:space="0" w:color="auto"/>
              <w:bottom w:val="single" w:sz="12" w:space="0" w:color="auto"/>
            </w:tcBorders>
          </w:tcPr>
          <w:p w14:paraId="6D474216" w14:textId="77777777" w:rsidR="00C3015F" w:rsidRPr="0026720E" w:rsidRDefault="00C3015F" w:rsidP="001C16B4">
            <w:pPr>
              <w:pStyle w:val="4-Tabbody-ENG"/>
            </w:pPr>
            <w:r w:rsidRPr="0026720E">
              <w:rPr>
                <w:rFonts w:hint="eastAsia"/>
              </w:rPr>
              <w:t>0</w:t>
            </w:r>
            <w:r w:rsidRPr="0026720E">
              <w:t>.999</w:t>
            </w:r>
          </w:p>
        </w:tc>
      </w:tr>
    </w:tbl>
    <w:p w14:paraId="7EB6035C" w14:textId="77777777" w:rsidR="00C3015F" w:rsidRPr="0026720E" w:rsidRDefault="00C3015F" w:rsidP="00A516BA">
      <w:pPr>
        <w:pStyle w:val="4-Fig-ENG"/>
        <w:rPr>
          <w:rFonts w:eastAsia="宋体"/>
          <w:color w:val="000000" w:themeColor="text1"/>
          <w:kern w:val="0"/>
          <w:szCs w:val="24"/>
          <w:shd w:val="clear" w:color="auto" w:fill="FCFCFC"/>
        </w:rPr>
      </w:pPr>
    </w:p>
    <w:p w14:paraId="27ABC979" w14:textId="1BDB76C2" w:rsidR="00C3015F" w:rsidRPr="0026720E" w:rsidRDefault="00C3015F" w:rsidP="001C16B4">
      <w:pPr>
        <w:pStyle w:val="4-Fig-ENG"/>
      </w:pPr>
      <w:r w:rsidRPr="0026720E">
        <w:rPr>
          <w:b/>
          <w:bCs/>
        </w:rPr>
        <w:t>Table</w:t>
      </w:r>
      <w:r w:rsidR="008F379F">
        <w:rPr>
          <w:b/>
          <w:bCs/>
        </w:rPr>
        <w:t xml:space="preserve"> S</w:t>
      </w:r>
      <w:r w:rsidR="00A516BA">
        <w:rPr>
          <w:b/>
          <w:bCs/>
        </w:rPr>
        <w:t>4</w:t>
      </w:r>
      <w:r w:rsidRPr="0026720E">
        <w:rPr>
          <w:b/>
          <w:bCs/>
        </w:rPr>
        <w:t xml:space="preserve"> </w:t>
      </w:r>
      <w:r w:rsidRPr="0026720E">
        <w:t xml:space="preserve">The values of thermodynamic parameter of </w:t>
      </w:r>
      <w:proofErr w:type="spellStart"/>
      <w:r w:rsidRPr="0026720E">
        <w:t>RhB</w:t>
      </w:r>
      <w:proofErr w:type="spellEnd"/>
      <w:r w:rsidRPr="0026720E">
        <w:t xml:space="preserve"> adsorption on ZN-CS.</w:t>
      </w:r>
    </w:p>
    <w:tbl>
      <w:tblPr>
        <w:tblStyle w:val="11"/>
        <w:tblW w:w="473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2"/>
        <w:gridCol w:w="2035"/>
        <w:gridCol w:w="2063"/>
        <w:gridCol w:w="1948"/>
        <w:gridCol w:w="2249"/>
      </w:tblGrid>
      <w:tr w:rsidR="0026720E" w:rsidRPr="0026720E" w14:paraId="792F1689" w14:textId="77777777" w:rsidTr="00E477E5">
        <w:tc>
          <w:tcPr>
            <w:tcW w:w="814" w:type="pct"/>
            <w:tcBorders>
              <w:top w:val="single" w:sz="12" w:space="0" w:color="auto"/>
              <w:bottom w:val="single" w:sz="6" w:space="0" w:color="auto"/>
            </w:tcBorders>
            <w:vAlign w:val="center"/>
          </w:tcPr>
          <w:p w14:paraId="045CF3EA" w14:textId="77777777" w:rsidR="00C3015F" w:rsidRPr="0026720E" w:rsidRDefault="00C3015F" w:rsidP="001C16B4">
            <w:pPr>
              <w:pStyle w:val="4-Tabbody-ENG"/>
            </w:pPr>
            <w:bookmarkStart w:id="101" w:name="OLE_LINK61"/>
            <w:bookmarkStart w:id="102" w:name="OLE_LINK62"/>
            <w:r w:rsidRPr="0026720E">
              <w:t>Temperature (K)</w:t>
            </w:r>
          </w:p>
        </w:tc>
        <w:tc>
          <w:tcPr>
            <w:tcW w:w="1027" w:type="pct"/>
            <w:tcBorders>
              <w:top w:val="single" w:sz="12" w:space="0" w:color="auto"/>
              <w:bottom w:val="single" w:sz="6" w:space="0" w:color="auto"/>
            </w:tcBorders>
            <w:vAlign w:val="center"/>
          </w:tcPr>
          <w:p w14:paraId="7D05FA06" w14:textId="77777777" w:rsidR="00C3015F" w:rsidRPr="0026720E" w:rsidRDefault="00C3015F" w:rsidP="001C16B4">
            <w:pPr>
              <w:pStyle w:val="4-Tabbody-ENG"/>
            </w:pPr>
            <m:oMathPara>
              <m:oMath>
                <m:r>
                  <w:rPr>
                    <w:rFonts w:ascii="Cambria Math" w:hAnsi="Cambria Math"/>
                  </w:rPr>
                  <m:t>ln</m:t>
                </m:r>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 xml:space="preserve"> </m:t>
                </m:r>
              </m:oMath>
            </m:oMathPara>
          </w:p>
          <w:p w14:paraId="6955A3D9" w14:textId="77777777" w:rsidR="00C3015F" w:rsidRPr="0026720E" w:rsidRDefault="00C3015F" w:rsidP="001C16B4">
            <w:pPr>
              <w:pStyle w:val="4-Tabbody-ENG"/>
            </w:pPr>
            <m:oMathPara>
              <m:oMath>
                <m:r>
                  <w:rPr>
                    <w:rFonts w:ascii="Cambria Math" w:hAnsi="Cambria Math"/>
                  </w:rPr>
                  <m:t>(KJ/mol)</m:t>
                </m:r>
              </m:oMath>
            </m:oMathPara>
          </w:p>
        </w:tc>
        <w:tc>
          <w:tcPr>
            <w:tcW w:w="1041" w:type="pct"/>
            <w:tcBorders>
              <w:top w:val="single" w:sz="12" w:space="0" w:color="auto"/>
              <w:bottom w:val="single" w:sz="6" w:space="0" w:color="auto"/>
            </w:tcBorders>
            <w:vAlign w:val="center"/>
          </w:tcPr>
          <w:p w14:paraId="157BBCC9" w14:textId="77777777" w:rsidR="00C3015F" w:rsidRPr="0026720E" w:rsidRDefault="00C3015F" w:rsidP="001C16B4">
            <w:pPr>
              <w:pStyle w:val="4-Tabbody-ENG"/>
            </w:pPr>
            <m:oMathPara>
              <m:oMath>
                <m:r>
                  <w:rPr>
                    <w:rFonts w:ascii="Cambria Math" w:hAnsi="Cambria Math"/>
                  </w:rPr>
                  <m:t>∆G°</m:t>
                </m:r>
              </m:oMath>
            </m:oMathPara>
          </w:p>
          <w:p w14:paraId="470635A6" w14:textId="77777777" w:rsidR="00C3015F" w:rsidRPr="0026720E" w:rsidRDefault="00C3015F" w:rsidP="001C16B4">
            <w:pPr>
              <w:pStyle w:val="4-Tabbody-ENG"/>
            </w:pPr>
            <m:oMathPara>
              <m:oMath>
                <m:r>
                  <w:rPr>
                    <w:rFonts w:ascii="Cambria Math" w:hAnsi="Cambria Math"/>
                  </w:rPr>
                  <m:t xml:space="preserve"> (KJ/mol)</m:t>
                </m:r>
              </m:oMath>
            </m:oMathPara>
          </w:p>
        </w:tc>
        <w:tc>
          <w:tcPr>
            <w:tcW w:w="983" w:type="pct"/>
            <w:tcBorders>
              <w:top w:val="single" w:sz="12" w:space="0" w:color="auto"/>
              <w:bottom w:val="single" w:sz="6" w:space="0" w:color="auto"/>
            </w:tcBorders>
            <w:vAlign w:val="center"/>
          </w:tcPr>
          <w:p w14:paraId="5444F7D9" w14:textId="77777777" w:rsidR="00C3015F" w:rsidRPr="0026720E" w:rsidRDefault="00C3015F" w:rsidP="001C16B4">
            <w:pPr>
              <w:pStyle w:val="4-Tabbody-ENG"/>
            </w:pPr>
            <w:bookmarkStart w:id="103" w:name="OLE_LINK301"/>
            <w:bookmarkStart w:id="104" w:name="OLE_LINK302"/>
            <m:oMathPara>
              <m:oMath>
                <m:r>
                  <w:rPr>
                    <w:rFonts w:ascii="Cambria Math" w:hAnsi="Cambria Math"/>
                  </w:rPr>
                  <m:t>∆H°</m:t>
                </m:r>
              </m:oMath>
            </m:oMathPara>
            <w:bookmarkEnd w:id="103"/>
            <w:bookmarkEnd w:id="104"/>
          </w:p>
          <w:p w14:paraId="74E511CD" w14:textId="77777777" w:rsidR="00C3015F" w:rsidRPr="0026720E" w:rsidRDefault="00C3015F" w:rsidP="001C16B4">
            <w:pPr>
              <w:pStyle w:val="4-Tabbody-ENG"/>
            </w:pPr>
            <m:oMathPara>
              <m:oMath>
                <m:r>
                  <w:rPr>
                    <w:rFonts w:ascii="Cambria Math" w:hAnsi="Cambria Math"/>
                  </w:rPr>
                  <m:t xml:space="preserve"> (KJ/mol)</m:t>
                </m:r>
              </m:oMath>
            </m:oMathPara>
          </w:p>
        </w:tc>
        <w:tc>
          <w:tcPr>
            <w:tcW w:w="1135" w:type="pct"/>
            <w:tcBorders>
              <w:top w:val="single" w:sz="12" w:space="0" w:color="auto"/>
              <w:bottom w:val="single" w:sz="6" w:space="0" w:color="auto"/>
            </w:tcBorders>
            <w:vAlign w:val="center"/>
          </w:tcPr>
          <w:p w14:paraId="12E8DABD" w14:textId="77777777" w:rsidR="00C3015F" w:rsidRPr="0026720E" w:rsidRDefault="00C3015F" w:rsidP="001C16B4">
            <w:pPr>
              <w:pStyle w:val="4-Tabbody-ENG"/>
            </w:pPr>
            <m:oMathPara>
              <m:oMath>
                <m:r>
                  <w:rPr>
                    <w:rFonts w:ascii="Cambria Math" w:hAnsi="Cambria Math"/>
                  </w:rPr>
                  <m:t xml:space="preserve">∆S° </m:t>
                </m:r>
              </m:oMath>
            </m:oMathPara>
          </w:p>
          <w:p w14:paraId="0A1C427B" w14:textId="77777777" w:rsidR="00C3015F" w:rsidRPr="0026720E" w:rsidRDefault="00C3015F" w:rsidP="001C16B4">
            <w:pPr>
              <w:pStyle w:val="4-Tabbody-ENG"/>
            </w:pPr>
            <m:oMathPara>
              <m:oMath>
                <m:r>
                  <w:rPr>
                    <w:rFonts w:ascii="Cambria Math" w:hAnsi="Cambria Math"/>
                  </w:rPr>
                  <m:t>(KJ/mol∙K)</m:t>
                </m:r>
              </m:oMath>
            </m:oMathPara>
          </w:p>
        </w:tc>
      </w:tr>
      <w:tr w:rsidR="0026720E" w:rsidRPr="0026720E" w14:paraId="0D27A40A" w14:textId="77777777" w:rsidTr="00E477E5">
        <w:tc>
          <w:tcPr>
            <w:tcW w:w="814" w:type="pct"/>
            <w:tcBorders>
              <w:top w:val="single" w:sz="6" w:space="0" w:color="auto"/>
            </w:tcBorders>
            <w:vAlign w:val="center"/>
          </w:tcPr>
          <w:p w14:paraId="1E808C45" w14:textId="77777777" w:rsidR="00C3015F" w:rsidRPr="0026720E" w:rsidRDefault="00C3015F" w:rsidP="001C16B4">
            <w:pPr>
              <w:pStyle w:val="4-Tabbody-ENG"/>
            </w:pPr>
            <w:r w:rsidRPr="0026720E">
              <w:t>293</w:t>
            </w:r>
          </w:p>
        </w:tc>
        <w:tc>
          <w:tcPr>
            <w:tcW w:w="1027" w:type="pct"/>
            <w:tcBorders>
              <w:top w:val="single" w:sz="6" w:space="0" w:color="auto"/>
            </w:tcBorders>
            <w:vAlign w:val="center"/>
          </w:tcPr>
          <w:p w14:paraId="4491E857" w14:textId="77777777" w:rsidR="00C3015F" w:rsidRPr="0026720E" w:rsidRDefault="00C3015F" w:rsidP="001C16B4">
            <w:pPr>
              <w:pStyle w:val="4-Tabbody-ENG"/>
            </w:pPr>
            <w:r w:rsidRPr="0026720E">
              <w:rPr>
                <w:rFonts w:hint="eastAsia"/>
              </w:rPr>
              <w:t>3</w:t>
            </w:r>
            <w:r w:rsidRPr="0026720E">
              <w:t>.15</w:t>
            </w:r>
          </w:p>
        </w:tc>
        <w:tc>
          <w:tcPr>
            <w:tcW w:w="1041" w:type="pct"/>
            <w:tcBorders>
              <w:top w:val="single" w:sz="6" w:space="0" w:color="auto"/>
            </w:tcBorders>
            <w:vAlign w:val="center"/>
          </w:tcPr>
          <w:p w14:paraId="2C8B3111" w14:textId="77777777" w:rsidR="00C3015F" w:rsidRPr="0026720E" w:rsidRDefault="00C3015F" w:rsidP="001C16B4">
            <w:pPr>
              <w:pStyle w:val="4-Tabbody-ENG"/>
            </w:pPr>
            <w:r w:rsidRPr="0026720E">
              <w:rPr>
                <w:rFonts w:hint="eastAsia"/>
              </w:rPr>
              <w:t>-</w:t>
            </w:r>
            <w:r w:rsidRPr="0026720E">
              <w:t>7.67</w:t>
            </w:r>
          </w:p>
        </w:tc>
        <w:tc>
          <w:tcPr>
            <w:tcW w:w="983" w:type="pct"/>
            <w:tcBorders>
              <w:top w:val="single" w:sz="6" w:space="0" w:color="auto"/>
            </w:tcBorders>
            <w:vAlign w:val="center"/>
          </w:tcPr>
          <w:p w14:paraId="72E61C62" w14:textId="77777777" w:rsidR="00C3015F" w:rsidRPr="0026720E" w:rsidRDefault="00C3015F" w:rsidP="001C16B4">
            <w:pPr>
              <w:pStyle w:val="4-Tabbody-ENG"/>
            </w:pPr>
            <w:r w:rsidRPr="0026720E">
              <w:rPr>
                <w:rFonts w:hint="eastAsia"/>
              </w:rPr>
              <w:t>-</w:t>
            </w:r>
            <w:r w:rsidRPr="0026720E">
              <w:t>33.41</w:t>
            </w:r>
          </w:p>
        </w:tc>
        <w:tc>
          <w:tcPr>
            <w:tcW w:w="1135" w:type="pct"/>
            <w:tcBorders>
              <w:top w:val="single" w:sz="6" w:space="0" w:color="auto"/>
            </w:tcBorders>
            <w:vAlign w:val="center"/>
          </w:tcPr>
          <w:p w14:paraId="00DBD930" w14:textId="77777777" w:rsidR="00C3015F" w:rsidRPr="0026720E" w:rsidRDefault="00C3015F" w:rsidP="001C16B4">
            <w:pPr>
              <w:pStyle w:val="4-Tabbody-ENG"/>
            </w:pPr>
            <w:r w:rsidRPr="0026720E">
              <w:rPr>
                <w:rFonts w:hint="eastAsia"/>
              </w:rPr>
              <w:t>-</w:t>
            </w:r>
            <w:r w:rsidRPr="0026720E">
              <w:t>0.087</w:t>
            </w:r>
          </w:p>
        </w:tc>
      </w:tr>
      <w:tr w:rsidR="0026720E" w:rsidRPr="0026720E" w14:paraId="21C06E3D" w14:textId="77777777" w:rsidTr="00E477E5">
        <w:tc>
          <w:tcPr>
            <w:tcW w:w="814" w:type="pct"/>
            <w:vAlign w:val="center"/>
          </w:tcPr>
          <w:p w14:paraId="44CCBD72" w14:textId="77777777" w:rsidR="00C3015F" w:rsidRPr="0026720E" w:rsidRDefault="00C3015F" w:rsidP="001C16B4">
            <w:pPr>
              <w:pStyle w:val="4-Tabbody-ENG"/>
            </w:pPr>
            <w:r w:rsidRPr="0026720E">
              <w:t>298</w:t>
            </w:r>
          </w:p>
        </w:tc>
        <w:tc>
          <w:tcPr>
            <w:tcW w:w="1027" w:type="pct"/>
            <w:vAlign w:val="center"/>
          </w:tcPr>
          <w:p w14:paraId="7D8C8B06" w14:textId="77777777" w:rsidR="00C3015F" w:rsidRPr="0026720E" w:rsidRDefault="00C3015F" w:rsidP="001C16B4">
            <w:pPr>
              <w:pStyle w:val="4-Tabbody-ENG"/>
            </w:pPr>
            <w:r w:rsidRPr="0026720E">
              <w:rPr>
                <w:rFonts w:hint="eastAsia"/>
              </w:rPr>
              <w:t>2</w:t>
            </w:r>
            <w:r w:rsidRPr="0026720E">
              <w:t>.96</w:t>
            </w:r>
          </w:p>
        </w:tc>
        <w:tc>
          <w:tcPr>
            <w:tcW w:w="1041" w:type="pct"/>
            <w:vAlign w:val="center"/>
          </w:tcPr>
          <w:p w14:paraId="13BE6E27" w14:textId="77777777" w:rsidR="00C3015F" w:rsidRPr="0026720E" w:rsidRDefault="00C3015F" w:rsidP="001C16B4">
            <w:pPr>
              <w:pStyle w:val="4-Tabbody-ENG"/>
            </w:pPr>
            <w:r w:rsidRPr="0026720E">
              <w:rPr>
                <w:rFonts w:hint="eastAsia"/>
              </w:rPr>
              <w:t>-</w:t>
            </w:r>
            <w:r w:rsidRPr="0026720E">
              <w:t>7.34</w:t>
            </w:r>
          </w:p>
        </w:tc>
        <w:tc>
          <w:tcPr>
            <w:tcW w:w="983" w:type="pct"/>
            <w:vAlign w:val="center"/>
          </w:tcPr>
          <w:p w14:paraId="0B948325" w14:textId="77777777" w:rsidR="00C3015F" w:rsidRPr="0026720E" w:rsidRDefault="00C3015F" w:rsidP="001C16B4">
            <w:pPr>
              <w:pStyle w:val="4-Tabbody-ENG"/>
            </w:pPr>
          </w:p>
        </w:tc>
        <w:tc>
          <w:tcPr>
            <w:tcW w:w="1135" w:type="pct"/>
            <w:vAlign w:val="center"/>
          </w:tcPr>
          <w:p w14:paraId="5B77E606" w14:textId="77777777" w:rsidR="00C3015F" w:rsidRPr="0026720E" w:rsidRDefault="00C3015F" w:rsidP="001C16B4">
            <w:pPr>
              <w:pStyle w:val="4-Tabbody-ENG"/>
            </w:pPr>
          </w:p>
        </w:tc>
      </w:tr>
      <w:tr w:rsidR="0026720E" w:rsidRPr="0026720E" w14:paraId="7BBEC96D" w14:textId="77777777" w:rsidTr="00E477E5">
        <w:tc>
          <w:tcPr>
            <w:tcW w:w="814" w:type="pct"/>
            <w:vAlign w:val="center"/>
          </w:tcPr>
          <w:p w14:paraId="6E51EFE0" w14:textId="77777777" w:rsidR="00C3015F" w:rsidRPr="0026720E" w:rsidRDefault="00C3015F" w:rsidP="001C16B4">
            <w:pPr>
              <w:pStyle w:val="4-Tabbody-ENG"/>
            </w:pPr>
            <w:r w:rsidRPr="0026720E">
              <w:t>303</w:t>
            </w:r>
          </w:p>
        </w:tc>
        <w:tc>
          <w:tcPr>
            <w:tcW w:w="1027" w:type="pct"/>
            <w:vAlign w:val="center"/>
          </w:tcPr>
          <w:p w14:paraId="586C5CC9" w14:textId="77777777" w:rsidR="00C3015F" w:rsidRPr="0026720E" w:rsidRDefault="00C3015F" w:rsidP="001C16B4">
            <w:pPr>
              <w:pStyle w:val="4-Tabbody-ENG"/>
            </w:pPr>
            <w:r w:rsidRPr="0026720E">
              <w:rPr>
                <w:rFonts w:hint="eastAsia"/>
              </w:rPr>
              <w:t>3</w:t>
            </w:r>
            <w:r w:rsidRPr="0026720E">
              <w:t>.01</w:t>
            </w:r>
          </w:p>
        </w:tc>
        <w:tc>
          <w:tcPr>
            <w:tcW w:w="1041" w:type="pct"/>
            <w:vAlign w:val="center"/>
          </w:tcPr>
          <w:p w14:paraId="503060F6" w14:textId="77777777" w:rsidR="00C3015F" w:rsidRPr="0026720E" w:rsidRDefault="00C3015F" w:rsidP="001C16B4">
            <w:pPr>
              <w:pStyle w:val="4-Tabbody-ENG"/>
            </w:pPr>
            <w:r w:rsidRPr="0026720E">
              <w:rPr>
                <w:rFonts w:hint="eastAsia"/>
              </w:rPr>
              <w:t>-</w:t>
            </w:r>
            <w:r w:rsidRPr="0026720E">
              <w:t>7.59</w:t>
            </w:r>
          </w:p>
        </w:tc>
        <w:tc>
          <w:tcPr>
            <w:tcW w:w="983" w:type="pct"/>
            <w:vAlign w:val="center"/>
          </w:tcPr>
          <w:p w14:paraId="6B04A451" w14:textId="77777777" w:rsidR="00C3015F" w:rsidRPr="0026720E" w:rsidRDefault="00C3015F" w:rsidP="001C16B4">
            <w:pPr>
              <w:pStyle w:val="4-Tabbody-ENG"/>
            </w:pPr>
          </w:p>
        </w:tc>
        <w:tc>
          <w:tcPr>
            <w:tcW w:w="1135" w:type="pct"/>
            <w:vAlign w:val="center"/>
          </w:tcPr>
          <w:p w14:paraId="2C20A74C" w14:textId="77777777" w:rsidR="00C3015F" w:rsidRPr="0026720E" w:rsidRDefault="00C3015F" w:rsidP="001C16B4">
            <w:pPr>
              <w:pStyle w:val="4-Tabbody-ENG"/>
            </w:pPr>
          </w:p>
        </w:tc>
      </w:tr>
      <w:tr w:rsidR="0026720E" w:rsidRPr="0026720E" w14:paraId="3A856B88" w14:textId="77777777" w:rsidTr="00E477E5">
        <w:tc>
          <w:tcPr>
            <w:tcW w:w="814" w:type="pct"/>
            <w:tcBorders>
              <w:bottom w:val="single" w:sz="12" w:space="0" w:color="auto"/>
            </w:tcBorders>
            <w:vAlign w:val="center"/>
          </w:tcPr>
          <w:p w14:paraId="61424AFD" w14:textId="77777777" w:rsidR="00C3015F" w:rsidRPr="0026720E" w:rsidRDefault="00C3015F" w:rsidP="001C16B4">
            <w:pPr>
              <w:pStyle w:val="4-Tabbody-ENG"/>
            </w:pPr>
            <w:r w:rsidRPr="0026720E">
              <w:rPr>
                <w:rFonts w:hint="eastAsia"/>
              </w:rPr>
              <w:t>3</w:t>
            </w:r>
            <w:r w:rsidRPr="0026720E">
              <w:t>13</w:t>
            </w:r>
          </w:p>
        </w:tc>
        <w:tc>
          <w:tcPr>
            <w:tcW w:w="1027" w:type="pct"/>
            <w:tcBorders>
              <w:bottom w:val="single" w:sz="12" w:space="0" w:color="auto"/>
            </w:tcBorders>
            <w:vAlign w:val="center"/>
          </w:tcPr>
          <w:p w14:paraId="4743B76F" w14:textId="77777777" w:rsidR="00C3015F" w:rsidRPr="0026720E" w:rsidRDefault="00C3015F" w:rsidP="001C16B4">
            <w:pPr>
              <w:pStyle w:val="4-Tabbody-ENG"/>
            </w:pPr>
            <w:r w:rsidRPr="0026720E">
              <w:rPr>
                <w:rFonts w:hint="eastAsia"/>
              </w:rPr>
              <w:t>2</w:t>
            </w:r>
            <w:r w:rsidRPr="0026720E">
              <w:t>.25</w:t>
            </w:r>
          </w:p>
        </w:tc>
        <w:tc>
          <w:tcPr>
            <w:tcW w:w="1041" w:type="pct"/>
            <w:tcBorders>
              <w:bottom w:val="single" w:sz="12" w:space="0" w:color="auto"/>
            </w:tcBorders>
            <w:vAlign w:val="center"/>
          </w:tcPr>
          <w:p w14:paraId="0BE0E9E8" w14:textId="77777777" w:rsidR="00C3015F" w:rsidRPr="0026720E" w:rsidRDefault="00C3015F" w:rsidP="001C16B4">
            <w:pPr>
              <w:pStyle w:val="4-Tabbody-ENG"/>
            </w:pPr>
            <w:r w:rsidRPr="0026720E">
              <w:rPr>
                <w:rFonts w:hint="eastAsia"/>
              </w:rPr>
              <w:t>-</w:t>
            </w:r>
            <w:r w:rsidRPr="0026720E">
              <w:t>5.84</w:t>
            </w:r>
          </w:p>
        </w:tc>
        <w:tc>
          <w:tcPr>
            <w:tcW w:w="983" w:type="pct"/>
            <w:tcBorders>
              <w:bottom w:val="single" w:sz="12" w:space="0" w:color="auto"/>
            </w:tcBorders>
            <w:vAlign w:val="center"/>
          </w:tcPr>
          <w:p w14:paraId="4E7A0ED2" w14:textId="77777777" w:rsidR="00C3015F" w:rsidRPr="0026720E" w:rsidRDefault="00C3015F" w:rsidP="001C16B4">
            <w:pPr>
              <w:pStyle w:val="4-Tabbody-ENG"/>
            </w:pPr>
          </w:p>
        </w:tc>
        <w:tc>
          <w:tcPr>
            <w:tcW w:w="1135" w:type="pct"/>
            <w:tcBorders>
              <w:bottom w:val="single" w:sz="12" w:space="0" w:color="auto"/>
            </w:tcBorders>
            <w:vAlign w:val="center"/>
          </w:tcPr>
          <w:p w14:paraId="3B976834" w14:textId="77777777" w:rsidR="00C3015F" w:rsidRPr="0026720E" w:rsidRDefault="00C3015F" w:rsidP="001C16B4">
            <w:pPr>
              <w:pStyle w:val="4-Tabbody-ENG"/>
            </w:pPr>
          </w:p>
        </w:tc>
      </w:tr>
    </w:tbl>
    <w:p w14:paraId="774E34EC" w14:textId="77777777" w:rsidR="00E477E5" w:rsidRDefault="00E477E5" w:rsidP="001C16B4">
      <w:pPr>
        <w:pStyle w:val="4-Fig-ENG"/>
        <w:rPr>
          <w:b/>
          <w:bCs/>
        </w:rPr>
      </w:pPr>
      <w:bookmarkStart w:id="105" w:name="_Hlk53249508"/>
      <w:bookmarkEnd w:id="101"/>
      <w:bookmarkEnd w:id="102"/>
    </w:p>
    <w:p w14:paraId="292E37F2" w14:textId="48C6378F" w:rsidR="00ED7DEE" w:rsidRPr="0026720E" w:rsidRDefault="009D100C" w:rsidP="001C16B4">
      <w:pPr>
        <w:pStyle w:val="4-Fig-ENG"/>
      </w:pPr>
      <w:r w:rsidRPr="0026720E">
        <w:rPr>
          <w:b/>
          <w:bCs/>
        </w:rPr>
        <w:t>Table</w:t>
      </w:r>
      <w:r w:rsidR="008F379F">
        <w:rPr>
          <w:b/>
          <w:bCs/>
        </w:rPr>
        <w:t xml:space="preserve"> S</w:t>
      </w:r>
      <w:r w:rsidR="004957B8" w:rsidRPr="0026720E">
        <w:rPr>
          <w:b/>
          <w:bCs/>
        </w:rPr>
        <w:t>5</w:t>
      </w:r>
      <w:r w:rsidRPr="0026720E">
        <w:rPr>
          <w:b/>
          <w:bCs/>
        </w:rPr>
        <w:t xml:space="preserve"> </w:t>
      </w:r>
      <w:r w:rsidR="00ED7DEE" w:rsidRPr="0026720E">
        <w:t xml:space="preserve">Basic information </w:t>
      </w:r>
      <w:r w:rsidR="00C80BFC" w:rsidRPr="0026720E">
        <w:t>about</w:t>
      </w:r>
      <w:r w:rsidR="00ED7DEE" w:rsidRPr="0026720E">
        <w:t xml:space="preserve"> different target pollutants.</w:t>
      </w:r>
    </w:p>
    <w:tbl>
      <w:tblPr>
        <w:tblStyle w:val="1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1398"/>
        <w:gridCol w:w="2346"/>
        <w:gridCol w:w="833"/>
        <w:gridCol w:w="1219"/>
        <w:gridCol w:w="656"/>
        <w:gridCol w:w="708"/>
        <w:gridCol w:w="566"/>
        <w:gridCol w:w="797"/>
      </w:tblGrid>
      <w:tr w:rsidR="0026720E" w:rsidRPr="0026720E" w14:paraId="04A56A79" w14:textId="77777777" w:rsidTr="00E477E5">
        <w:trPr>
          <w:jc w:val="center"/>
        </w:trPr>
        <w:tc>
          <w:tcPr>
            <w:tcW w:w="1016" w:type="pct"/>
            <w:vMerge w:val="restart"/>
            <w:tcBorders>
              <w:top w:val="single" w:sz="12" w:space="0" w:color="auto"/>
              <w:bottom w:val="single" w:sz="6" w:space="0" w:color="auto"/>
            </w:tcBorders>
            <w:vAlign w:val="center"/>
          </w:tcPr>
          <w:bookmarkEnd w:id="105"/>
          <w:p w14:paraId="6D25100F" w14:textId="77777777" w:rsidR="001F1D94" w:rsidRPr="0026720E" w:rsidRDefault="001F1D94" w:rsidP="001C16B4">
            <w:pPr>
              <w:pStyle w:val="4-Tabbody-ENG"/>
            </w:pPr>
            <w:r w:rsidRPr="0026720E">
              <w:t>Target pollutant</w:t>
            </w:r>
          </w:p>
        </w:tc>
        <w:tc>
          <w:tcPr>
            <w:tcW w:w="498" w:type="pct"/>
            <w:vMerge w:val="restart"/>
            <w:tcBorders>
              <w:top w:val="single" w:sz="12" w:space="0" w:color="auto"/>
              <w:bottom w:val="single" w:sz="6" w:space="0" w:color="auto"/>
            </w:tcBorders>
            <w:vAlign w:val="center"/>
          </w:tcPr>
          <w:p w14:paraId="41E604CA" w14:textId="77777777" w:rsidR="001F1D94" w:rsidRPr="0026720E" w:rsidRDefault="001F1D94" w:rsidP="001C16B4">
            <w:pPr>
              <w:pStyle w:val="4-Tabbody-ENG"/>
            </w:pPr>
            <w:r w:rsidRPr="0026720E">
              <w:t>Molecular structure</w:t>
            </w:r>
          </w:p>
        </w:tc>
        <w:tc>
          <w:tcPr>
            <w:tcW w:w="817" w:type="pct"/>
            <w:vMerge w:val="restart"/>
            <w:tcBorders>
              <w:top w:val="single" w:sz="12" w:space="0" w:color="auto"/>
              <w:bottom w:val="single" w:sz="6" w:space="0" w:color="auto"/>
            </w:tcBorders>
            <w:vAlign w:val="center"/>
          </w:tcPr>
          <w:p w14:paraId="30527E3E" w14:textId="77777777" w:rsidR="001F1D94" w:rsidRPr="0026720E" w:rsidRDefault="001F1D94" w:rsidP="001C16B4">
            <w:pPr>
              <w:pStyle w:val="4-Tabbody-ENG"/>
            </w:pPr>
            <w:r w:rsidRPr="0026720E">
              <w:t>3D</w:t>
            </w:r>
          </w:p>
          <w:p w14:paraId="67C1E797" w14:textId="77777777" w:rsidR="001F1D94" w:rsidRPr="0026720E" w:rsidRDefault="001F1D94" w:rsidP="001C16B4">
            <w:pPr>
              <w:pStyle w:val="4-Tabbody-ENG"/>
            </w:pPr>
            <w:r w:rsidRPr="0026720E">
              <w:t>molecular structure</w:t>
            </w:r>
          </w:p>
        </w:tc>
        <w:tc>
          <w:tcPr>
            <w:tcW w:w="469" w:type="pct"/>
            <w:vMerge w:val="restart"/>
            <w:tcBorders>
              <w:top w:val="single" w:sz="12" w:space="0" w:color="auto"/>
              <w:bottom w:val="single" w:sz="6" w:space="0" w:color="auto"/>
            </w:tcBorders>
            <w:vAlign w:val="center"/>
          </w:tcPr>
          <w:p w14:paraId="14DE683F" w14:textId="6BBA9D30" w:rsidR="001F1D94" w:rsidRPr="0026720E" w:rsidRDefault="001F1D94" w:rsidP="001C16B4">
            <w:pPr>
              <w:pStyle w:val="4-Tabbody-ENG"/>
            </w:pPr>
            <w:r w:rsidRPr="0026720E">
              <w:t>Molecul</w:t>
            </w:r>
            <w:r w:rsidR="00C80BFC" w:rsidRPr="0026720E">
              <w:t>a</w:t>
            </w:r>
            <w:r w:rsidRPr="0026720E">
              <w:t>r weight</w:t>
            </w:r>
          </w:p>
        </w:tc>
        <w:tc>
          <w:tcPr>
            <w:tcW w:w="529" w:type="pct"/>
            <w:vMerge w:val="restart"/>
            <w:tcBorders>
              <w:top w:val="single" w:sz="12" w:space="0" w:color="auto"/>
              <w:bottom w:val="single" w:sz="6" w:space="0" w:color="auto"/>
            </w:tcBorders>
            <w:vAlign w:val="center"/>
          </w:tcPr>
          <w:p w14:paraId="3351EAF1" w14:textId="77777777" w:rsidR="001F1D94" w:rsidRPr="0026720E" w:rsidRDefault="001F1D94" w:rsidP="001C16B4">
            <w:pPr>
              <w:pStyle w:val="4-Tabbody-ENG"/>
            </w:pPr>
            <w:r w:rsidRPr="0026720E">
              <w:t>Molecular formula</w:t>
            </w:r>
          </w:p>
        </w:tc>
        <w:tc>
          <w:tcPr>
            <w:tcW w:w="418" w:type="pct"/>
            <w:vMerge w:val="restart"/>
            <w:tcBorders>
              <w:top w:val="single" w:sz="12" w:space="0" w:color="auto"/>
              <w:bottom w:val="single" w:sz="6" w:space="0" w:color="auto"/>
            </w:tcBorders>
            <w:vAlign w:val="center"/>
          </w:tcPr>
          <w:p w14:paraId="68AEDFE9" w14:textId="77777777" w:rsidR="001F1D94" w:rsidRPr="0026720E" w:rsidRDefault="001F1D94" w:rsidP="001C16B4">
            <w:pPr>
              <w:pStyle w:val="4-Tabbody-ENG"/>
            </w:pPr>
            <w:r w:rsidRPr="0026720E">
              <w:t>pH</w:t>
            </w:r>
            <w:r w:rsidRPr="0026720E">
              <w:rPr>
                <w:vertAlign w:val="subscript"/>
              </w:rPr>
              <w:t>0</w:t>
            </w:r>
          </w:p>
        </w:tc>
        <w:tc>
          <w:tcPr>
            <w:tcW w:w="739" w:type="pct"/>
            <w:gridSpan w:val="2"/>
            <w:tcBorders>
              <w:top w:val="single" w:sz="12" w:space="0" w:color="auto"/>
            </w:tcBorders>
            <w:vAlign w:val="center"/>
          </w:tcPr>
          <w:p w14:paraId="456C8D90" w14:textId="77777777" w:rsidR="001F1D94" w:rsidRPr="0026720E" w:rsidRDefault="001F1D94" w:rsidP="001C16B4">
            <w:pPr>
              <w:pStyle w:val="4-Tabbody-ENG"/>
            </w:pPr>
            <w:r w:rsidRPr="0026720E">
              <w:t>Hydrogen bond</w:t>
            </w:r>
          </w:p>
        </w:tc>
        <w:tc>
          <w:tcPr>
            <w:tcW w:w="514" w:type="pct"/>
            <w:vMerge w:val="restart"/>
            <w:tcBorders>
              <w:top w:val="single" w:sz="12" w:space="0" w:color="auto"/>
              <w:bottom w:val="single" w:sz="8" w:space="0" w:color="auto"/>
            </w:tcBorders>
            <w:vAlign w:val="center"/>
          </w:tcPr>
          <w:p w14:paraId="707FB59C" w14:textId="76178F11" w:rsidR="001F1D94" w:rsidRPr="0026720E" w:rsidRDefault="00F86A91" w:rsidP="001C16B4">
            <w:pPr>
              <w:pStyle w:val="4-Tabbody-ENG"/>
            </w:pPr>
            <m:oMathPara>
              <m:oMath>
                <m:r>
                  <m:rPr>
                    <m:sty m:val="p"/>
                  </m:rPr>
                  <w:rPr>
                    <w:rFonts w:ascii="Cambria Math" w:hAnsi="Cambria Math"/>
                  </w:rPr>
                  <m:t>λ</m:t>
                </m:r>
              </m:oMath>
            </m:oMathPara>
          </w:p>
          <w:p w14:paraId="6E671BE1" w14:textId="1FB9CED4" w:rsidR="001F1D94" w:rsidRPr="0026720E" w:rsidRDefault="00F86A91" w:rsidP="001C16B4">
            <w:pPr>
              <w:pStyle w:val="4-Tabbody-ENG"/>
            </w:pPr>
            <m:oMathPara>
              <m:oMath>
                <m:r>
                  <m:rPr>
                    <m:sty m:val="p"/>
                  </m:rPr>
                  <w:rPr>
                    <w:rFonts w:ascii="Cambria Math" w:hAnsi="Cambria Math"/>
                  </w:rPr>
                  <m:t>(detect)</m:t>
                </m:r>
              </m:oMath>
            </m:oMathPara>
          </w:p>
        </w:tc>
      </w:tr>
      <w:tr w:rsidR="0026720E" w:rsidRPr="0026720E" w14:paraId="43DDCBA1" w14:textId="77777777" w:rsidTr="00E477E5">
        <w:trPr>
          <w:jc w:val="center"/>
        </w:trPr>
        <w:tc>
          <w:tcPr>
            <w:tcW w:w="1016" w:type="pct"/>
            <w:vMerge/>
            <w:tcBorders>
              <w:bottom w:val="single" w:sz="6" w:space="0" w:color="auto"/>
            </w:tcBorders>
            <w:vAlign w:val="center"/>
          </w:tcPr>
          <w:p w14:paraId="58F24E71" w14:textId="77777777" w:rsidR="001F1D94" w:rsidRPr="0026720E" w:rsidRDefault="001F1D94" w:rsidP="001C16B4">
            <w:pPr>
              <w:pStyle w:val="4-Tabbody-ENG"/>
            </w:pPr>
          </w:p>
        </w:tc>
        <w:tc>
          <w:tcPr>
            <w:tcW w:w="498" w:type="pct"/>
            <w:vMerge/>
            <w:tcBorders>
              <w:bottom w:val="single" w:sz="6" w:space="0" w:color="auto"/>
            </w:tcBorders>
            <w:vAlign w:val="center"/>
          </w:tcPr>
          <w:p w14:paraId="62B81E83" w14:textId="77777777" w:rsidR="001F1D94" w:rsidRPr="0026720E" w:rsidRDefault="001F1D94" w:rsidP="001C16B4">
            <w:pPr>
              <w:pStyle w:val="4-Tabbody-ENG"/>
            </w:pPr>
          </w:p>
        </w:tc>
        <w:tc>
          <w:tcPr>
            <w:tcW w:w="817" w:type="pct"/>
            <w:vMerge/>
            <w:tcBorders>
              <w:bottom w:val="single" w:sz="6" w:space="0" w:color="auto"/>
            </w:tcBorders>
            <w:vAlign w:val="center"/>
          </w:tcPr>
          <w:p w14:paraId="4C778325" w14:textId="77777777" w:rsidR="001F1D94" w:rsidRPr="0026720E" w:rsidRDefault="001F1D94" w:rsidP="001C16B4">
            <w:pPr>
              <w:pStyle w:val="4-Tabbody-ENG"/>
            </w:pPr>
          </w:p>
        </w:tc>
        <w:tc>
          <w:tcPr>
            <w:tcW w:w="469" w:type="pct"/>
            <w:vMerge/>
            <w:tcBorders>
              <w:bottom w:val="single" w:sz="6" w:space="0" w:color="auto"/>
            </w:tcBorders>
            <w:vAlign w:val="center"/>
          </w:tcPr>
          <w:p w14:paraId="1FEF1070" w14:textId="77777777" w:rsidR="001F1D94" w:rsidRPr="0026720E" w:rsidRDefault="001F1D94" w:rsidP="001C16B4">
            <w:pPr>
              <w:pStyle w:val="4-Tabbody-ENG"/>
            </w:pPr>
          </w:p>
        </w:tc>
        <w:tc>
          <w:tcPr>
            <w:tcW w:w="529" w:type="pct"/>
            <w:vMerge/>
            <w:tcBorders>
              <w:bottom w:val="single" w:sz="6" w:space="0" w:color="auto"/>
            </w:tcBorders>
            <w:vAlign w:val="center"/>
          </w:tcPr>
          <w:p w14:paraId="3156650A" w14:textId="77777777" w:rsidR="001F1D94" w:rsidRPr="0026720E" w:rsidRDefault="001F1D94" w:rsidP="001C16B4">
            <w:pPr>
              <w:pStyle w:val="4-Tabbody-ENG"/>
            </w:pPr>
          </w:p>
        </w:tc>
        <w:tc>
          <w:tcPr>
            <w:tcW w:w="418" w:type="pct"/>
            <w:vMerge/>
            <w:tcBorders>
              <w:bottom w:val="single" w:sz="6" w:space="0" w:color="auto"/>
            </w:tcBorders>
            <w:vAlign w:val="center"/>
          </w:tcPr>
          <w:p w14:paraId="5A6F0DFE" w14:textId="77777777" w:rsidR="001F1D94" w:rsidRPr="0026720E" w:rsidRDefault="001F1D94" w:rsidP="001C16B4">
            <w:pPr>
              <w:pStyle w:val="4-Tabbody-ENG"/>
            </w:pPr>
          </w:p>
        </w:tc>
        <w:tc>
          <w:tcPr>
            <w:tcW w:w="363" w:type="pct"/>
            <w:tcBorders>
              <w:bottom w:val="single" w:sz="6" w:space="0" w:color="auto"/>
            </w:tcBorders>
            <w:vAlign w:val="center"/>
          </w:tcPr>
          <w:p w14:paraId="3DF38BBD" w14:textId="77777777" w:rsidR="001F1D94" w:rsidRPr="0026720E" w:rsidRDefault="001F1D94" w:rsidP="001C16B4">
            <w:pPr>
              <w:pStyle w:val="4-Tabbody-ENG"/>
            </w:pPr>
            <w:r w:rsidRPr="0026720E">
              <w:t>receptor</w:t>
            </w:r>
          </w:p>
        </w:tc>
        <w:tc>
          <w:tcPr>
            <w:tcW w:w="376" w:type="pct"/>
            <w:tcBorders>
              <w:bottom w:val="single" w:sz="6" w:space="0" w:color="auto"/>
            </w:tcBorders>
            <w:vAlign w:val="center"/>
          </w:tcPr>
          <w:p w14:paraId="4344B17E" w14:textId="77777777" w:rsidR="001F1D94" w:rsidRPr="0026720E" w:rsidRDefault="001F1D94" w:rsidP="001C16B4">
            <w:pPr>
              <w:pStyle w:val="4-Tabbody-ENG"/>
            </w:pPr>
            <w:r w:rsidRPr="0026720E">
              <w:t>donor</w:t>
            </w:r>
          </w:p>
        </w:tc>
        <w:tc>
          <w:tcPr>
            <w:tcW w:w="514" w:type="pct"/>
            <w:vMerge/>
            <w:tcBorders>
              <w:bottom w:val="single" w:sz="6" w:space="0" w:color="auto"/>
            </w:tcBorders>
            <w:vAlign w:val="center"/>
          </w:tcPr>
          <w:p w14:paraId="3D5A14D4" w14:textId="77777777" w:rsidR="001F1D94" w:rsidRPr="0026720E" w:rsidRDefault="001F1D94" w:rsidP="001C16B4">
            <w:pPr>
              <w:pStyle w:val="4-Tabbody-ENG"/>
            </w:pPr>
          </w:p>
        </w:tc>
      </w:tr>
      <w:tr w:rsidR="0026720E" w:rsidRPr="0026720E" w14:paraId="7C29D45F" w14:textId="77777777" w:rsidTr="00E477E5">
        <w:trPr>
          <w:jc w:val="center"/>
        </w:trPr>
        <w:tc>
          <w:tcPr>
            <w:tcW w:w="1016" w:type="pct"/>
            <w:tcBorders>
              <w:top w:val="single" w:sz="6" w:space="0" w:color="auto"/>
            </w:tcBorders>
            <w:vAlign w:val="center"/>
          </w:tcPr>
          <w:p w14:paraId="2ED9A553" w14:textId="77777777" w:rsidR="00553F33" w:rsidRPr="0026720E" w:rsidRDefault="00553F33" w:rsidP="001C16B4">
            <w:pPr>
              <w:pStyle w:val="4-Tabbody-ENG"/>
            </w:pPr>
            <w:proofErr w:type="spellStart"/>
            <w:r w:rsidRPr="0026720E">
              <w:t>RhB</w:t>
            </w:r>
            <w:proofErr w:type="spellEnd"/>
            <w:r w:rsidRPr="0026720E">
              <w:t xml:space="preserve"> (Rhodamine B)</w:t>
            </w:r>
          </w:p>
        </w:tc>
        <w:tc>
          <w:tcPr>
            <w:tcW w:w="498" w:type="pct"/>
            <w:tcBorders>
              <w:top w:val="single" w:sz="6" w:space="0" w:color="auto"/>
            </w:tcBorders>
            <w:vAlign w:val="center"/>
          </w:tcPr>
          <w:p w14:paraId="6EA81FB7" w14:textId="77777777" w:rsidR="00553F33" w:rsidRPr="0026720E" w:rsidRDefault="00553F33" w:rsidP="001C16B4">
            <w:pPr>
              <w:pStyle w:val="4-Tabbody-ENG"/>
            </w:pPr>
            <w:r w:rsidRPr="0026720E">
              <w:rPr>
                <w:noProof/>
              </w:rPr>
              <w:drawing>
                <wp:inline distT="0" distB="0" distL="0" distR="0" wp14:anchorId="05D0BF16" wp14:editId="343F6923">
                  <wp:extent cx="685875" cy="507894"/>
                  <wp:effectExtent l="0" t="0" r="0" b="698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1500" cy="526870"/>
                          </a:xfrm>
                          <a:prstGeom prst="rect">
                            <a:avLst/>
                          </a:prstGeom>
                          <a:noFill/>
                          <a:ln>
                            <a:noFill/>
                          </a:ln>
                        </pic:spPr>
                      </pic:pic>
                    </a:graphicData>
                  </a:graphic>
                </wp:inline>
              </w:drawing>
            </w:r>
          </w:p>
        </w:tc>
        <w:tc>
          <w:tcPr>
            <w:tcW w:w="817" w:type="pct"/>
            <w:tcBorders>
              <w:top w:val="single" w:sz="6" w:space="0" w:color="auto"/>
            </w:tcBorders>
            <w:vAlign w:val="center"/>
          </w:tcPr>
          <w:p w14:paraId="42D5A305" w14:textId="77777777" w:rsidR="00553F33" w:rsidRPr="0026720E" w:rsidRDefault="00553F33" w:rsidP="001C16B4">
            <w:pPr>
              <w:pStyle w:val="4-Tabbody-ENG"/>
            </w:pPr>
            <w:r w:rsidRPr="0026720E">
              <w:rPr>
                <w:noProof/>
              </w:rPr>
              <w:drawing>
                <wp:inline distT="0" distB="0" distL="0" distR="0" wp14:anchorId="7FB13BC1" wp14:editId="4D4E455C">
                  <wp:extent cx="1158548" cy="990219"/>
                  <wp:effectExtent l="0" t="0" r="3810" b="63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76511" cy="1005572"/>
                          </a:xfrm>
                          <a:prstGeom prst="rect">
                            <a:avLst/>
                          </a:prstGeom>
                          <a:noFill/>
                          <a:ln>
                            <a:noFill/>
                          </a:ln>
                        </pic:spPr>
                      </pic:pic>
                    </a:graphicData>
                  </a:graphic>
                </wp:inline>
              </w:drawing>
            </w:r>
          </w:p>
        </w:tc>
        <w:tc>
          <w:tcPr>
            <w:tcW w:w="469" w:type="pct"/>
            <w:tcBorders>
              <w:top w:val="single" w:sz="6" w:space="0" w:color="auto"/>
            </w:tcBorders>
            <w:vAlign w:val="center"/>
          </w:tcPr>
          <w:p w14:paraId="18DBD441" w14:textId="77777777" w:rsidR="00553F33" w:rsidRPr="0026720E" w:rsidRDefault="00553F33" w:rsidP="001C16B4">
            <w:pPr>
              <w:pStyle w:val="4-Tabbody-ENG"/>
            </w:pPr>
            <w:r w:rsidRPr="0026720E">
              <w:t>479.01</w:t>
            </w:r>
          </w:p>
        </w:tc>
        <w:tc>
          <w:tcPr>
            <w:tcW w:w="529" w:type="pct"/>
            <w:tcBorders>
              <w:top w:val="single" w:sz="6" w:space="0" w:color="auto"/>
            </w:tcBorders>
            <w:vAlign w:val="center"/>
          </w:tcPr>
          <w:p w14:paraId="446A887F" w14:textId="4E727486" w:rsidR="00553F33" w:rsidRPr="0026720E" w:rsidRDefault="00445426" w:rsidP="001C16B4">
            <w:pPr>
              <w:pStyle w:val="4-Tabbody-ENG"/>
            </w:pPr>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28</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31</m:t>
                    </m:r>
                  </m:sub>
                </m:sSub>
                <m:r>
                  <m:rPr>
                    <m:sty m:val="p"/>
                  </m:rPr>
                  <w:rPr>
                    <w:rFonts w:ascii="Cambria Math" w:hAnsi="Cambria Math"/>
                  </w:rPr>
                  <m:t>Cl</m:t>
                </m:r>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3</m:t>
                    </m:r>
                  </m:sub>
                </m:sSub>
              </m:oMath>
            </m:oMathPara>
          </w:p>
        </w:tc>
        <w:tc>
          <w:tcPr>
            <w:tcW w:w="418" w:type="pct"/>
            <w:tcBorders>
              <w:top w:val="single" w:sz="6" w:space="0" w:color="auto"/>
            </w:tcBorders>
            <w:vAlign w:val="center"/>
          </w:tcPr>
          <w:p w14:paraId="0642989E" w14:textId="0DC7AA8E" w:rsidR="00553F33" w:rsidRPr="0026720E" w:rsidRDefault="00553F33" w:rsidP="001C16B4">
            <w:pPr>
              <w:pStyle w:val="4-Tabbody-ENG"/>
            </w:pPr>
            <w:r w:rsidRPr="0026720E">
              <w:t>5.2</w:t>
            </w:r>
          </w:p>
        </w:tc>
        <w:tc>
          <w:tcPr>
            <w:tcW w:w="363" w:type="pct"/>
            <w:tcBorders>
              <w:top w:val="single" w:sz="6" w:space="0" w:color="auto"/>
            </w:tcBorders>
            <w:vAlign w:val="center"/>
          </w:tcPr>
          <w:p w14:paraId="5B740C0B" w14:textId="77777777" w:rsidR="00553F33" w:rsidRPr="0026720E" w:rsidRDefault="00553F33" w:rsidP="001C16B4">
            <w:pPr>
              <w:pStyle w:val="4-Tabbody-ENG"/>
            </w:pPr>
            <w:r w:rsidRPr="0026720E">
              <w:t>5</w:t>
            </w:r>
          </w:p>
        </w:tc>
        <w:tc>
          <w:tcPr>
            <w:tcW w:w="376" w:type="pct"/>
            <w:tcBorders>
              <w:top w:val="single" w:sz="6" w:space="0" w:color="auto"/>
            </w:tcBorders>
            <w:vAlign w:val="center"/>
          </w:tcPr>
          <w:p w14:paraId="0DFEF012" w14:textId="77777777" w:rsidR="00553F33" w:rsidRPr="0026720E" w:rsidRDefault="00553F33" w:rsidP="001C16B4">
            <w:pPr>
              <w:pStyle w:val="4-Tabbody-ENG"/>
            </w:pPr>
            <w:r w:rsidRPr="0026720E">
              <w:t>1</w:t>
            </w:r>
          </w:p>
        </w:tc>
        <w:tc>
          <w:tcPr>
            <w:tcW w:w="514" w:type="pct"/>
            <w:tcBorders>
              <w:top w:val="single" w:sz="6" w:space="0" w:color="auto"/>
            </w:tcBorders>
            <w:vAlign w:val="center"/>
          </w:tcPr>
          <w:p w14:paraId="084C8F80" w14:textId="77777777" w:rsidR="00553F33" w:rsidRPr="0026720E" w:rsidRDefault="00553F33" w:rsidP="001C16B4">
            <w:pPr>
              <w:pStyle w:val="4-Tabbody-ENG"/>
            </w:pPr>
            <w:r w:rsidRPr="0026720E">
              <w:t>554</w:t>
            </w:r>
          </w:p>
        </w:tc>
      </w:tr>
      <w:tr w:rsidR="0026720E" w:rsidRPr="0026720E" w14:paraId="463FE29E" w14:textId="77777777" w:rsidTr="00E477E5">
        <w:trPr>
          <w:jc w:val="center"/>
        </w:trPr>
        <w:tc>
          <w:tcPr>
            <w:tcW w:w="1016" w:type="pct"/>
            <w:vAlign w:val="center"/>
          </w:tcPr>
          <w:p w14:paraId="6BC54D86" w14:textId="77777777" w:rsidR="00553F33" w:rsidRPr="0026720E" w:rsidRDefault="00553F33" w:rsidP="001C16B4">
            <w:pPr>
              <w:pStyle w:val="4-Tabbody-ENG"/>
            </w:pPr>
            <w:r w:rsidRPr="0026720E">
              <w:t>AO7 (Acid Orange 7)</w:t>
            </w:r>
          </w:p>
        </w:tc>
        <w:tc>
          <w:tcPr>
            <w:tcW w:w="498" w:type="pct"/>
            <w:vAlign w:val="center"/>
          </w:tcPr>
          <w:p w14:paraId="0B3C0831" w14:textId="77777777" w:rsidR="00553F33" w:rsidRPr="0026720E" w:rsidRDefault="00553F33" w:rsidP="001C16B4">
            <w:pPr>
              <w:pStyle w:val="4-Tabbody-ENG"/>
            </w:pPr>
            <w:r w:rsidRPr="0026720E">
              <w:rPr>
                <w:noProof/>
              </w:rPr>
              <w:drawing>
                <wp:inline distT="0" distB="0" distL="0" distR="0" wp14:anchorId="4EC7CA24" wp14:editId="61A29A3F">
                  <wp:extent cx="750818" cy="388033"/>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72040" cy="399001"/>
                          </a:xfrm>
                          <a:prstGeom prst="rect">
                            <a:avLst/>
                          </a:prstGeom>
                          <a:noFill/>
                          <a:ln>
                            <a:noFill/>
                          </a:ln>
                        </pic:spPr>
                      </pic:pic>
                    </a:graphicData>
                  </a:graphic>
                </wp:inline>
              </w:drawing>
            </w:r>
          </w:p>
        </w:tc>
        <w:tc>
          <w:tcPr>
            <w:tcW w:w="817" w:type="pct"/>
            <w:vAlign w:val="center"/>
          </w:tcPr>
          <w:p w14:paraId="1912F2AE" w14:textId="77777777" w:rsidR="00553F33" w:rsidRPr="0026720E" w:rsidRDefault="00553F33" w:rsidP="001C16B4">
            <w:pPr>
              <w:pStyle w:val="4-Tabbody-ENG"/>
            </w:pPr>
            <w:r w:rsidRPr="0026720E">
              <w:rPr>
                <w:noProof/>
              </w:rPr>
              <w:drawing>
                <wp:inline distT="0" distB="0" distL="0" distR="0" wp14:anchorId="3604548E" wp14:editId="5F2C941D">
                  <wp:extent cx="996968" cy="683813"/>
                  <wp:effectExtent l="0" t="0" r="0" b="254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29111" cy="705860"/>
                          </a:xfrm>
                          <a:prstGeom prst="rect">
                            <a:avLst/>
                          </a:prstGeom>
                          <a:noFill/>
                          <a:ln>
                            <a:noFill/>
                          </a:ln>
                        </pic:spPr>
                      </pic:pic>
                    </a:graphicData>
                  </a:graphic>
                </wp:inline>
              </w:drawing>
            </w:r>
          </w:p>
        </w:tc>
        <w:tc>
          <w:tcPr>
            <w:tcW w:w="469" w:type="pct"/>
            <w:vAlign w:val="center"/>
          </w:tcPr>
          <w:p w14:paraId="06F4BD81" w14:textId="77777777" w:rsidR="00553F33" w:rsidRPr="0026720E" w:rsidRDefault="00553F33" w:rsidP="001C16B4">
            <w:pPr>
              <w:pStyle w:val="4-Tabbody-ENG"/>
            </w:pPr>
            <w:r w:rsidRPr="0026720E">
              <w:t>350.32</w:t>
            </w:r>
          </w:p>
        </w:tc>
        <w:tc>
          <w:tcPr>
            <w:tcW w:w="529" w:type="pct"/>
            <w:vAlign w:val="center"/>
          </w:tcPr>
          <w:p w14:paraId="7616AB7E" w14:textId="540B47B7" w:rsidR="00553F33" w:rsidRPr="0026720E" w:rsidRDefault="00445426" w:rsidP="001C16B4">
            <w:pPr>
              <w:pStyle w:val="4-Tabbody-ENG"/>
            </w:pPr>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16</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11</m:t>
                    </m:r>
                  </m:sub>
                </m:sSub>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r>
                  <m:rPr>
                    <m:sty m:val="p"/>
                  </m:rPr>
                  <w:rPr>
                    <w:rFonts w:ascii="Cambria Math" w:hAnsi="Cambria Math"/>
                  </w:rPr>
                  <m:t>Na</m:t>
                </m:r>
                <m:sSub>
                  <m:sSubPr>
                    <m:ctrlPr>
                      <w:rPr>
                        <w:rFonts w:ascii="Cambria Math" w:hAnsi="Cambria Math"/>
                      </w:rPr>
                    </m:ctrlPr>
                  </m:sSubPr>
                  <m:e>
                    <m:r>
                      <m:rPr>
                        <m:sty m:val="p"/>
                      </m:rPr>
                      <w:rPr>
                        <w:rFonts w:ascii="Cambria Math" w:hAnsi="Cambria Math"/>
                      </w:rPr>
                      <m:t>O</m:t>
                    </m:r>
                  </m:e>
                  <m:sub>
                    <m:r>
                      <m:rPr>
                        <m:sty m:val="p"/>
                      </m:rPr>
                      <w:rPr>
                        <w:rFonts w:ascii="Cambria Math" w:hAnsi="Cambria Math"/>
                      </w:rPr>
                      <m:t>4</m:t>
                    </m:r>
                  </m:sub>
                </m:sSub>
                <m:r>
                  <m:rPr>
                    <m:sty m:val="p"/>
                  </m:rPr>
                  <w:rPr>
                    <w:rFonts w:ascii="Cambria Math" w:hAnsi="Cambria Math"/>
                  </w:rPr>
                  <m:t>S</m:t>
                </m:r>
              </m:oMath>
            </m:oMathPara>
          </w:p>
        </w:tc>
        <w:tc>
          <w:tcPr>
            <w:tcW w:w="418" w:type="pct"/>
            <w:vAlign w:val="center"/>
          </w:tcPr>
          <w:p w14:paraId="3807C1B6" w14:textId="122C3DC6" w:rsidR="00553F33" w:rsidRPr="0026720E" w:rsidRDefault="00553F33" w:rsidP="001C16B4">
            <w:pPr>
              <w:pStyle w:val="4-Tabbody-ENG"/>
            </w:pPr>
            <w:r w:rsidRPr="0026720E">
              <w:t>5.6</w:t>
            </w:r>
          </w:p>
        </w:tc>
        <w:tc>
          <w:tcPr>
            <w:tcW w:w="363" w:type="pct"/>
            <w:vAlign w:val="center"/>
          </w:tcPr>
          <w:p w14:paraId="239378F2" w14:textId="77777777" w:rsidR="00553F33" w:rsidRPr="0026720E" w:rsidRDefault="00553F33" w:rsidP="001C16B4">
            <w:pPr>
              <w:pStyle w:val="4-Tabbody-ENG"/>
            </w:pPr>
            <w:r w:rsidRPr="0026720E">
              <w:t>6</w:t>
            </w:r>
          </w:p>
        </w:tc>
        <w:tc>
          <w:tcPr>
            <w:tcW w:w="376" w:type="pct"/>
            <w:vAlign w:val="center"/>
          </w:tcPr>
          <w:p w14:paraId="6B93A3D8" w14:textId="77777777" w:rsidR="00553F33" w:rsidRPr="0026720E" w:rsidRDefault="00553F33" w:rsidP="001C16B4">
            <w:pPr>
              <w:pStyle w:val="4-Tabbody-ENG"/>
            </w:pPr>
            <w:r w:rsidRPr="0026720E">
              <w:t>1</w:t>
            </w:r>
          </w:p>
        </w:tc>
        <w:tc>
          <w:tcPr>
            <w:tcW w:w="514" w:type="pct"/>
            <w:vAlign w:val="center"/>
          </w:tcPr>
          <w:p w14:paraId="1A017DB2" w14:textId="77777777" w:rsidR="00553F33" w:rsidRPr="0026720E" w:rsidRDefault="00553F33" w:rsidP="001C16B4">
            <w:pPr>
              <w:pStyle w:val="4-Tabbody-ENG"/>
            </w:pPr>
            <w:r w:rsidRPr="0026720E">
              <w:t>484</w:t>
            </w:r>
          </w:p>
        </w:tc>
      </w:tr>
      <w:tr w:rsidR="0026720E" w:rsidRPr="0026720E" w14:paraId="11D3C392" w14:textId="77777777" w:rsidTr="00E477E5">
        <w:trPr>
          <w:jc w:val="center"/>
        </w:trPr>
        <w:tc>
          <w:tcPr>
            <w:tcW w:w="1016" w:type="pct"/>
            <w:vAlign w:val="center"/>
          </w:tcPr>
          <w:p w14:paraId="1BE58FC8" w14:textId="77777777" w:rsidR="00553F33" w:rsidRPr="0026720E" w:rsidRDefault="00553F33" w:rsidP="001C16B4">
            <w:pPr>
              <w:pStyle w:val="4-Tabbody-ENG"/>
            </w:pPr>
            <w:r w:rsidRPr="0026720E">
              <w:t>MB (Methylene blue trihydrate)</w:t>
            </w:r>
          </w:p>
        </w:tc>
        <w:tc>
          <w:tcPr>
            <w:tcW w:w="498" w:type="pct"/>
            <w:vAlign w:val="center"/>
          </w:tcPr>
          <w:p w14:paraId="50C9B0F7" w14:textId="77777777" w:rsidR="00553F33" w:rsidRPr="0026720E" w:rsidRDefault="00553F33" w:rsidP="001C16B4">
            <w:pPr>
              <w:pStyle w:val="4-Tabbody-ENG"/>
            </w:pPr>
            <w:r w:rsidRPr="0026720E">
              <w:rPr>
                <w:noProof/>
              </w:rPr>
              <w:drawing>
                <wp:inline distT="0" distB="0" distL="0" distR="0" wp14:anchorId="4C3B1625" wp14:editId="11CD5BB7">
                  <wp:extent cx="742070" cy="347657"/>
                  <wp:effectExtent l="0" t="0" r="127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61870" cy="356933"/>
                          </a:xfrm>
                          <a:prstGeom prst="rect">
                            <a:avLst/>
                          </a:prstGeom>
                          <a:noFill/>
                          <a:ln>
                            <a:noFill/>
                          </a:ln>
                        </pic:spPr>
                      </pic:pic>
                    </a:graphicData>
                  </a:graphic>
                </wp:inline>
              </w:drawing>
            </w:r>
          </w:p>
        </w:tc>
        <w:tc>
          <w:tcPr>
            <w:tcW w:w="817" w:type="pct"/>
            <w:vAlign w:val="center"/>
          </w:tcPr>
          <w:p w14:paraId="6496CE3E" w14:textId="77777777" w:rsidR="00553F33" w:rsidRPr="0026720E" w:rsidRDefault="00553F33" w:rsidP="001C16B4">
            <w:pPr>
              <w:pStyle w:val="4-Tabbody-ENG"/>
            </w:pPr>
            <w:r w:rsidRPr="0026720E">
              <w:rPr>
                <w:noProof/>
              </w:rPr>
              <w:drawing>
                <wp:inline distT="0" distB="0" distL="0" distR="0" wp14:anchorId="0E443FE5" wp14:editId="6B53E172">
                  <wp:extent cx="1280160" cy="680397"/>
                  <wp:effectExtent l="0" t="0" r="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19319" cy="701210"/>
                          </a:xfrm>
                          <a:prstGeom prst="rect">
                            <a:avLst/>
                          </a:prstGeom>
                          <a:noFill/>
                          <a:ln>
                            <a:noFill/>
                          </a:ln>
                        </pic:spPr>
                      </pic:pic>
                    </a:graphicData>
                  </a:graphic>
                </wp:inline>
              </w:drawing>
            </w:r>
          </w:p>
        </w:tc>
        <w:tc>
          <w:tcPr>
            <w:tcW w:w="469" w:type="pct"/>
            <w:vAlign w:val="center"/>
          </w:tcPr>
          <w:p w14:paraId="08730A8D" w14:textId="77777777" w:rsidR="00553F33" w:rsidRPr="0026720E" w:rsidRDefault="00553F33" w:rsidP="001C16B4">
            <w:pPr>
              <w:pStyle w:val="4-Tabbody-ENG"/>
            </w:pPr>
            <w:r w:rsidRPr="0026720E">
              <w:t>319.86</w:t>
            </w:r>
          </w:p>
        </w:tc>
        <w:tc>
          <w:tcPr>
            <w:tcW w:w="529" w:type="pct"/>
            <w:vAlign w:val="center"/>
          </w:tcPr>
          <w:p w14:paraId="40687786" w14:textId="01EA786B" w:rsidR="00553F33" w:rsidRPr="0026720E" w:rsidRDefault="00445426" w:rsidP="001C16B4">
            <w:pPr>
              <w:pStyle w:val="4-Tabbody-ENG"/>
            </w:pPr>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16</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Cl</m:t>
                </m:r>
                <m:sSub>
                  <m:sSubPr>
                    <m:ctrlPr>
                      <w:rPr>
                        <w:rFonts w:ascii="Cambria Math" w:hAnsi="Cambria Math"/>
                      </w:rPr>
                    </m:ctrlPr>
                  </m:sSubPr>
                  <m:e>
                    <m:r>
                      <m:rPr>
                        <m:sty m:val="p"/>
                      </m:rPr>
                      <w:rPr>
                        <w:rFonts w:ascii="Cambria Math" w:hAnsi="Cambria Math"/>
                      </w:rPr>
                      <m:t>N</m:t>
                    </m:r>
                  </m:e>
                  <m:sub>
                    <m:r>
                      <m:rPr>
                        <m:sty m:val="p"/>
                      </m:rPr>
                      <w:rPr>
                        <w:rFonts w:ascii="Cambria Math" w:hAnsi="Cambria Math"/>
                      </w:rPr>
                      <m:t>3</m:t>
                    </m:r>
                  </m:sub>
                </m:sSub>
                <m:r>
                  <m:rPr>
                    <m:sty m:val="p"/>
                  </m:rPr>
                  <w:rPr>
                    <w:rFonts w:ascii="Cambria Math" w:hAnsi="Cambria Math"/>
                  </w:rPr>
                  <m:t>S</m:t>
                </m:r>
              </m:oMath>
            </m:oMathPara>
          </w:p>
        </w:tc>
        <w:tc>
          <w:tcPr>
            <w:tcW w:w="418" w:type="pct"/>
            <w:vAlign w:val="center"/>
          </w:tcPr>
          <w:p w14:paraId="530F7337" w14:textId="32D6012C" w:rsidR="00553F33" w:rsidRPr="0026720E" w:rsidRDefault="00553F33" w:rsidP="001C16B4">
            <w:pPr>
              <w:pStyle w:val="4-Tabbody-ENG"/>
            </w:pPr>
            <w:r w:rsidRPr="0026720E">
              <w:t>5.5</w:t>
            </w:r>
          </w:p>
        </w:tc>
        <w:tc>
          <w:tcPr>
            <w:tcW w:w="363" w:type="pct"/>
            <w:vAlign w:val="center"/>
          </w:tcPr>
          <w:p w14:paraId="7E2893E5" w14:textId="77777777" w:rsidR="00553F33" w:rsidRPr="0026720E" w:rsidRDefault="00553F33" w:rsidP="001C16B4">
            <w:pPr>
              <w:pStyle w:val="4-Tabbody-ENG"/>
            </w:pPr>
            <w:r w:rsidRPr="0026720E">
              <w:t>7</w:t>
            </w:r>
          </w:p>
        </w:tc>
        <w:tc>
          <w:tcPr>
            <w:tcW w:w="376" w:type="pct"/>
            <w:vAlign w:val="center"/>
          </w:tcPr>
          <w:p w14:paraId="75BEA4FC" w14:textId="77777777" w:rsidR="00553F33" w:rsidRPr="0026720E" w:rsidRDefault="00553F33" w:rsidP="001C16B4">
            <w:pPr>
              <w:pStyle w:val="4-Tabbody-ENG"/>
            </w:pPr>
            <w:r w:rsidRPr="0026720E">
              <w:t>3</w:t>
            </w:r>
          </w:p>
        </w:tc>
        <w:tc>
          <w:tcPr>
            <w:tcW w:w="514" w:type="pct"/>
            <w:vAlign w:val="center"/>
          </w:tcPr>
          <w:p w14:paraId="2DCC4DDC" w14:textId="77777777" w:rsidR="00553F33" w:rsidRPr="0026720E" w:rsidRDefault="00553F33" w:rsidP="001C16B4">
            <w:pPr>
              <w:pStyle w:val="4-Tabbody-ENG"/>
            </w:pPr>
            <w:r w:rsidRPr="0026720E">
              <w:t>664</w:t>
            </w:r>
          </w:p>
        </w:tc>
      </w:tr>
      <w:tr w:rsidR="0026720E" w:rsidRPr="0026720E" w14:paraId="63CB8538" w14:textId="77777777" w:rsidTr="00E477E5">
        <w:trPr>
          <w:jc w:val="center"/>
        </w:trPr>
        <w:tc>
          <w:tcPr>
            <w:tcW w:w="1016" w:type="pct"/>
            <w:vAlign w:val="center"/>
          </w:tcPr>
          <w:p w14:paraId="3E054EBB" w14:textId="77777777" w:rsidR="00553F33" w:rsidRDefault="00553F33" w:rsidP="001C16B4">
            <w:pPr>
              <w:pStyle w:val="4-Tabbody-ENG"/>
            </w:pPr>
            <w:r w:rsidRPr="0026720E">
              <w:t>TC (Tetracycline hydrochloride)</w:t>
            </w:r>
          </w:p>
          <w:p w14:paraId="040278EE" w14:textId="68D49281" w:rsidR="00E477E5" w:rsidRPr="00E477E5" w:rsidRDefault="00E477E5" w:rsidP="00E477E5">
            <w:pPr>
              <w:rPr>
                <w:rFonts w:eastAsia="宋体"/>
              </w:rPr>
            </w:pPr>
          </w:p>
        </w:tc>
        <w:tc>
          <w:tcPr>
            <w:tcW w:w="498" w:type="pct"/>
            <w:vAlign w:val="center"/>
          </w:tcPr>
          <w:p w14:paraId="6DE60179" w14:textId="77777777" w:rsidR="00553F33" w:rsidRPr="0026720E" w:rsidRDefault="00553F33" w:rsidP="001C16B4">
            <w:pPr>
              <w:pStyle w:val="4-Tabbody-ENG"/>
            </w:pPr>
            <w:r w:rsidRPr="0026720E">
              <w:rPr>
                <w:noProof/>
              </w:rPr>
              <w:drawing>
                <wp:inline distT="0" distB="0" distL="0" distR="0" wp14:anchorId="0BFCC788" wp14:editId="7B7F5C48">
                  <wp:extent cx="727612" cy="424068"/>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6720" cy="441033"/>
                          </a:xfrm>
                          <a:prstGeom prst="rect">
                            <a:avLst/>
                          </a:prstGeom>
                          <a:noFill/>
                          <a:ln>
                            <a:noFill/>
                          </a:ln>
                        </pic:spPr>
                      </pic:pic>
                    </a:graphicData>
                  </a:graphic>
                </wp:inline>
              </w:drawing>
            </w:r>
          </w:p>
        </w:tc>
        <w:tc>
          <w:tcPr>
            <w:tcW w:w="817" w:type="pct"/>
            <w:vAlign w:val="center"/>
          </w:tcPr>
          <w:p w14:paraId="2BD375F2" w14:textId="77777777" w:rsidR="00553F33" w:rsidRPr="0026720E" w:rsidRDefault="00553F33" w:rsidP="001C16B4">
            <w:pPr>
              <w:pStyle w:val="4-Tabbody-ENG"/>
            </w:pPr>
            <w:r w:rsidRPr="0026720E">
              <w:rPr>
                <w:noProof/>
              </w:rPr>
              <w:drawing>
                <wp:inline distT="0" distB="0" distL="0" distR="0" wp14:anchorId="600438FB" wp14:editId="1D0AD4B8">
                  <wp:extent cx="1319917" cy="775219"/>
                  <wp:effectExtent l="0" t="0" r="0" b="635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44116" cy="789432"/>
                          </a:xfrm>
                          <a:prstGeom prst="rect">
                            <a:avLst/>
                          </a:prstGeom>
                          <a:noFill/>
                          <a:ln>
                            <a:noFill/>
                          </a:ln>
                        </pic:spPr>
                      </pic:pic>
                    </a:graphicData>
                  </a:graphic>
                </wp:inline>
              </w:drawing>
            </w:r>
          </w:p>
        </w:tc>
        <w:tc>
          <w:tcPr>
            <w:tcW w:w="469" w:type="pct"/>
            <w:vAlign w:val="center"/>
          </w:tcPr>
          <w:p w14:paraId="6A608979" w14:textId="77777777" w:rsidR="00553F33" w:rsidRPr="0026720E" w:rsidRDefault="00553F33" w:rsidP="001C16B4">
            <w:pPr>
              <w:pStyle w:val="4-Tabbody-ENG"/>
            </w:pPr>
            <w:r w:rsidRPr="0026720E">
              <w:t>480.90</w:t>
            </w:r>
          </w:p>
        </w:tc>
        <w:tc>
          <w:tcPr>
            <w:tcW w:w="529" w:type="pct"/>
            <w:vAlign w:val="center"/>
          </w:tcPr>
          <w:p w14:paraId="1486C884" w14:textId="312CF0E3" w:rsidR="00553F33" w:rsidRPr="0026720E" w:rsidRDefault="00445426" w:rsidP="001C16B4">
            <w:pPr>
              <w:pStyle w:val="4-Tabbody-ENG"/>
            </w:pPr>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22</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25</m:t>
                    </m:r>
                  </m:sub>
                </m:sSub>
                <m:sSub>
                  <m:sSubPr>
                    <m:ctrlPr>
                      <w:rPr>
                        <w:rFonts w:ascii="Cambria Math" w:hAnsi="Cambria Math"/>
                      </w:rPr>
                    </m:ctrlPr>
                  </m:sSubPr>
                  <m:e>
                    <m:r>
                      <m:rPr>
                        <m:sty m:val="p"/>
                      </m:rPr>
                      <w:rPr>
                        <w:rFonts w:ascii="Cambria Math" w:hAnsi="Cambria Math"/>
                      </w:rPr>
                      <m:t>ClN</m:t>
                    </m:r>
                  </m:e>
                  <m:sub>
                    <m:r>
                      <m:rPr>
                        <m:sty m:val="p"/>
                      </m:rPr>
                      <w:rPr>
                        <w:rFonts w:ascii="Cambria Math" w:hAnsi="Cambria Math"/>
                      </w:rPr>
                      <m:t>2</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8</m:t>
                    </m:r>
                  </m:sub>
                </m:sSub>
              </m:oMath>
            </m:oMathPara>
          </w:p>
        </w:tc>
        <w:tc>
          <w:tcPr>
            <w:tcW w:w="418" w:type="pct"/>
            <w:vAlign w:val="center"/>
          </w:tcPr>
          <w:p w14:paraId="228123C9" w14:textId="6523F6DB" w:rsidR="00553F33" w:rsidRPr="0026720E" w:rsidRDefault="00553F33" w:rsidP="001C16B4">
            <w:pPr>
              <w:pStyle w:val="4-Tabbody-ENG"/>
            </w:pPr>
            <w:r w:rsidRPr="0026720E">
              <w:t>4.7</w:t>
            </w:r>
          </w:p>
        </w:tc>
        <w:tc>
          <w:tcPr>
            <w:tcW w:w="363" w:type="pct"/>
            <w:vAlign w:val="center"/>
          </w:tcPr>
          <w:p w14:paraId="64207040" w14:textId="77777777" w:rsidR="00553F33" w:rsidRPr="0026720E" w:rsidRDefault="00553F33" w:rsidP="001C16B4">
            <w:pPr>
              <w:pStyle w:val="4-Tabbody-ENG"/>
            </w:pPr>
            <w:r w:rsidRPr="0026720E">
              <w:t>9</w:t>
            </w:r>
          </w:p>
        </w:tc>
        <w:tc>
          <w:tcPr>
            <w:tcW w:w="376" w:type="pct"/>
            <w:vAlign w:val="center"/>
          </w:tcPr>
          <w:p w14:paraId="4B7F2D3A" w14:textId="77777777" w:rsidR="00553F33" w:rsidRPr="0026720E" w:rsidRDefault="00553F33" w:rsidP="001C16B4">
            <w:pPr>
              <w:pStyle w:val="4-Tabbody-ENG"/>
            </w:pPr>
            <w:r w:rsidRPr="0026720E">
              <w:t>6</w:t>
            </w:r>
          </w:p>
        </w:tc>
        <w:tc>
          <w:tcPr>
            <w:tcW w:w="514" w:type="pct"/>
            <w:vAlign w:val="center"/>
          </w:tcPr>
          <w:p w14:paraId="68F6EC13" w14:textId="77777777" w:rsidR="00553F33" w:rsidRPr="0026720E" w:rsidRDefault="00553F33" w:rsidP="001C16B4">
            <w:pPr>
              <w:pStyle w:val="4-Tabbody-ENG"/>
            </w:pPr>
            <w:r w:rsidRPr="0026720E">
              <w:t>356</w:t>
            </w:r>
          </w:p>
        </w:tc>
      </w:tr>
      <w:tr w:rsidR="0026720E" w:rsidRPr="0026720E" w14:paraId="76D9F5F7" w14:textId="77777777" w:rsidTr="00E477E5">
        <w:trPr>
          <w:jc w:val="center"/>
        </w:trPr>
        <w:tc>
          <w:tcPr>
            <w:tcW w:w="1016" w:type="pct"/>
            <w:tcBorders>
              <w:bottom w:val="single" w:sz="12" w:space="0" w:color="auto"/>
            </w:tcBorders>
            <w:vAlign w:val="center"/>
          </w:tcPr>
          <w:p w14:paraId="11C299E7" w14:textId="77811C24" w:rsidR="00CB0089" w:rsidRPr="0026720E" w:rsidRDefault="00553F33" w:rsidP="001C16B4">
            <w:pPr>
              <w:pStyle w:val="4-Tabbody-ENG"/>
            </w:pPr>
            <w:r w:rsidRPr="0026720E">
              <w:lastRenderedPageBreak/>
              <w:t>Nor (norfloxacin)</w:t>
            </w:r>
          </w:p>
        </w:tc>
        <w:tc>
          <w:tcPr>
            <w:tcW w:w="498" w:type="pct"/>
            <w:tcBorders>
              <w:bottom w:val="single" w:sz="12" w:space="0" w:color="auto"/>
            </w:tcBorders>
            <w:vAlign w:val="center"/>
          </w:tcPr>
          <w:p w14:paraId="7196DD40" w14:textId="77777777" w:rsidR="00553F33" w:rsidRPr="0026720E" w:rsidRDefault="00553F33" w:rsidP="001C16B4">
            <w:pPr>
              <w:pStyle w:val="4-Tabbody-ENG"/>
            </w:pPr>
            <w:r w:rsidRPr="0026720E">
              <w:rPr>
                <w:noProof/>
              </w:rPr>
              <w:drawing>
                <wp:inline distT="0" distB="0" distL="0" distR="0" wp14:anchorId="438F6106" wp14:editId="6E89F646">
                  <wp:extent cx="605878" cy="354085"/>
                  <wp:effectExtent l="0" t="0" r="3810" b="825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24767" cy="365124"/>
                          </a:xfrm>
                          <a:prstGeom prst="rect">
                            <a:avLst/>
                          </a:prstGeom>
                          <a:noFill/>
                          <a:ln>
                            <a:noFill/>
                          </a:ln>
                        </pic:spPr>
                      </pic:pic>
                    </a:graphicData>
                  </a:graphic>
                </wp:inline>
              </w:drawing>
            </w:r>
          </w:p>
        </w:tc>
        <w:tc>
          <w:tcPr>
            <w:tcW w:w="817" w:type="pct"/>
            <w:tcBorders>
              <w:bottom w:val="single" w:sz="12" w:space="0" w:color="auto"/>
            </w:tcBorders>
            <w:vAlign w:val="center"/>
          </w:tcPr>
          <w:p w14:paraId="43B2D224" w14:textId="77777777" w:rsidR="00553F33" w:rsidRPr="0026720E" w:rsidRDefault="00553F33" w:rsidP="001C16B4">
            <w:pPr>
              <w:pStyle w:val="4-Tabbody-ENG"/>
            </w:pPr>
            <w:r w:rsidRPr="0026720E">
              <w:rPr>
                <w:noProof/>
              </w:rPr>
              <w:drawing>
                <wp:inline distT="0" distB="0" distL="0" distR="0" wp14:anchorId="3DB9C621" wp14:editId="1AF2ACA4">
                  <wp:extent cx="1343384" cy="861224"/>
                  <wp:effectExtent l="0" t="0" r="9525"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46761" cy="863389"/>
                          </a:xfrm>
                          <a:prstGeom prst="rect">
                            <a:avLst/>
                          </a:prstGeom>
                          <a:noFill/>
                          <a:ln>
                            <a:noFill/>
                          </a:ln>
                        </pic:spPr>
                      </pic:pic>
                    </a:graphicData>
                  </a:graphic>
                </wp:inline>
              </w:drawing>
            </w:r>
          </w:p>
        </w:tc>
        <w:tc>
          <w:tcPr>
            <w:tcW w:w="469" w:type="pct"/>
            <w:tcBorders>
              <w:bottom w:val="single" w:sz="12" w:space="0" w:color="auto"/>
            </w:tcBorders>
            <w:vAlign w:val="center"/>
          </w:tcPr>
          <w:p w14:paraId="3E348C84" w14:textId="77777777" w:rsidR="00553F33" w:rsidRPr="0026720E" w:rsidRDefault="00553F33" w:rsidP="001C16B4">
            <w:pPr>
              <w:pStyle w:val="4-Tabbody-ENG"/>
            </w:pPr>
            <w:r w:rsidRPr="0026720E">
              <w:t>319.34</w:t>
            </w:r>
          </w:p>
        </w:tc>
        <w:tc>
          <w:tcPr>
            <w:tcW w:w="529" w:type="pct"/>
            <w:tcBorders>
              <w:bottom w:val="single" w:sz="12" w:space="0" w:color="auto"/>
            </w:tcBorders>
            <w:vAlign w:val="center"/>
          </w:tcPr>
          <w:p w14:paraId="00FF6AD7" w14:textId="22921A57" w:rsidR="00553F33" w:rsidRPr="0026720E" w:rsidRDefault="00445426" w:rsidP="001C16B4">
            <w:pPr>
              <w:pStyle w:val="4-Tabbody-ENG"/>
            </w:pPr>
            <m:oMathPara>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16</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18</m:t>
                    </m:r>
                  </m:sub>
                </m:sSub>
                <m:r>
                  <m:rPr>
                    <m:sty m:val="p"/>
                  </m:rPr>
                  <w:rPr>
                    <w:rFonts w:ascii="Cambria Math" w:hAnsi="Cambria Math"/>
                  </w:rPr>
                  <m:t>F</m:t>
                </m:r>
                <m:sSub>
                  <m:sSubPr>
                    <m:ctrlPr>
                      <w:rPr>
                        <w:rFonts w:ascii="Cambria Math" w:hAnsi="Cambria Math"/>
                      </w:rPr>
                    </m:ctrlPr>
                  </m:sSubPr>
                  <m:e>
                    <m:r>
                      <m:rPr>
                        <m:sty m:val="p"/>
                      </m:rPr>
                      <w:rPr>
                        <w:rFonts w:ascii="Cambria Math" w:hAnsi="Cambria Math"/>
                      </w:rPr>
                      <m:t>N</m:t>
                    </m:r>
                  </m:e>
                  <m:sub>
                    <m:r>
                      <m:rPr>
                        <m:sty m:val="p"/>
                      </m:rPr>
                      <w:rPr>
                        <w:rFonts w:ascii="Cambria Math" w:hAnsi="Cambria Math"/>
                      </w:rPr>
                      <m:t>3</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3</m:t>
                    </m:r>
                  </m:sub>
                </m:sSub>
              </m:oMath>
            </m:oMathPara>
          </w:p>
        </w:tc>
        <w:tc>
          <w:tcPr>
            <w:tcW w:w="418" w:type="pct"/>
            <w:tcBorders>
              <w:bottom w:val="single" w:sz="12" w:space="0" w:color="auto"/>
            </w:tcBorders>
            <w:vAlign w:val="center"/>
          </w:tcPr>
          <w:p w14:paraId="142B89ED" w14:textId="463C4E32" w:rsidR="00553F33" w:rsidRPr="0026720E" w:rsidRDefault="00553F33" w:rsidP="001C16B4">
            <w:pPr>
              <w:pStyle w:val="4-Tabbody-ENG"/>
            </w:pPr>
            <w:r w:rsidRPr="0026720E">
              <w:t>10.1</w:t>
            </w:r>
          </w:p>
        </w:tc>
        <w:tc>
          <w:tcPr>
            <w:tcW w:w="363" w:type="pct"/>
            <w:tcBorders>
              <w:bottom w:val="single" w:sz="12" w:space="0" w:color="auto"/>
            </w:tcBorders>
            <w:vAlign w:val="center"/>
          </w:tcPr>
          <w:p w14:paraId="5829A249" w14:textId="77777777" w:rsidR="00553F33" w:rsidRPr="0026720E" w:rsidRDefault="00553F33" w:rsidP="001C16B4">
            <w:pPr>
              <w:pStyle w:val="4-Tabbody-ENG"/>
            </w:pPr>
            <w:r w:rsidRPr="0026720E">
              <w:t>7</w:t>
            </w:r>
          </w:p>
        </w:tc>
        <w:tc>
          <w:tcPr>
            <w:tcW w:w="376" w:type="pct"/>
            <w:tcBorders>
              <w:bottom w:val="single" w:sz="12" w:space="0" w:color="auto"/>
            </w:tcBorders>
            <w:vAlign w:val="center"/>
          </w:tcPr>
          <w:p w14:paraId="5043A7E1" w14:textId="77777777" w:rsidR="00553F33" w:rsidRPr="0026720E" w:rsidRDefault="00553F33" w:rsidP="001C16B4">
            <w:pPr>
              <w:pStyle w:val="4-Tabbody-ENG"/>
            </w:pPr>
            <w:r w:rsidRPr="0026720E">
              <w:t>2</w:t>
            </w:r>
          </w:p>
        </w:tc>
        <w:tc>
          <w:tcPr>
            <w:tcW w:w="514" w:type="pct"/>
            <w:tcBorders>
              <w:bottom w:val="single" w:sz="12" w:space="0" w:color="auto"/>
            </w:tcBorders>
            <w:vAlign w:val="center"/>
          </w:tcPr>
          <w:p w14:paraId="4E8C4904" w14:textId="77777777" w:rsidR="00553F33" w:rsidRPr="0026720E" w:rsidRDefault="00553F33" w:rsidP="001C16B4">
            <w:pPr>
              <w:pStyle w:val="4-Tabbody-ENG"/>
            </w:pPr>
            <w:r w:rsidRPr="0026720E">
              <w:t>336</w:t>
            </w:r>
          </w:p>
        </w:tc>
      </w:tr>
    </w:tbl>
    <w:p w14:paraId="4C9953D1" w14:textId="77777777" w:rsidR="00E477E5" w:rsidRPr="000655E5" w:rsidRDefault="00E477E5" w:rsidP="00E477E5">
      <w:pPr>
        <w:pStyle w:val="4-Fig-ENG"/>
      </w:pPr>
      <w:r>
        <w:rPr>
          <w:rFonts w:ascii="Calibri" w:eastAsia="宋体" w:hAnsi="Calibri"/>
          <w:color w:val="000000" w:themeColor="text1"/>
        </w:rPr>
        <w:tab/>
      </w:r>
      <w:r>
        <w:rPr>
          <w:rFonts w:hint="eastAsia"/>
        </w:rPr>
        <w:t>p</w:t>
      </w:r>
      <w:r>
        <w:t>H</w:t>
      </w:r>
      <w:r w:rsidRPr="00CB0089">
        <w:rPr>
          <w:vertAlign w:val="subscript"/>
        </w:rPr>
        <w:t>0</w:t>
      </w:r>
      <w:r w:rsidRPr="00CB0089">
        <w:t xml:space="preserve"> represents the</w:t>
      </w:r>
      <w:r>
        <w:t xml:space="preserve"> initial</w:t>
      </w:r>
      <w:r w:rsidRPr="00CB0089">
        <w:t xml:space="preserve"> </w:t>
      </w:r>
      <w:r>
        <w:t>pH</w:t>
      </w:r>
      <w:r w:rsidRPr="00CB0089">
        <w:t xml:space="preserve"> </w:t>
      </w:r>
      <w:r>
        <w:t xml:space="preserve">of the </w:t>
      </w:r>
      <w:r w:rsidRPr="00CB0089">
        <w:t>solution in the degradation experiment</w:t>
      </w:r>
      <w:r>
        <w:t>.</w:t>
      </w:r>
    </w:p>
    <w:p w14:paraId="2576B294" w14:textId="086A837D" w:rsidR="009F4A30" w:rsidRPr="0026720E" w:rsidRDefault="00E92D86" w:rsidP="00E477E5">
      <w:pPr>
        <w:pStyle w:val="0-1-ENG"/>
        <w:spacing w:before="163" w:after="163"/>
      </w:pPr>
      <w:r w:rsidRPr="0026720E">
        <w:t>Reference</w:t>
      </w:r>
      <w:r w:rsidR="008125CB">
        <w:t>s</w:t>
      </w:r>
    </w:p>
    <w:p w14:paraId="05FC55C7" w14:textId="33746E31" w:rsidR="00160292" w:rsidRPr="0026720E" w:rsidRDefault="009F4A30" w:rsidP="00E477E5">
      <w:pPr>
        <w:pStyle w:val="5-Ref-ENG"/>
        <w:rPr>
          <w:noProof/>
        </w:rPr>
      </w:pPr>
      <w:r w:rsidRPr="0026720E">
        <w:rPr>
          <w:rFonts w:eastAsiaTheme="minorEastAsia"/>
        </w:rPr>
        <w:fldChar w:fldCharType="begin" w:fldLock="1"/>
      </w:r>
      <w:r w:rsidRPr="0026720E">
        <w:rPr>
          <w:rFonts w:eastAsiaTheme="minorEastAsia"/>
        </w:rPr>
        <w:instrText xml:space="preserve">ADDIN Mendeley Bibliography CSL_BIBLIOGRAPHY </w:instrText>
      </w:r>
      <w:r w:rsidRPr="0026720E">
        <w:rPr>
          <w:rFonts w:eastAsiaTheme="minorEastAsia"/>
        </w:rPr>
        <w:fldChar w:fldCharType="separate"/>
      </w:r>
      <w:r w:rsidR="00160292" w:rsidRPr="0026720E">
        <w:rPr>
          <w:noProof/>
        </w:rPr>
        <w:t>[1]</w:t>
      </w:r>
      <w:r w:rsidR="00160292" w:rsidRPr="0026720E">
        <w:rPr>
          <w:noProof/>
        </w:rPr>
        <w:tab/>
        <w:t>Dikici H, Saltali K, Bingölbalı S. Equilibrium and Kinetics Characteristics of Copper (II) Sorption onto Gyttja. Bull Environ Contam Toxicol 2010;84 (1):147–51.</w:t>
      </w:r>
    </w:p>
    <w:p w14:paraId="3C735982" w14:textId="77777777" w:rsidR="00160292" w:rsidRPr="0026720E" w:rsidRDefault="00160292" w:rsidP="00E477E5">
      <w:pPr>
        <w:pStyle w:val="5-Ref-ENG"/>
        <w:rPr>
          <w:noProof/>
        </w:rPr>
      </w:pPr>
      <w:r w:rsidRPr="0026720E">
        <w:rPr>
          <w:noProof/>
        </w:rPr>
        <w:t>[2]</w:t>
      </w:r>
      <w:r w:rsidRPr="0026720E">
        <w:rPr>
          <w:noProof/>
        </w:rPr>
        <w:tab/>
        <w:t>Dubinin MM, Zaverina ED RL. Equilibrium and Kinetics Characteristics of Copper (I) Sorption onto Gyttja. Zhurnal Fiz Khimii 1947;21:1351–1362.</w:t>
      </w:r>
    </w:p>
    <w:p w14:paraId="303D9C21" w14:textId="77777777" w:rsidR="00160292" w:rsidRPr="0026720E" w:rsidRDefault="00160292" w:rsidP="00E477E5">
      <w:pPr>
        <w:pStyle w:val="5-Ref-ENG"/>
        <w:rPr>
          <w:noProof/>
        </w:rPr>
      </w:pPr>
      <w:r w:rsidRPr="0026720E">
        <w:rPr>
          <w:noProof/>
        </w:rPr>
        <w:t>[3]</w:t>
      </w:r>
      <w:r w:rsidRPr="0026720E">
        <w:rPr>
          <w:noProof/>
        </w:rPr>
        <w:tab/>
        <w:t>Saltalı K, Sarı A, Aydın M. Removal of ammonium ion from aqueous solution by natural Turkish (Yıldızeli) zeolite for environmental quality. J Hazard Mater 2007;141 (1):258–63.</w:t>
      </w:r>
    </w:p>
    <w:p w14:paraId="469B77E7" w14:textId="77777777" w:rsidR="00160292" w:rsidRPr="0026720E" w:rsidRDefault="00160292" w:rsidP="00E477E5">
      <w:pPr>
        <w:pStyle w:val="5-Ref-ENG"/>
        <w:rPr>
          <w:noProof/>
        </w:rPr>
      </w:pPr>
      <w:bookmarkStart w:id="106" w:name="OLE_LINK449"/>
      <w:bookmarkStart w:id="107" w:name="OLE_LINK450"/>
      <w:r w:rsidRPr="0026720E">
        <w:rPr>
          <w:noProof/>
        </w:rPr>
        <w:t>[4]</w:t>
      </w:r>
      <w:r w:rsidRPr="0026720E">
        <w:rPr>
          <w:noProof/>
        </w:rPr>
        <w:tab/>
        <w:t>Donat R, Akdogan A, Erdem E CH. Thermodynamics of Pb and Ni adsorption onto natural bentonite from aqueous solution. J Col Inter Sci 2005;286:43–52.</w:t>
      </w:r>
    </w:p>
    <w:bookmarkEnd w:id="106"/>
    <w:bookmarkEnd w:id="107"/>
    <w:p w14:paraId="5553B18F" w14:textId="77777777" w:rsidR="00160292" w:rsidRPr="0026720E" w:rsidRDefault="00160292" w:rsidP="00E477E5">
      <w:pPr>
        <w:pStyle w:val="5-Ref-ENG"/>
        <w:rPr>
          <w:noProof/>
        </w:rPr>
      </w:pPr>
      <w:r w:rsidRPr="0026720E">
        <w:rPr>
          <w:noProof/>
        </w:rPr>
        <w:t>[5]</w:t>
      </w:r>
      <w:r w:rsidRPr="0026720E">
        <w:rPr>
          <w:noProof/>
        </w:rPr>
        <w:tab/>
        <w:t>Massoudinejad M, Asadi A, Vosoughi M, Gholami M, Kakavandi B, Karami MA. A comprehensive study (kinetic, thermodynamic and equilibrium) of arsenic (V) adsorption using KMnO4 modified clinoptilolite. Korean J Chem Eng 2015;32 (10):2078–86.</w:t>
      </w:r>
    </w:p>
    <w:p w14:paraId="06CF9039" w14:textId="77777777" w:rsidR="00160292" w:rsidRPr="0026720E" w:rsidRDefault="00160292" w:rsidP="00E477E5">
      <w:pPr>
        <w:pStyle w:val="5-Ref-ENG"/>
        <w:rPr>
          <w:noProof/>
        </w:rPr>
      </w:pPr>
      <w:r w:rsidRPr="0026720E">
        <w:rPr>
          <w:noProof/>
        </w:rPr>
        <w:t>[6]</w:t>
      </w:r>
      <w:r w:rsidRPr="0026720E">
        <w:rPr>
          <w:noProof/>
        </w:rPr>
        <w:tab/>
        <w:t>Azari A, Kakavandi B, Kalantary RR, Ahmadi E, Gholami M, Torkshavand Z, et al. Rapid and efficient magnetically removal of heavy metals by magnetite-activated carbon composite: a statistical design approach. J Porous Mater 2015;22 (4):1083–96.</w:t>
      </w:r>
    </w:p>
    <w:p w14:paraId="63DC82F1" w14:textId="77777777" w:rsidR="00160292" w:rsidRPr="0026720E" w:rsidRDefault="00160292" w:rsidP="00E477E5">
      <w:pPr>
        <w:pStyle w:val="5-Ref-ENG"/>
        <w:rPr>
          <w:noProof/>
        </w:rPr>
      </w:pPr>
      <w:r w:rsidRPr="0026720E">
        <w:rPr>
          <w:noProof/>
        </w:rPr>
        <w:t>[7]</w:t>
      </w:r>
      <w:r w:rsidRPr="0026720E">
        <w:rPr>
          <w:noProof/>
        </w:rPr>
        <w:tab/>
        <w:t>Kakavandi B, Kalantary RR, Farzadkia M, Mahvi AH, Esrafili A, Azari A, et al. Enhanced chromium (VI) removal using activated carbon modified by zero valent iron and silver bimetallic nanoparticles. J Environ Heal Sci Eng 2014;12 (1):115.</w:t>
      </w:r>
    </w:p>
    <w:p w14:paraId="1D984626" w14:textId="77777777" w:rsidR="00160292" w:rsidRPr="0026720E" w:rsidRDefault="00160292" w:rsidP="00E477E5">
      <w:pPr>
        <w:pStyle w:val="5-Ref-ENG"/>
        <w:rPr>
          <w:noProof/>
        </w:rPr>
      </w:pPr>
      <w:r w:rsidRPr="0026720E">
        <w:rPr>
          <w:noProof/>
        </w:rPr>
        <w:t>[8]</w:t>
      </w:r>
      <w:r w:rsidRPr="0026720E">
        <w:rPr>
          <w:noProof/>
        </w:rPr>
        <w:tab/>
        <w:t>Yu H, Che M, Zhao B, Lu Y, Zhu S, Wang X, et al. Enhanced electrosorption of rhodamine B over porous copper-nickel foam electrodes modified with graphene oxide/polypyrrole. Synth Met 2020;262:116332.</w:t>
      </w:r>
    </w:p>
    <w:p w14:paraId="75C7D72C" w14:textId="77777777" w:rsidR="00160292" w:rsidRPr="008F379F" w:rsidRDefault="00160292" w:rsidP="00E477E5">
      <w:pPr>
        <w:pStyle w:val="5-Ref-ENG"/>
        <w:rPr>
          <w:noProof/>
          <w:lang w:val="fr-FR"/>
        </w:rPr>
      </w:pPr>
      <w:r w:rsidRPr="0026720E">
        <w:rPr>
          <w:noProof/>
        </w:rPr>
        <w:t>[9]</w:t>
      </w:r>
      <w:r w:rsidRPr="0026720E">
        <w:rPr>
          <w:noProof/>
        </w:rPr>
        <w:tab/>
        <w:t xml:space="preserve">Sarı A, Tuzen M. Biosorption of Pb(II) and Cd(II) from aqueous solution using green alga (Ulva lactuca) biomass. </w:t>
      </w:r>
      <w:r w:rsidRPr="008F379F">
        <w:rPr>
          <w:noProof/>
          <w:lang w:val="fr-FR"/>
        </w:rPr>
        <w:t>J Hazard Mater 2008;152 (1):302–8.</w:t>
      </w:r>
    </w:p>
    <w:p w14:paraId="0E96BC1B" w14:textId="77777777" w:rsidR="00160292" w:rsidRPr="0026720E" w:rsidRDefault="00160292" w:rsidP="00E477E5">
      <w:pPr>
        <w:pStyle w:val="5-Ref-ENG"/>
        <w:rPr>
          <w:noProof/>
        </w:rPr>
      </w:pPr>
      <w:r w:rsidRPr="008F379F">
        <w:rPr>
          <w:noProof/>
          <w:lang w:val="fr-FR"/>
        </w:rPr>
        <w:t>[10]</w:t>
      </w:r>
      <w:r w:rsidRPr="008F379F">
        <w:rPr>
          <w:noProof/>
          <w:lang w:val="fr-FR"/>
        </w:rPr>
        <w:tab/>
        <w:t xml:space="preserve">Hu X, Li Y, Wang Y, Li X, Li H, Liu X, et al. </w:t>
      </w:r>
      <w:r w:rsidRPr="0026720E">
        <w:rPr>
          <w:noProof/>
        </w:rPr>
        <w:t>Adsorption kinetics, thermodynamics and isotherm of thiacalix[4]arene-loaded resin to heavy metal ions 2010;259 (1–3).</w:t>
      </w:r>
    </w:p>
    <w:p w14:paraId="47BB1ADF" w14:textId="77777777" w:rsidR="00160292" w:rsidRPr="0026720E" w:rsidRDefault="00160292" w:rsidP="00E477E5">
      <w:pPr>
        <w:pStyle w:val="5-Ref-ENG"/>
        <w:rPr>
          <w:noProof/>
        </w:rPr>
      </w:pPr>
      <w:r w:rsidRPr="0026720E">
        <w:rPr>
          <w:noProof/>
        </w:rPr>
        <w:t>[11]</w:t>
      </w:r>
      <w:r w:rsidRPr="0026720E">
        <w:rPr>
          <w:noProof/>
        </w:rPr>
        <w:tab/>
        <w:t>Sun H, Feng X, Wang S, Ang HM, Tadé MO. Combination of adsorption, photochemical and photocatalytic degradation of phenol solution over supported zinc oxide: Effects of support and sulphate oxidant. Chem Eng J 2011;170 (1):270–7.</w:t>
      </w:r>
    </w:p>
    <w:p w14:paraId="7002A64A" w14:textId="77777777" w:rsidR="00160292" w:rsidRPr="0026720E" w:rsidRDefault="00160292" w:rsidP="00E477E5">
      <w:pPr>
        <w:pStyle w:val="5-Ref-ENG"/>
        <w:rPr>
          <w:noProof/>
        </w:rPr>
      </w:pPr>
      <w:r w:rsidRPr="0026720E">
        <w:rPr>
          <w:noProof/>
        </w:rPr>
        <w:t>[12]</w:t>
      </w:r>
      <w:r w:rsidRPr="0026720E">
        <w:rPr>
          <w:noProof/>
        </w:rPr>
        <w:tab/>
        <w:t>Ramachandran R, Thangavel Sakthivel, Minzhang Li, Haiquan Shan, Zong-Xiang Xu, Wang F. Efficient degradation of organic dye using Ni-MOF derived NiCo-LDH as peroxymonosulfate activator. Chemosphere 2021;271:128509.</w:t>
      </w:r>
    </w:p>
    <w:p w14:paraId="30B25773" w14:textId="77777777" w:rsidR="00160292" w:rsidRPr="008F379F" w:rsidRDefault="00160292" w:rsidP="00E477E5">
      <w:pPr>
        <w:pStyle w:val="5-Ref-ENG"/>
        <w:rPr>
          <w:noProof/>
          <w:lang w:val="fr-FR"/>
        </w:rPr>
      </w:pPr>
      <w:r w:rsidRPr="0026720E">
        <w:rPr>
          <w:noProof/>
        </w:rPr>
        <w:t>[13]</w:t>
      </w:r>
      <w:r w:rsidRPr="0026720E">
        <w:rPr>
          <w:noProof/>
        </w:rPr>
        <w:tab/>
        <w:t xml:space="preserve">Ding Y, Wang X, Fu L, Peng X, Pan C, Mao Q, et al. Nonradicals induced degradation of organic pollutants by peroxydisulfate (PDS) and peroxymonosulfate (PMS): Recent advances and perspective. </w:t>
      </w:r>
      <w:r w:rsidRPr="008F379F">
        <w:rPr>
          <w:noProof/>
          <w:lang w:val="fr-FR"/>
        </w:rPr>
        <w:t>Sci Total Environ 2021;765:142794.</w:t>
      </w:r>
    </w:p>
    <w:p w14:paraId="44D1A647" w14:textId="77777777" w:rsidR="00160292" w:rsidRPr="0026720E" w:rsidRDefault="00160292" w:rsidP="00E477E5">
      <w:pPr>
        <w:pStyle w:val="5-Ref-ENG"/>
        <w:rPr>
          <w:noProof/>
        </w:rPr>
      </w:pPr>
      <w:r w:rsidRPr="008F379F">
        <w:rPr>
          <w:noProof/>
          <w:lang w:val="fr-FR"/>
        </w:rPr>
        <w:t>[14]</w:t>
      </w:r>
      <w:r w:rsidRPr="008F379F">
        <w:rPr>
          <w:noProof/>
          <w:lang w:val="fr-FR"/>
        </w:rPr>
        <w:tab/>
        <w:t xml:space="preserve">Rastogi A, Al-Abed SR, Dionysiou DD. </w:t>
      </w:r>
      <w:r w:rsidRPr="0026720E">
        <w:rPr>
          <w:noProof/>
        </w:rPr>
        <w:t>Sulfate radical-based ferrous–peroxymonosulfate oxidative system for PCBs degradation in aqueous and sediment systems. Appl Catal B Environ 2009;85 (3–4):171–9.</w:t>
      </w:r>
    </w:p>
    <w:p w14:paraId="39E4C0EB" w14:textId="77777777" w:rsidR="00160292" w:rsidRPr="0026720E" w:rsidRDefault="00160292" w:rsidP="00E477E5">
      <w:pPr>
        <w:pStyle w:val="5-Ref-ENG"/>
        <w:rPr>
          <w:noProof/>
        </w:rPr>
      </w:pPr>
      <w:r w:rsidRPr="0026720E">
        <w:rPr>
          <w:noProof/>
        </w:rPr>
        <w:t>[15]</w:t>
      </w:r>
      <w:r w:rsidRPr="0026720E">
        <w:rPr>
          <w:noProof/>
        </w:rPr>
        <w:tab/>
        <w:t>Ball DL, Edwards JO. The Kinetics and Mechanism of the Decomposition of Caro’s Acid. I. J Am Chem Soc 1956;78 (6):1125–9.</w:t>
      </w:r>
    </w:p>
    <w:p w14:paraId="17C9CA05" w14:textId="77777777" w:rsidR="00160292" w:rsidRPr="0026720E" w:rsidRDefault="00160292" w:rsidP="00E477E5">
      <w:pPr>
        <w:pStyle w:val="5-Ref-ENG"/>
        <w:rPr>
          <w:noProof/>
        </w:rPr>
      </w:pPr>
      <w:r w:rsidRPr="0026720E">
        <w:rPr>
          <w:noProof/>
        </w:rPr>
        <w:t>[16]</w:t>
      </w:r>
      <w:r w:rsidRPr="0026720E">
        <w:rPr>
          <w:noProof/>
        </w:rPr>
        <w:tab/>
        <w:t>Lawrance GA, Ward CB. Kinetics of oxidation of manganese(II) by peroxomonosulfuric acid in aqueous acidic solution. Transit Met Chem 1985;10 (7):258–61.</w:t>
      </w:r>
    </w:p>
    <w:p w14:paraId="3357E2B5" w14:textId="77777777" w:rsidR="00160292" w:rsidRPr="0026720E" w:rsidRDefault="00160292" w:rsidP="00E477E5">
      <w:pPr>
        <w:pStyle w:val="5-Ref-ENG"/>
        <w:rPr>
          <w:noProof/>
        </w:rPr>
      </w:pPr>
      <w:r w:rsidRPr="0026720E">
        <w:rPr>
          <w:noProof/>
        </w:rPr>
        <w:t>[17]</w:t>
      </w:r>
      <w:r w:rsidRPr="0026720E">
        <w:rPr>
          <w:noProof/>
        </w:rPr>
        <w:tab/>
        <w:t>Rani SK, Easwaramoorthy D, Bilal IM, Palanichamy M. Studies on Mn(II)-catalyzed oxidation of α-amino acids by peroxomonosulphate in alkaline medium-deamination and decarboxylation: A kinetic approach. Appl Catal A Gen 2009;369 (1–2):1–7.</w:t>
      </w:r>
    </w:p>
    <w:p w14:paraId="6FCA79E2" w14:textId="4DA0F8C5" w:rsidR="009F4A30" w:rsidRPr="0026720E" w:rsidRDefault="009F4A30" w:rsidP="00E477E5">
      <w:pPr>
        <w:pStyle w:val="5-Ref-ENG"/>
        <w:rPr>
          <w:rFonts w:eastAsiaTheme="minorEastAsia"/>
        </w:rPr>
      </w:pPr>
      <w:r w:rsidRPr="0026720E">
        <w:rPr>
          <w:rFonts w:eastAsiaTheme="minorEastAsia"/>
        </w:rPr>
        <w:fldChar w:fldCharType="end"/>
      </w:r>
    </w:p>
    <w:sectPr w:rsidR="009F4A30" w:rsidRPr="0026720E" w:rsidSect="00E477E5">
      <w:headerReference w:type="default" r:id="rId31"/>
      <w:pgSz w:w="11906" w:h="16838"/>
      <w:pgMar w:top="720" w:right="720" w:bottom="720" w:left="720" w:header="170" w:footer="170"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13B5" w14:textId="77777777" w:rsidR="00445426" w:rsidRDefault="00445426" w:rsidP="001B67BC">
      <w:pPr>
        <w:spacing w:line="240" w:lineRule="auto"/>
      </w:pPr>
      <w:r>
        <w:separator/>
      </w:r>
    </w:p>
  </w:endnote>
  <w:endnote w:type="continuationSeparator" w:id="0">
    <w:p w14:paraId="417E49B4" w14:textId="77777777" w:rsidR="00445426" w:rsidRDefault="00445426" w:rsidP="001B67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正文 CS 字体)">
    <w:altName w:val="宋体"/>
    <w:charset w:val="86"/>
    <w:family w:val="roman"/>
    <w:pitch w:val="default"/>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dvOT596495f2">
    <w:altName w:val="Segoe Prin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EB0F1" w14:textId="77777777" w:rsidR="00445426" w:rsidRDefault="00445426" w:rsidP="001B67BC">
      <w:pPr>
        <w:spacing w:line="240" w:lineRule="auto"/>
      </w:pPr>
      <w:r>
        <w:separator/>
      </w:r>
    </w:p>
  </w:footnote>
  <w:footnote w:type="continuationSeparator" w:id="0">
    <w:p w14:paraId="37E559C3" w14:textId="77777777" w:rsidR="00445426" w:rsidRDefault="00445426" w:rsidP="001B67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89122" w14:textId="77777777" w:rsidR="00553F33" w:rsidRDefault="00553F33" w:rsidP="005006FD">
    <w:pPr>
      <w:pStyle w:val="ac"/>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0B21"/>
    <w:multiLevelType w:val="hybridMultilevel"/>
    <w:tmpl w:val="F17A7258"/>
    <w:lvl w:ilvl="0" w:tplc="10C843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06B0E95"/>
    <w:multiLevelType w:val="hybridMultilevel"/>
    <w:tmpl w:val="21CE4EB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7A931EC"/>
    <w:multiLevelType w:val="hybridMultilevel"/>
    <w:tmpl w:val="8E0E5850"/>
    <w:lvl w:ilvl="0" w:tplc="A162CB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E.Ref{24C2720A-2FC5-46C2-831A-D06EBECBFF3F}" w:val=" ADDIN NE.Ref.{24C2720A-2FC5-46C2-831A-D06EBECBFF3F}&lt;Citation&gt;&lt;Group&gt;&lt;References&gt;&lt;Item&gt;&lt;ID&gt;421&lt;/ID&gt;&lt;UID&gt;{33E4B49E-476C-46B5-A6A3-D16877037F1B}&lt;/UID&gt;&lt;Title&gt;Studies on Singlet Oxygen in Aqueous Solution. Part 3.&amp;apos; The Decomposition of Peroxy-acids&lt;/Title&gt;&lt;Template&gt;Journal Article&lt;/Template&gt;&lt;Star&gt;0&lt;/Star&gt;&lt;Tag&gt;0&lt;/Tag&gt;&lt;Author&gt;Evans, Dennis F; Upton, Mark W&lt;/Author&gt;&lt;Year&gt;1985&lt;/Year&gt;&lt;Details&gt;&lt;_created&gt;63352638&lt;/_created&gt;&lt;_modified&gt;63362379&lt;/_modified&gt;&lt;_accessed&gt;63362378&lt;/_accessed&gt;&lt;_pages&gt;1151&lt;/_pages&gt;&lt;_journal&gt;DALTON TRANS.&lt;/_journal&gt;&lt;_volume&gt;6&lt;/_volume&gt;&lt;/Details&gt;&lt;Extra&gt;&lt;DBUID&gt;{C4947BE3-9F54-409D-A5B7-891EE64D32EF}&lt;/DBUID&gt;&lt;/Extra&gt;&lt;/Item&gt;&lt;/References&gt;&lt;/Group&gt;&lt;/Citation&gt;_x000a_"/>
    <w:docVar w:name="NE.Ref{4F239FBF-22AD-44E9-A184-3079B4D9C73E}" w:val=" ADDIN NE.Ref.{4F239FBF-22AD-44E9-A184-3079B4D9C73E}&lt;Citation&gt;&lt;Group&gt;&lt;References&gt;&lt;Item&gt;&lt;ID&gt;360&lt;/ID&gt;&lt;UID&gt;{4336491E-4D86-4585-816B-FE4B7F43FEF5}&lt;/UID&gt;&lt;Title&gt;Studies on Mn(II)-catalyzed oxidation of a -amino acids by peroxomonosulphate in alkaline medium-deamination and decarboxylation: A kinetic approach&lt;/Title&gt;&lt;Template&gt;Journal Article&lt;/Template&gt;&lt;Star&gt;0&lt;/Star&gt;&lt;Tag&gt;0&lt;/Tag&gt;&lt;Author&gt;Rani, S Kutti; Easwaramoorthy, D; Bilal, I Mohammed; Palanichamy, M&lt;/Author&gt;&lt;Year&gt;2009&lt;/Year&gt;&lt;Details&gt;&lt;_accessed&gt;63362382&lt;/_accessed&gt;&lt;_created&gt;62950908&lt;/_created&gt;&lt;_doi&gt;10.1016/j.apcata.2009.07.048&lt;/_doi&gt;&lt;_journal&gt;Applied Catalysis A: General&lt;/_journal&gt;&lt;_modified&gt;63362381&lt;/_modified&gt;&lt;_pages&gt;1-7&lt;/_pages&gt;&lt;_volume&gt;369&lt;/_volume&gt;&lt;/Details&gt;&lt;Extra&gt;&lt;DBUID&gt;{C4947BE3-9F54-409D-A5B7-891EE64D32EF}&lt;/DBUID&gt;&lt;/Extra&gt;&lt;/Item&gt;&lt;/References&gt;&lt;/Group&gt;&lt;Group&gt;&lt;References&gt;&lt;Item&gt;&lt;ID&gt;361&lt;/ID&gt;&lt;UID&gt;{73A10C67-30E8-4611-A68F-593C48959C3D}&lt;/UID&gt;&lt;Title&gt;Kinetics of Oxidation of Manganese(II) by Peroxomonosulfuric Acid in Aqueous Acidic Solution&lt;/Title&gt;&lt;Template&gt;Journal Article&lt;/Template&gt;&lt;Star&gt;0&lt;/Star&gt;&lt;Tag&gt;0&lt;/Tag&gt;&lt;Author&gt;Lawrance, Geoffrey A; Ward, Christopher B&lt;/Author&gt;&lt;Year&gt;1985&lt;/Year&gt;&lt;Details&gt;&lt;_accessed&gt;63362381&lt;/_accessed&gt;&lt;_created&gt;62950914&lt;/_created&gt;&lt;_journal&gt;Transition Met. Chem. &lt;/_journal&gt;&lt;_modified&gt;63362381&lt;/_modified&gt;&lt;_pages&gt;258-261&lt;/_pages&gt;&lt;_volume&gt;10&lt;/_volume&gt;&lt;/Details&gt;&lt;Extra&gt;&lt;DBUID&gt;{C4947BE3-9F54-409D-A5B7-891EE64D32EF}&lt;/DBUID&gt;&lt;/Extra&gt;&lt;/Item&gt;&lt;/References&gt;&lt;/Group&gt;&lt;/Citation&gt;_x000a_"/>
    <w:docVar w:name="NE.Ref{D1CA136F-FF5E-46E8-80F7-BD8D75F0BA77}" w:val=" ADDIN NE.Ref.{D1CA136F-FF5E-46E8-80F7-BD8D75F0BA77}&lt;Citation&gt;&lt;Group&gt;&lt;References&gt;&lt;Item&gt;&lt;ID&gt;358&lt;/ID&gt;&lt;UID&gt;{601A3082-A851-4909-8B68-FFE50F53517F}&lt;/UID&gt;&lt;Title&gt;The Kinetics and Mechanism of the Decomposition of Caro&amp;apos;s Acid. I&lt;/Title&gt;&lt;Template&gt;Journal Article&lt;/Template&gt;&lt;Star&gt;0&lt;/Star&gt;&lt;Tag&gt;0&lt;/Tag&gt;&lt;Author&gt;Ball, Donald L; Edwards, John O&lt;/Author&gt;&lt;Year&gt;1956&lt;/Year&gt;&lt;Details&gt;&lt;_accessed&gt;63362379&lt;/_accessed&gt;&lt;_collection_scope&gt;SCI;SCIE;EI&lt;/_collection_scope&gt;&lt;_created&gt;62950889&lt;/_created&gt;&lt;_date&gt;29452320&lt;/_date&gt;&lt;_date_display&gt;1956&lt;/_date_display&gt;&lt;_db_updated&gt;PKU Search&lt;/_db_updated&gt;&lt;_doi&gt;10.1021/ja01587a011&lt;/_doi&gt;&lt;_impact_factor&gt;  14.695&lt;/_impact_factor&gt;&lt;_isbn&gt;0002-7863_x000d__x000a_&lt;/_isbn&gt;&lt;_issue&gt;6_x000d__x000a_&lt;/_issue&gt;&lt;_journal&gt;Journal of the American Chemical Society&lt;/_journal&gt;&lt;_modified&gt;62950889&lt;/_modified&gt;&lt;_number&gt;1&lt;/_number&gt;&lt;_pages&gt;1125_x000d__x000a_-1129_x000d__x000a_&lt;/_pages&gt;&lt;_url&gt;http://pku.summon.serialssolutions.com/2.0.0/link/0/eLvHCXMwjV1NS8NAEB20F734LX6zB8FTSne2SbbHEBsULQjqxUvZbGahiGmx9v87myY05NRLYEPCwg677z1m3iyAwv4g6JwJGNkCKbJGU0E6N4zjxjopeawY4739-WuiX98wG4etmppuQh99uyAGMB3zs9I8WvndmKTvGzMkatlw3lhHqjbldf5twVALT7LDLac-goOaMIpkHeFj2KHyBPbS5p62U0g40uKFyaJvuCxMWYgJeTvvbPkj5k4wwROP5CvH6_Is_9KXeTwsRWJnRV88n8FnNv5In4L6YoTAeoEW6BCdix2hU0ZpBmlmZSNjFBLTsVwOckvSxLEbqUjmEWtclgE-w4IRuaHVuTqHXjkv6QIECxYb2koF2WEoyRiHfBajLGJWZmFxCffNOk0X6_4X0ypvjawbNutxtd1n17Dv_YnrGq4b6P39rugWdhffq7sqiP9uO5dX&lt;/_url&gt;&lt;_volume&gt;78&lt;/_volume&gt;&lt;/Details&gt;&lt;Extra&gt;&lt;DBUID&gt;{C4947BE3-9F54-409D-A5B7-891EE64D32EF}&lt;/DBUID&gt;&lt;/Extra&gt;&lt;/Item&gt;&lt;/References&gt;&lt;/Group&gt;&lt;Group&gt;&lt;References&gt;&lt;Item&gt;&lt;ID&gt;359&lt;/ID&gt;&lt;UID&gt;{B7F1B827-3A5D-43D7-A6FC-E19CF6299A70}&lt;/UID&gt;&lt;Title&gt;Sulfate radical-based ferrous–peroxymonosulfate oxidative system for PCBs degradation in aqueous and sediment systems&lt;/Title&gt;&lt;Template&gt;Journal Article&lt;/Template&gt;&lt;Star&gt;0&lt;/Star&gt;&lt;Tag&gt;0&lt;/Tag&gt;&lt;Author&gt;Rastogi, Aditya; Al-Abed, Souhail R; Dionysiou, Dionysios D&lt;/Author&gt;&lt;Year&gt;2009&lt;/Year&gt;&lt;Details&gt;&lt;_accessed&gt;63362379&lt;/_accessed&gt;&lt;_created&gt;62950889&lt;/_created&gt;&lt;_db_updated&gt;CrossRef&lt;/_db_updated&gt;&lt;_doi&gt;10.1016/j.apcatb.2008.07.010&lt;/_doi&gt;&lt;_impact_factor&gt;  14.229&lt;/_impact_factor&gt;&lt;_isbn&gt;09263373&lt;/_isbn&gt;&lt;_issue&gt;3-4&lt;/_issue&gt;&lt;_journal&gt;Applied Catalysis B: Environmental&lt;/_journal&gt;&lt;_modified&gt;62950889&lt;/_modified&gt;&lt;_pages&gt;171-179&lt;/_pages&gt;&lt;_tertiary_title&gt;Applied Catalysis B: Environmental&lt;/_tertiary_title&gt;&lt;_url&gt;https://linkinghub.elsevier.com/retrieve/pii/S0926337308002579_x000d__x000a_https://api.elsevier.com/content/article/PII:S0926337308002579?httpAccept=text/xml&lt;/_url&gt;&lt;_volume&gt;85&lt;/_volume&gt;&lt;/Details&gt;&lt;Extra&gt;&lt;DBUID&gt;{C4947BE3-9F54-409D-A5B7-891EE64D32EF}&lt;/DBUID&gt;&lt;/Extra&gt;&lt;/Item&gt;&lt;/References&gt;&lt;/Group&gt;&lt;/Citation&gt;_x000a_"/>
    <w:docVar w:name="NE.Ref{F2F50251-DB55-4DBC-8913-50FF1649439E}" w:val=" ADDIN NE.Ref.{F2F50251-DB55-4DBC-8913-50FF1649439E}&lt;Citation&gt;&lt;Group&gt;&lt;References&gt;&lt;Item&gt;&lt;ID&gt;370&lt;/ID&gt;&lt;UID&gt;{C77C2B25-E718-41E7-ABBE-2D8E8D57B2E8}&lt;/UID&gt;&lt;Title&gt;Degradation of flumequine in aqueous solution by persulfate activated with common methods and polyhydroquinone-coated magnetite/multi-walled carbon nanotubes catalysts&lt;/Title&gt;&lt;Template&gt;Journal Article&lt;/Template&gt;&lt;Star&gt;0&lt;/Star&gt;&lt;Tag&gt;0&lt;/Tag&gt;&lt;Author&gt;Feng, Mingbao; Qu, Ruijuan; Zhang, Xiaoling; Sun, Ping; Sui, Yunxia; Wang, Liansheng; Wang, Zunyao&lt;/Author&gt;&lt;Year&gt;2015&lt;/Year&gt;&lt;Details&gt;&lt;_accessed&gt;63008350&lt;/_accessed&gt;&lt;_collection_scope&gt;SCI;SCIE;EI&lt;/_collection_scope&gt;&lt;_created&gt;63008350&lt;/_created&gt;&lt;_db_updated&gt;CrossRef&lt;/_db_updated&gt;&lt;_doi&gt;10.1016/j.watres.2015.08.011&lt;/_doi&gt;&lt;_impact_factor&gt;   7.913&lt;/_impact_factor&gt;&lt;_isbn&gt;00431354&lt;/_isbn&gt;&lt;_journal&gt;Water Research&lt;/_journal&gt;&lt;_modified&gt;63011198&lt;/_modified&gt;&lt;_pages&gt;1-10&lt;/_pages&gt;&lt;_tertiary_title&gt;Water Research&lt;/_tertiary_title&gt;&lt;_url&gt;https://linkinghub.elsevier.com/retrieve/pii/S0043135415301627_x000d__x000a_https://api.elsevier.com/content/article/PII:S0043135415301627?httpAccept=text/plain&lt;/_url&gt;&lt;_volume&gt;85&lt;/_volume&gt;&lt;/Details&gt;&lt;Extra&gt;&lt;DBUID&gt;{C4947BE3-9F54-409D-A5B7-891EE64D32EF}&lt;/DBUID&gt;&lt;/Extra&gt;&lt;/Item&gt;&lt;/References&gt;&lt;/Group&gt;&lt;Group&gt;&lt;References&gt;&lt;Item&gt;&lt;ID&gt;371&lt;/ID&gt;&lt;UID&gt;{1D9CC6B4-A354-4654-B40C-A68C12564BE7}&lt;/UID&gt;&lt;Title&gt;In-situ activation of persulfate by iron filings and degradation of 1,4-dioxane&lt;/Title&gt;&lt;Template&gt;Journal Article&lt;/Template&gt;&lt;Star&gt;0&lt;/Star&gt;&lt;Tag&gt;0&lt;/Tag&gt;&lt;Author&gt;Zhong, Hua; Brusseau, Mark L; Wang, Yake; Yan, Ni; Quig, Lauren; Johnson, Gwynn R&lt;/Author&gt;&lt;Year&gt;2015&lt;/Year&gt;&lt;Details&gt;&lt;_accessed&gt;63011198&lt;/_accessed&gt;&lt;_collection_scope&gt;SCI;SCIE;EI&lt;/_collection_scope&gt;&lt;_created&gt;63011198&lt;/_created&gt;&lt;_db_updated&gt;CrossRef&lt;/_db_updated&gt;&lt;_doi&gt;10.1016/j.watres.2015.06.025&lt;/_doi&gt;&lt;_impact_factor&gt;   7.913&lt;/_impact_factor&gt;&lt;_isbn&gt;00431354&lt;/_isbn&gt;&lt;_journal&gt;Water Research&lt;/_journal&gt;&lt;_modified&gt;63011198&lt;/_modified&gt;&lt;_pages&gt;104-111&lt;/_pages&gt;&lt;_tertiary_title&gt;Water Research&lt;/_tertiary_title&gt;&lt;_url&gt;https://linkinghub.elsevier.com/retrieve/pii/S0043135415300750_x000d__x000a_https://api.elsevier.com/content/article/PII:S0043135415300750?httpAccept=text/plain&lt;/_url&gt;&lt;_volume&gt;83&lt;/_volume&gt;&lt;/Details&gt;&lt;Extra&gt;&lt;DBUID&gt;{C4947BE3-9F54-409D-A5B7-891EE64D32EF}&lt;/DBUID&gt;&lt;/Extra&gt;&lt;/Item&gt;&lt;/References&gt;&lt;/Group&gt;&lt;Group&gt;&lt;References&gt;&lt;Item&gt;&lt;ID&gt;372&lt;/ID&gt;&lt;UID&gt;{638C7F23-F853-469F-BF05-DE14513DBFDD}&lt;/UID&gt;&lt;Title&gt;Degradation of trichloroethene by siderite-catalyzed hydrogen peroxide and persulfate: Investigation of reaction mechanisms and degradation products&lt;/Title&gt;&lt;Template&gt;Journal Article&lt;/Template&gt;&lt;Star&gt;0&lt;/Star&gt;&lt;Tag&gt;0&lt;/Tag&gt;&lt;Author&gt;Yan, Ni; Liu, Fei; Xue, Qiang; Brusseau, Mark L; Liu, Yali; Wang, Junjie&lt;/Author&gt;&lt;Year&gt;2015&lt;/Year&gt;&lt;Details&gt;&lt;_accessed&gt;63011201&lt;/_accessed&gt;&lt;_collection_scope&gt;SCI;SCIE;EI&lt;/_collection_scope&gt;&lt;_created&gt;63011201&lt;/_created&gt;&lt;_db_updated&gt;CrossRef&lt;/_db_updated&gt;&lt;_doi&gt;10.1016/j.cej.2015.03.056&lt;/_doi&gt;&lt;_impact_factor&gt;   8.355&lt;/_impact_factor&gt;&lt;_isbn&gt;13858947&lt;/_isbn&gt;&lt;_journal&gt;Chemical Engineering Journal&lt;/_journal&gt;&lt;_modified&gt;63011201&lt;/_modified&gt;&lt;_pages&gt;61-68&lt;/_pages&gt;&lt;_tertiary_title&gt;Chemical Engineering Journal&lt;/_tertiary_title&gt;&lt;_url&gt;https://linkinghub.elsevier.com/retrieve/pii/S1385894715003721_x000d__x000a_https://api.elsevier.com/content/article/PII:S1385894715003721?httpAccept=text/xml&lt;/_url&gt;&lt;_volume&gt;274&lt;/_volume&gt;&lt;/Details&gt;&lt;Extra&gt;&lt;DBUID&gt;{C4947BE3-9F54-409D-A5B7-891EE64D32EF}&lt;/DBUID&gt;&lt;/Extra&gt;&lt;/Item&gt;&lt;/References&gt;&lt;/Group&gt;&lt;/Citation&gt;_x000a_"/>
    <w:docVar w:name="ne_docsoft" w:val="MSWord"/>
    <w:docVar w:name="ne_docversion" w:val="NoteExpress 2.0"/>
    <w:docVar w:name="ne_stylename" w:val="Nature"/>
  </w:docVars>
  <w:rsids>
    <w:rsidRoot w:val="000A4B2F"/>
    <w:rsid w:val="00001135"/>
    <w:rsid w:val="00011AEC"/>
    <w:rsid w:val="00023129"/>
    <w:rsid w:val="00037979"/>
    <w:rsid w:val="000655E5"/>
    <w:rsid w:val="00071BAF"/>
    <w:rsid w:val="000725A8"/>
    <w:rsid w:val="00081E92"/>
    <w:rsid w:val="000A0D4B"/>
    <w:rsid w:val="000A4B2F"/>
    <w:rsid w:val="000A7125"/>
    <w:rsid w:val="000C5FAF"/>
    <w:rsid w:val="000D2C55"/>
    <w:rsid w:val="000D2C7E"/>
    <w:rsid w:val="000E4BF7"/>
    <w:rsid w:val="000F4D50"/>
    <w:rsid w:val="00102E59"/>
    <w:rsid w:val="00103552"/>
    <w:rsid w:val="00111583"/>
    <w:rsid w:val="00117933"/>
    <w:rsid w:val="00136049"/>
    <w:rsid w:val="001367A3"/>
    <w:rsid w:val="00160292"/>
    <w:rsid w:val="00166808"/>
    <w:rsid w:val="00175BA5"/>
    <w:rsid w:val="00177B1D"/>
    <w:rsid w:val="00181F82"/>
    <w:rsid w:val="00184ADB"/>
    <w:rsid w:val="001A23D9"/>
    <w:rsid w:val="001A2B52"/>
    <w:rsid w:val="001B67BC"/>
    <w:rsid w:val="001B7A45"/>
    <w:rsid w:val="001C0228"/>
    <w:rsid w:val="001C16B4"/>
    <w:rsid w:val="001C1FB2"/>
    <w:rsid w:val="001D3CA6"/>
    <w:rsid w:val="001F1D94"/>
    <w:rsid w:val="002025CC"/>
    <w:rsid w:val="002035AA"/>
    <w:rsid w:val="0023077B"/>
    <w:rsid w:val="0023162F"/>
    <w:rsid w:val="0026720E"/>
    <w:rsid w:val="0027378F"/>
    <w:rsid w:val="0028365E"/>
    <w:rsid w:val="00284D0E"/>
    <w:rsid w:val="002861C2"/>
    <w:rsid w:val="002904B5"/>
    <w:rsid w:val="00291644"/>
    <w:rsid w:val="002924B8"/>
    <w:rsid w:val="002933F0"/>
    <w:rsid w:val="0029367A"/>
    <w:rsid w:val="002A1469"/>
    <w:rsid w:val="002A45D8"/>
    <w:rsid w:val="002B2864"/>
    <w:rsid w:val="002B7E41"/>
    <w:rsid w:val="002C1699"/>
    <w:rsid w:val="002C4730"/>
    <w:rsid w:val="002F1560"/>
    <w:rsid w:val="002F59CA"/>
    <w:rsid w:val="00300B84"/>
    <w:rsid w:val="0030717C"/>
    <w:rsid w:val="00311417"/>
    <w:rsid w:val="00331C14"/>
    <w:rsid w:val="003359C3"/>
    <w:rsid w:val="00343720"/>
    <w:rsid w:val="0035393A"/>
    <w:rsid w:val="0036103C"/>
    <w:rsid w:val="00361BCE"/>
    <w:rsid w:val="00370C9B"/>
    <w:rsid w:val="00375841"/>
    <w:rsid w:val="00387C3B"/>
    <w:rsid w:val="00394A8C"/>
    <w:rsid w:val="003A1600"/>
    <w:rsid w:val="003A5DCD"/>
    <w:rsid w:val="003B487F"/>
    <w:rsid w:val="003C18B1"/>
    <w:rsid w:val="003C20BA"/>
    <w:rsid w:val="003C622E"/>
    <w:rsid w:val="003E3A65"/>
    <w:rsid w:val="003E58AF"/>
    <w:rsid w:val="0041304C"/>
    <w:rsid w:val="0041390E"/>
    <w:rsid w:val="004143AF"/>
    <w:rsid w:val="0041548D"/>
    <w:rsid w:val="00430D4D"/>
    <w:rsid w:val="0043548C"/>
    <w:rsid w:val="00445426"/>
    <w:rsid w:val="00447764"/>
    <w:rsid w:val="00452FAE"/>
    <w:rsid w:val="0045595C"/>
    <w:rsid w:val="004670F9"/>
    <w:rsid w:val="00467798"/>
    <w:rsid w:val="00473C1D"/>
    <w:rsid w:val="00477B92"/>
    <w:rsid w:val="00486DEB"/>
    <w:rsid w:val="00490906"/>
    <w:rsid w:val="00494089"/>
    <w:rsid w:val="004957B8"/>
    <w:rsid w:val="004A1A3B"/>
    <w:rsid w:val="004A1AC1"/>
    <w:rsid w:val="004A688F"/>
    <w:rsid w:val="004D6513"/>
    <w:rsid w:val="004F3E4D"/>
    <w:rsid w:val="00500444"/>
    <w:rsid w:val="005006FD"/>
    <w:rsid w:val="00507150"/>
    <w:rsid w:val="0051174F"/>
    <w:rsid w:val="00540AA5"/>
    <w:rsid w:val="005445B2"/>
    <w:rsid w:val="00553F33"/>
    <w:rsid w:val="00554552"/>
    <w:rsid w:val="00554F31"/>
    <w:rsid w:val="00566A72"/>
    <w:rsid w:val="005732BD"/>
    <w:rsid w:val="00576A09"/>
    <w:rsid w:val="00591468"/>
    <w:rsid w:val="005916E3"/>
    <w:rsid w:val="005A7520"/>
    <w:rsid w:val="005B4F09"/>
    <w:rsid w:val="005B5E54"/>
    <w:rsid w:val="005B7E57"/>
    <w:rsid w:val="005C095B"/>
    <w:rsid w:val="005C0A2F"/>
    <w:rsid w:val="005C51BD"/>
    <w:rsid w:val="005D241F"/>
    <w:rsid w:val="006014EA"/>
    <w:rsid w:val="00630218"/>
    <w:rsid w:val="00636E13"/>
    <w:rsid w:val="00653217"/>
    <w:rsid w:val="00671398"/>
    <w:rsid w:val="00671779"/>
    <w:rsid w:val="006A2AC1"/>
    <w:rsid w:val="006B020E"/>
    <w:rsid w:val="006B700D"/>
    <w:rsid w:val="006E0B18"/>
    <w:rsid w:val="006F08C2"/>
    <w:rsid w:val="006F1EA8"/>
    <w:rsid w:val="007020F9"/>
    <w:rsid w:val="00703C53"/>
    <w:rsid w:val="00731B1E"/>
    <w:rsid w:val="00755AF3"/>
    <w:rsid w:val="0076211F"/>
    <w:rsid w:val="0076710B"/>
    <w:rsid w:val="007935F7"/>
    <w:rsid w:val="007A6DF7"/>
    <w:rsid w:val="007B479F"/>
    <w:rsid w:val="007B5622"/>
    <w:rsid w:val="007B60DB"/>
    <w:rsid w:val="007B778B"/>
    <w:rsid w:val="007C5310"/>
    <w:rsid w:val="007C63BD"/>
    <w:rsid w:val="007C6F4C"/>
    <w:rsid w:val="007C7EC4"/>
    <w:rsid w:val="007D39FC"/>
    <w:rsid w:val="007D70C1"/>
    <w:rsid w:val="007E2EB3"/>
    <w:rsid w:val="007E3839"/>
    <w:rsid w:val="007E4364"/>
    <w:rsid w:val="008038DA"/>
    <w:rsid w:val="00807319"/>
    <w:rsid w:val="008125CB"/>
    <w:rsid w:val="00824701"/>
    <w:rsid w:val="00832534"/>
    <w:rsid w:val="008418ED"/>
    <w:rsid w:val="00843B9A"/>
    <w:rsid w:val="0085647A"/>
    <w:rsid w:val="0087629F"/>
    <w:rsid w:val="00876D09"/>
    <w:rsid w:val="0087718A"/>
    <w:rsid w:val="0088116D"/>
    <w:rsid w:val="0089645D"/>
    <w:rsid w:val="00896B69"/>
    <w:rsid w:val="008A35B8"/>
    <w:rsid w:val="008C0010"/>
    <w:rsid w:val="008C2C5C"/>
    <w:rsid w:val="008F379F"/>
    <w:rsid w:val="008F43AF"/>
    <w:rsid w:val="0091114D"/>
    <w:rsid w:val="00913B6B"/>
    <w:rsid w:val="00915B3F"/>
    <w:rsid w:val="0094012A"/>
    <w:rsid w:val="00946258"/>
    <w:rsid w:val="00976346"/>
    <w:rsid w:val="00977BD7"/>
    <w:rsid w:val="009A3830"/>
    <w:rsid w:val="009B6750"/>
    <w:rsid w:val="009C7067"/>
    <w:rsid w:val="009D018C"/>
    <w:rsid w:val="009D0C80"/>
    <w:rsid w:val="009D100C"/>
    <w:rsid w:val="009D5572"/>
    <w:rsid w:val="009E5A9C"/>
    <w:rsid w:val="009E6B37"/>
    <w:rsid w:val="009F3C7B"/>
    <w:rsid w:val="009F4A30"/>
    <w:rsid w:val="009F7CC1"/>
    <w:rsid w:val="00A101C3"/>
    <w:rsid w:val="00A13497"/>
    <w:rsid w:val="00A13643"/>
    <w:rsid w:val="00A259C9"/>
    <w:rsid w:val="00A400DE"/>
    <w:rsid w:val="00A4246F"/>
    <w:rsid w:val="00A46BA5"/>
    <w:rsid w:val="00A516BA"/>
    <w:rsid w:val="00A5512B"/>
    <w:rsid w:val="00A7035F"/>
    <w:rsid w:val="00A81966"/>
    <w:rsid w:val="00AB4053"/>
    <w:rsid w:val="00AD1AE3"/>
    <w:rsid w:val="00AD47B0"/>
    <w:rsid w:val="00AE5459"/>
    <w:rsid w:val="00AF608C"/>
    <w:rsid w:val="00B309BA"/>
    <w:rsid w:val="00B42F88"/>
    <w:rsid w:val="00B47AC5"/>
    <w:rsid w:val="00B62995"/>
    <w:rsid w:val="00B665DA"/>
    <w:rsid w:val="00B71907"/>
    <w:rsid w:val="00BA66B4"/>
    <w:rsid w:val="00BC5812"/>
    <w:rsid w:val="00BC647D"/>
    <w:rsid w:val="00BE7106"/>
    <w:rsid w:val="00BE791A"/>
    <w:rsid w:val="00BF2139"/>
    <w:rsid w:val="00BF2FC2"/>
    <w:rsid w:val="00C018E0"/>
    <w:rsid w:val="00C048A8"/>
    <w:rsid w:val="00C07DD2"/>
    <w:rsid w:val="00C27CBC"/>
    <w:rsid w:val="00C3015F"/>
    <w:rsid w:val="00C50C16"/>
    <w:rsid w:val="00C610E5"/>
    <w:rsid w:val="00C80BFC"/>
    <w:rsid w:val="00C944CE"/>
    <w:rsid w:val="00C965E3"/>
    <w:rsid w:val="00C97383"/>
    <w:rsid w:val="00CA0CF0"/>
    <w:rsid w:val="00CA1443"/>
    <w:rsid w:val="00CA20E5"/>
    <w:rsid w:val="00CB0089"/>
    <w:rsid w:val="00CB1FE7"/>
    <w:rsid w:val="00CD778D"/>
    <w:rsid w:val="00CF13B6"/>
    <w:rsid w:val="00D0611D"/>
    <w:rsid w:val="00D217F2"/>
    <w:rsid w:val="00D2220A"/>
    <w:rsid w:val="00D30721"/>
    <w:rsid w:val="00D3381F"/>
    <w:rsid w:val="00D5532B"/>
    <w:rsid w:val="00D645D1"/>
    <w:rsid w:val="00D71792"/>
    <w:rsid w:val="00D723DE"/>
    <w:rsid w:val="00D87A5A"/>
    <w:rsid w:val="00D936F2"/>
    <w:rsid w:val="00DA0DFD"/>
    <w:rsid w:val="00DC1C32"/>
    <w:rsid w:val="00DD251B"/>
    <w:rsid w:val="00DE151D"/>
    <w:rsid w:val="00DE7795"/>
    <w:rsid w:val="00DF31D7"/>
    <w:rsid w:val="00DF6864"/>
    <w:rsid w:val="00E106FA"/>
    <w:rsid w:val="00E230E0"/>
    <w:rsid w:val="00E304DE"/>
    <w:rsid w:val="00E30FB9"/>
    <w:rsid w:val="00E33B3B"/>
    <w:rsid w:val="00E40148"/>
    <w:rsid w:val="00E4087B"/>
    <w:rsid w:val="00E477E5"/>
    <w:rsid w:val="00E47A2B"/>
    <w:rsid w:val="00E50ABF"/>
    <w:rsid w:val="00E516FD"/>
    <w:rsid w:val="00E51E10"/>
    <w:rsid w:val="00E606DC"/>
    <w:rsid w:val="00E615BC"/>
    <w:rsid w:val="00E61BF7"/>
    <w:rsid w:val="00E66989"/>
    <w:rsid w:val="00E8386E"/>
    <w:rsid w:val="00E90570"/>
    <w:rsid w:val="00E92A3C"/>
    <w:rsid w:val="00E92D86"/>
    <w:rsid w:val="00E95B47"/>
    <w:rsid w:val="00E9631F"/>
    <w:rsid w:val="00EC5EF0"/>
    <w:rsid w:val="00ED5AE7"/>
    <w:rsid w:val="00ED7DEE"/>
    <w:rsid w:val="00F2449F"/>
    <w:rsid w:val="00F26A32"/>
    <w:rsid w:val="00F33C5F"/>
    <w:rsid w:val="00F42DFB"/>
    <w:rsid w:val="00F42F71"/>
    <w:rsid w:val="00F518BB"/>
    <w:rsid w:val="00F7126F"/>
    <w:rsid w:val="00F8301D"/>
    <w:rsid w:val="00F83CA4"/>
    <w:rsid w:val="00F84701"/>
    <w:rsid w:val="00F86A91"/>
    <w:rsid w:val="00FC47BA"/>
    <w:rsid w:val="00FC57F7"/>
    <w:rsid w:val="00FC5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9A16D"/>
  <w15:docId w15:val="{578A9B3B-B641-4906-BD8F-0A61B726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0ABF"/>
    <w:pPr>
      <w:widowControl w:val="0"/>
      <w:spacing w:line="360" w:lineRule="auto"/>
      <w:jc w:val="both"/>
    </w:pPr>
    <w:rPr>
      <w:rFonts w:ascii="Times New Roman" w:eastAsia="Times New Roman" w:hAnsi="Times New Roman"/>
      <w:sz w:val="24"/>
    </w:rPr>
  </w:style>
  <w:style w:type="paragraph" w:styleId="1">
    <w:name w:val="heading 1"/>
    <w:basedOn w:val="a"/>
    <w:next w:val="a"/>
    <w:link w:val="10"/>
    <w:uiPriority w:val="9"/>
    <w:qFormat/>
    <w:rsid w:val="00486DEB"/>
    <w:pPr>
      <w:keepNext/>
      <w:keepLines/>
      <w:spacing w:before="340" w:after="330" w:line="578" w:lineRule="auto"/>
      <w:jc w:val="center"/>
      <w:outlineLvl w:val="0"/>
    </w:pPr>
    <w:rPr>
      <w:rFonts w:cs="Times New Roman (正文 CS 字体)"/>
      <w:b/>
      <w:bCs/>
      <w:kern w:val="44"/>
      <w:sz w:val="32"/>
      <w:szCs w:val="44"/>
    </w:rPr>
  </w:style>
  <w:style w:type="paragraph" w:styleId="2">
    <w:name w:val="heading 2"/>
    <w:basedOn w:val="a"/>
    <w:next w:val="a"/>
    <w:link w:val="20"/>
    <w:uiPriority w:val="9"/>
    <w:unhideWhenUsed/>
    <w:qFormat/>
    <w:rsid w:val="0000113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00113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D936F2"/>
    <w:pPr>
      <w:spacing w:before="240" w:after="60"/>
      <w:jc w:val="center"/>
      <w:outlineLvl w:val="0"/>
    </w:pPr>
    <w:rPr>
      <w:rFonts w:asciiTheme="majorHAnsi" w:eastAsia="宋体" w:hAnsiTheme="majorHAnsi" w:cstheme="majorBidi"/>
      <w:b/>
      <w:bCs/>
      <w:sz w:val="32"/>
      <w:szCs w:val="32"/>
    </w:rPr>
  </w:style>
  <w:style w:type="character" w:customStyle="1" w:styleId="a4">
    <w:name w:val="标题 字符"/>
    <w:basedOn w:val="a0"/>
    <w:link w:val="a3"/>
    <w:uiPriority w:val="10"/>
    <w:rsid w:val="00D936F2"/>
    <w:rPr>
      <w:rFonts w:asciiTheme="majorHAnsi" w:eastAsia="宋体" w:hAnsiTheme="majorHAnsi" w:cstheme="majorBidi"/>
      <w:b/>
      <w:bCs/>
      <w:sz w:val="32"/>
      <w:szCs w:val="32"/>
    </w:rPr>
  </w:style>
  <w:style w:type="paragraph" w:styleId="a5">
    <w:name w:val="Balloon Text"/>
    <w:basedOn w:val="a"/>
    <w:link w:val="a6"/>
    <w:uiPriority w:val="99"/>
    <w:semiHidden/>
    <w:unhideWhenUsed/>
    <w:rsid w:val="000A4B2F"/>
    <w:rPr>
      <w:sz w:val="18"/>
      <w:szCs w:val="18"/>
    </w:rPr>
  </w:style>
  <w:style w:type="character" w:customStyle="1" w:styleId="a6">
    <w:name w:val="批注框文本 字符"/>
    <w:basedOn w:val="a0"/>
    <w:link w:val="a5"/>
    <w:uiPriority w:val="99"/>
    <w:semiHidden/>
    <w:rsid w:val="000A4B2F"/>
    <w:rPr>
      <w:sz w:val="18"/>
      <w:szCs w:val="18"/>
    </w:rPr>
  </w:style>
  <w:style w:type="paragraph" w:styleId="a7">
    <w:name w:val="annotation text"/>
    <w:basedOn w:val="a"/>
    <w:link w:val="a8"/>
    <w:uiPriority w:val="99"/>
    <w:semiHidden/>
    <w:unhideWhenUsed/>
    <w:rsid w:val="00ED7DEE"/>
    <w:pPr>
      <w:jc w:val="left"/>
    </w:pPr>
  </w:style>
  <w:style w:type="character" w:customStyle="1" w:styleId="a8">
    <w:name w:val="批注文字 字符"/>
    <w:basedOn w:val="a0"/>
    <w:link w:val="a7"/>
    <w:uiPriority w:val="99"/>
    <w:semiHidden/>
    <w:rsid w:val="00ED7DEE"/>
  </w:style>
  <w:style w:type="character" w:styleId="a9">
    <w:name w:val="annotation reference"/>
    <w:basedOn w:val="a0"/>
    <w:uiPriority w:val="99"/>
    <w:semiHidden/>
    <w:unhideWhenUsed/>
    <w:qFormat/>
    <w:rsid w:val="00ED7DEE"/>
    <w:rPr>
      <w:sz w:val="21"/>
      <w:szCs w:val="21"/>
    </w:rPr>
  </w:style>
  <w:style w:type="table" w:customStyle="1" w:styleId="11">
    <w:name w:val="网格型1"/>
    <w:basedOn w:val="a1"/>
    <w:next w:val="aa"/>
    <w:uiPriority w:val="59"/>
    <w:qFormat/>
    <w:rsid w:val="00ED7DEE"/>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semiHidden/>
    <w:unhideWhenUsed/>
    <w:rsid w:val="00ED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2F59CA"/>
    <w:pPr>
      <w:widowControl w:val="0"/>
      <w:jc w:val="center"/>
    </w:pPr>
    <w:rPr>
      <w:rFonts w:ascii="Times New Roman" w:eastAsia="Times New Roman" w:hAnsi="Times New Roman"/>
    </w:rPr>
  </w:style>
  <w:style w:type="paragraph" w:styleId="ac">
    <w:name w:val="header"/>
    <w:basedOn w:val="a"/>
    <w:link w:val="ad"/>
    <w:uiPriority w:val="99"/>
    <w:unhideWhenUsed/>
    <w:rsid w:val="001B67BC"/>
    <w:pPr>
      <w:pBdr>
        <w:bottom w:val="single" w:sz="6" w:space="1" w:color="auto"/>
      </w:pBdr>
      <w:tabs>
        <w:tab w:val="center" w:pos="4153"/>
        <w:tab w:val="right" w:pos="8306"/>
      </w:tabs>
      <w:snapToGrid w:val="0"/>
      <w:spacing w:line="240" w:lineRule="auto"/>
      <w:jc w:val="center"/>
    </w:pPr>
    <w:rPr>
      <w:sz w:val="18"/>
      <w:szCs w:val="18"/>
    </w:rPr>
  </w:style>
  <w:style w:type="character" w:customStyle="1" w:styleId="ad">
    <w:name w:val="页眉 字符"/>
    <w:basedOn w:val="a0"/>
    <w:link w:val="ac"/>
    <w:uiPriority w:val="99"/>
    <w:rsid w:val="001B67BC"/>
    <w:rPr>
      <w:rFonts w:ascii="Times New Roman" w:hAnsi="Times New Roman"/>
      <w:sz w:val="18"/>
      <w:szCs w:val="18"/>
    </w:rPr>
  </w:style>
  <w:style w:type="paragraph" w:styleId="ae">
    <w:name w:val="footer"/>
    <w:basedOn w:val="a"/>
    <w:link w:val="af"/>
    <w:uiPriority w:val="99"/>
    <w:unhideWhenUsed/>
    <w:rsid w:val="001B67BC"/>
    <w:pPr>
      <w:tabs>
        <w:tab w:val="center" w:pos="4153"/>
        <w:tab w:val="right" w:pos="8306"/>
      </w:tabs>
      <w:snapToGrid w:val="0"/>
      <w:spacing w:line="240" w:lineRule="auto"/>
      <w:jc w:val="left"/>
    </w:pPr>
    <w:rPr>
      <w:sz w:val="18"/>
      <w:szCs w:val="18"/>
    </w:rPr>
  </w:style>
  <w:style w:type="character" w:customStyle="1" w:styleId="af">
    <w:name w:val="页脚 字符"/>
    <w:basedOn w:val="a0"/>
    <w:link w:val="ae"/>
    <w:uiPriority w:val="99"/>
    <w:rsid w:val="001B67BC"/>
    <w:rPr>
      <w:rFonts w:ascii="Times New Roman" w:hAnsi="Times New Roman"/>
      <w:sz w:val="18"/>
      <w:szCs w:val="18"/>
    </w:rPr>
  </w:style>
  <w:style w:type="table" w:customStyle="1" w:styleId="21">
    <w:name w:val="网格型2"/>
    <w:basedOn w:val="a1"/>
    <w:next w:val="aa"/>
    <w:uiPriority w:val="59"/>
    <w:qFormat/>
    <w:rsid w:val="000D2C5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2F59CA"/>
    <w:rPr>
      <w:color w:val="0000FF" w:themeColor="hyperlink"/>
      <w:u w:val="single"/>
    </w:rPr>
  </w:style>
  <w:style w:type="character" w:customStyle="1" w:styleId="12">
    <w:name w:val="未处理的提及1"/>
    <w:basedOn w:val="a0"/>
    <w:uiPriority w:val="99"/>
    <w:semiHidden/>
    <w:unhideWhenUsed/>
    <w:rsid w:val="002F59CA"/>
    <w:rPr>
      <w:color w:val="605E5C"/>
      <w:shd w:val="clear" w:color="auto" w:fill="E1DFDD"/>
    </w:rPr>
  </w:style>
  <w:style w:type="paragraph" w:styleId="af1">
    <w:name w:val="List Paragraph"/>
    <w:basedOn w:val="a"/>
    <w:uiPriority w:val="34"/>
    <w:qFormat/>
    <w:rsid w:val="00636E13"/>
    <w:pPr>
      <w:ind w:firstLineChars="200" w:firstLine="420"/>
    </w:pPr>
  </w:style>
  <w:style w:type="paragraph" w:styleId="af2">
    <w:name w:val="annotation subject"/>
    <w:basedOn w:val="a7"/>
    <w:next w:val="a7"/>
    <w:link w:val="af3"/>
    <w:uiPriority w:val="99"/>
    <w:semiHidden/>
    <w:unhideWhenUsed/>
    <w:rsid w:val="00703C53"/>
    <w:rPr>
      <w:b/>
      <w:bCs/>
    </w:rPr>
  </w:style>
  <w:style w:type="character" w:customStyle="1" w:styleId="af3">
    <w:name w:val="批注主题 字符"/>
    <w:basedOn w:val="a8"/>
    <w:link w:val="af2"/>
    <w:uiPriority w:val="99"/>
    <w:semiHidden/>
    <w:rsid w:val="00703C53"/>
    <w:rPr>
      <w:rFonts w:ascii="Times New Roman" w:eastAsia="Times New Roman" w:hAnsi="Times New Roman"/>
      <w:b/>
      <w:bCs/>
      <w:sz w:val="24"/>
    </w:rPr>
  </w:style>
  <w:style w:type="paragraph" w:styleId="af4">
    <w:name w:val="Revision"/>
    <w:hidden/>
    <w:uiPriority w:val="99"/>
    <w:semiHidden/>
    <w:rsid w:val="00E9631F"/>
    <w:rPr>
      <w:rFonts w:ascii="Times New Roman" w:eastAsia="Times New Roman" w:hAnsi="Times New Roman"/>
      <w:sz w:val="24"/>
    </w:rPr>
  </w:style>
  <w:style w:type="paragraph" w:styleId="af5">
    <w:name w:val="caption"/>
    <w:basedOn w:val="a"/>
    <w:next w:val="a"/>
    <w:uiPriority w:val="35"/>
    <w:unhideWhenUsed/>
    <w:qFormat/>
    <w:rsid w:val="00D0611D"/>
    <w:pPr>
      <w:jc w:val="center"/>
      <w:outlineLvl w:val="1"/>
    </w:pPr>
    <w:rPr>
      <w:rFonts w:cstheme="majorBidi"/>
      <w:sz w:val="21"/>
      <w:szCs w:val="20"/>
    </w:rPr>
  </w:style>
  <w:style w:type="character" w:customStyle="1" w:styleId="10">
    <w:name w:val="标题 1 字符"/>
    <w:basedOn w:val="a0"/>
    <w:link w:val="1"/>
    <w:uiPriority w:val="9"/>
    <w:rsid w:val="00486DEB"/>
    <w:rPr>
      <w:rFonts w:ascii="Times New Roman" w:eastAsia="Times New Roman" w:hAnsi="Times New Roman" w:cs="Times New Roman (正文 CS 字体)"/>
      <w:b/>
      <w:bCs/>
      <w:kern w:val="44"/>
      <w:sz w:val="32"/>
      <w:szCs w:val="44"/>
    </w:rPr>
  </w:style>
  <w:style w:type="character" w:customStyle="1" w:styleId="apple-converted-space">
    <w:name w:val="apple-converted-space"/>
    <w:basedOn w:val="a0"/>
    <w:rsid w:val="00755AF3"/>
  </w:style>
  <w:style w:type="character" w:customStyle="1" w:styleId="fanyi-trans-content">
    <w:name w:val="fanyi-trans-content"/>
    <w:basedOn w:val="a0"/>
    <w:rsid w:val="00755AF3"/>
  </w:style>
  <w:style w:type="table" w:customStyle="1" w:styleId="110">
    <w:name w:val="网格型11"/>
    <w:basedOn w:val="a1"/>
    <w:uiPriority w:val="59"/>
    <w:qFormat/>
    <w:rsid w:val="002904B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001135"/>
    <w:rPr>
      <w:rFonts w:asciiTheme="majorHAnsi" w:eastAsiaTheme="majorEastAsia" w:hAnsiTheme="majorHAnsi" w:cstheme="majorBidi"/>
      <w:b/>
      <w:bCs/>
      <w:sz w:val="32"/>
      <w:szCs w:val="32"/>
    </w:rPr>
  </w:style>
  <w:style w:type="character" w:customStyle="1" w:styleId="30">
    <w:name w:val="标题 3 字符"/>
    <w:basedOn w:val="a0"/>
    <w:link w:val="3"/>
    <w:uiPriority w:val="9"/>
    <w:rsid w:val="00001135"/>
    <w:rPr>
      <w:rFonts w:ascii="Times New Roman" w:eastAsia="Times New Roman" w:hAnsi="Times New Roman"/>
      <w:b/>
      <w:bCs/>
      <w:sz w:val="32"/>
      <w:szCs w:val="32"/>
    </w:rPr>
  </w:style>
  <w:style w:type="character" w:styleId="af6">
    <w:name w:val="Emphasis"/>
    <w:basedOn w:val="a0"/>
    <w:uiPriority w:val="20"/>
    <w:qFormat/>
    <w:rsid w:val="00111583"/>
    <w:rPr>
      <w:i/>
      <w:iCs/>
    </w:rPr>
  </w:style>
  <w:style w:type="paragraph" w:customStyle="1" w:styleId="af7">
    <w:name w:val="小一号  表图等名字"/>
    <w:basedOn w:val="a"/>
    <w:link w:val="af8"/>
    <w:qFormat/>
    <w:rsid w:val="007E4364"/>
    <w:pPr>
      <w:spacing w:afterLines="50" w:after="50"/>
      <w:jc w:val="center"/>
    </w:pPr>
    <w:rPr>
      <w:rFonts w:eastAsia="宋体"/>
      <w:sz w:val="21"/>
    </w:rPr>
  </w:style>
  <w:style w:type="character" w:customStyle="1" w:styleId="af8">
    <w:name w:val="小一号  表图等名字 字符"/>
    <w:basedOn w:val="a0"/>
    <w:link w:val="af7"/>
    <w:qFormat/>
    <w:rsid w:val="007E4364"/>
    <w:rPr>
      <w:rFonts w:ascii="Times New Roman" w:eastAsia="宋体" w:hAnsi="Times New Roman"/>
    </w:rPr>
  </w:style>
  <w:style w:type="character" w:styleId="af9">
    <w:name w:val="Placeholder Text"/>
    <w:basedOn w:val="a0"/>
    <w:uiPriority w:val="99"/>
    <w:semiHidden/>
    <w:rsid w:val="00D2220A"/>
    <w:rPr>
      <w:color w:val="808080"/>
    </w:rPr>
  </w:style>
  <w:style w:type="table" w:customStyle="1" w:styleId="120">
    <w:name w:val="网格型12"/>
    <w:basedOn w:val="a1"/>
    <w:uiPriority w:val="59"/>
    <w:qFormat/>
    <w:rsid w:val="004957B8"/>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Author-ENG">
    <w:name w:val="6-Author-ENG"/>
    <w:basedOn w:val="a"/>
    <w:qFormat/>
    <w:rsid w:val="008F379F"/>
    <w:pPr>
      <w:widowControl/>
      <w:autoSpaceDE w:val="0"/>
      <w:autoSpaceDN w:val="0"/>
      <w:adjustRightInd w:val="0"/>
      <w:snapToGrid w:val="0"/>
      <w:spacing w:line="240" w:lineRule="auto"/>
      <w:jc w:val="left"/>
    </w:pPr>
    <w:rPr>
      <w:rFonts w:eastAsia="宋体" w:cs="Times New Roman"/>
      <w:kern w:val="0"/>
      <w:szCs w:val="24"/>
      <w:lang w:eastAsia="en-US"/>
    </w:rPr>
  </w:style>
  <w:style w:type="paragraph" w:customStyle="1" w:styleId="6-Corre-ENG">
    <w:name w:val="6-Corre-ENG"/>
    <w:basedOn w:val="a"/>
    <w:qFormat/>
    <w:rsid w:val="008F379F"/>
    <w:pPr>
      <w:adjustRightInd w:val="0"/>
      <w:snapToGrid w:val="0"/>
      <w:spacing w:line="240" w:lineRule="auto"/>
      <w:contextualSpacing/>
      <w:jc w:val="left"/>
    </w:pPr>
    <w:rPr>
      <w:rFonts w:eastAsia="等线" w:cs="Times New Roman"/>
      <w:sz w:val="18"/>
      <w:szCs w:val="28"/>
    </w:rPr>
  </w:style>
  <w:style w:type="paragraph" w:customStyle="1" w:styleId="7-Affili-ENG">
    <w:name w:val="7-Affili-ENG"/>
    <w:basedOn w:val="a"/>
    <w:qFormat/>
    <w:rsid w:val="008F379F"/>
    <w:pPr>
      <w:widowControl/>
      <w:autoSpaceDE w:val="0"/>
      <w:autoSpaceDN w:val="0"/>
      <w:adjustRightInd w:val="0"/>
      <w:snapToGrid w:val="0"/>
      <w:spacing w:line="240" w:lineRule="auto"/>
      <w:jc w:val="left"/>
    </w:pPr>
    <w:rPr>
      <w:rFonts w:eastAsia="宋体" w:cs="Times New Roman"/>
      <w:i/>
      <w:kern w:val="0"/>
      <w:sz w:val="18"/>
      <w:szCs w:val="24"/>
      <w:lang w:eastAsia="en-US"/>
    </w:rPr>
  </w:style>
  <w:style w:type="paragraph" w:customStyle="1" w:styleId="8-Title-ENG">
    <w:name w:val="8-Title-ENG"/>
    <w:basedOn w:val="a"/>
    <w:qFormat/>
    <w:rsid w:val="008F379F"/>
    <w:pPr>
      <w:keepNext/>
      <w:keepLines/>
      <w:snapToGrid w:val="0"/>
      <w:spacing w:line="240" w:lineRule="auto"/>
      <w:contextualSpacing/>
      <w:jc w:val="left"/>
      <w:outlineLvl w:val="0"/>
    </w:pPr>
    <w:rPr>
      <w:rFonts w:eastAsia="等线" w:cs="Times New Roman"/>
      <w:b/>
      <w:bCs/>
      <w:kern w:val="44"/>
      <w:sz w:val="30"/>
      <w:szCs w:val="30"/>
    </w:rPr>
  </w:style>
  <w:style w:type="paragraph" w:customStyle="1" w:styleId="4-Fig-ENG">
    <w:name w:val="4-Fig-ENG"/>
    <w:basedOn w:val="a"/>
    <w:link w:val="4-Fig-ENG0"/>
    <w:qFormat/>
    <w:rsid w:val="001C16B4"/>
    <w:pPr>
      <w:snapToGrid w:val="0"/>
      <w:spacing w:line="240" w:lineRule="auto"/>
      <w:contextualSpacing/>
    </w:pPr>
    <w:rPr>
      <w:rFonts w:eastAsia="等线" w:cs="Times New Roman"/>
      <w:sz w:val="18"/>
    </w:rPr>
  </w:style>
  <w:style w:type="character" w:customStyle="1" w:styleId="4-Fig-ENG0">
    <w:name w:val="4-Fig-ENG 字符"/>
    <w:link w:val="4-Fig-ENG"/>
    <w:rsid w:val="001C16B4"/>
    <w:rPr>
      <w:rFonts w:ascii="Times New Roman" w:eastAsia="等线" w:hAnsi="Times New Roman" w:cs="Times New Roman"/>
      <w:sz w:val="18"/>
    </w:rPr>
  </w:style>
  <w:style w:type="paragraph" w:customStyle="1" w:styleId="4-Tabbody-ENG">
    <w:name w:val="4-Tabbody-ENG"/>
    <w:basedOn w:val="4-Fig-ENG"/>
    <w:qFormat/>
    <w:rsid w:val="001C16B4"/>
    <w:pPr>
      <w:adjustRightInd w:val="0"/>
      <w:jc w:val="left"/>
    </w:pPr>
    <w:rPr>
      <w:sz w:val="15"/>
    </w:rPr>
  </w:style>
  <w:style w:type="paragraph" w:customStyle="1" w:styleId="3-mainbody-ENG">
    <w:name w:val="3-mainbody-ENG"/>
    <w:basedOn w:val="a"/>
    <w:link w:val="3-mainbody-ENG0"/>
    <w:qFormat/>
    <w:rsid w:val="001C16B4"/>
    <w:pPr>
      <w:snapToGrid w:val="0"/>
      <w:spacing w:line="240" w:lineRule="auto"/>
      <w:ind w:firstLineChars="100" w:firstLine="100"/>
      <w:contextualSpacing/>
    </w:pPr>
    <w:rPr>
      <w:rFonts w:eastAsia="等线" w:cs="Times New Roman"/>
      <w:sz w:val="21"/>
      <w:szCs w:val="28"/>
    </w:rPr>
  </w:style>
  <w:style w:type="character" w:customStyle="1" w:styleId="3-mainbody-ENG0">
    <w:name w:val="3-mainbody-ENG 字符"/>
    <w:link w:val="3-mainbody-ENG"/>
    <w:rsid w:val="001C16B4"/>
    <w:rPr>
      <w:rFonts w:ascii="Times New Roman" w:eastAsia="等线" w:hAnsi="Times New Roman" w:cs="Times New Roman"/>
      <w:szCs w:val="28"/>
    </w:rPr>
  </w:style>
  <w:style w:type="paragraph" w:customStyle="1" w:styleId="0-1-ENG">
    <w:name w:val="0-1-ENG"/>
    <w:basedOn w:val="1"/>
    <w:qFormat/>
    <w:rsid w:val="001C16B4"/>
    <w:pPr>
      <w:snapToGrid w:val="0"/>
      <w:spacing w:beforeLines="50" w:before="50" w:afterLines="50" w:after="50" w:line="240" w:lineRule="auto"/>
      <w:contextualSpacing/>
      <w:jc w:val="left"/>
    </w:pPr>
    <w:rPr>
      <w:rFonts w:eastAsia="等线" w:cs="Times New Roman"/>
      <w:sz w:val="21"/>
      <w:szCs w:val="28"/>
    </w:rPr>
  </w:style>
  <w:style w:type="paragraph" w:customStyle="1" w:styleId="5-Ref-ENG">
    <w:name w:val="5-Ref-ENG"/>
    <w:basedOn w:val="a"/>
    <w:link w:val="5-Ref-ENG0"/>
    <w:qFormat/>
    <w:rsid w:val="00E477E5"/>
    <w:pPr>
      <w:snapToGrid w:val="0"/>
      <w:spacing w:line="240" w:lineRule="auto"/>
      <w:contextualSpacing/>
    </w:pPr>
    <w:rPr>
      <w:rFonts w:eastAsia="等线" w:cs="Times New Roman"/>
      <w:sz w:val="17"/>
    </w:rPr>
  </w:style>
  <w:style w:type="character" w:customStyle="1" w:styleId="5-Ref-ENG0">
    <w:name w:val="5-Ref-ENG 字符"/>
    <w:link w:val="5-Ref-ENG"/>
    <w:rsid w:val="00E477E5"/>
    <w:rPr>
      <w:rFonts w:ascii="Times New Roman" w:eastAsia="等线" w:hAnsi="Times New Roman" w:cs="Times New Roman"/>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48556">
      <w:bodyDiv w:val="1"/>
      <w:marLeft w:val="0"/>
      <w:marRight w:val="0"/>
      <w:marTop w:val="0"/>
      <w:marBottom w:val="0"/>
      <w:divBdr>
        <w:top w:val="none" w:sz="0" w:space="0" w:color="auto"/>
        <w:left w:val="none" w:sz="0" w:space="0" w:color="auto"/>
        <w:bottom w:val="none" w:sz="0" w:space="0" w:color="auto"/>
        <w:right w:val="none" w:sz="0" w:space="0" w:color="auto"/>
      </w:divBdr>
    </w:div>
    <w:div w:id="572394460">
      <w:bodyDiv w:val="1"/>
      <w:marLeft w:val="0"/>
      <w:marRight w:val="0"/>
      <w:marTop w:val="0"/>
      <w:marBottom w:val="0"/>
      <w:divBdr>
        <w:top w:val="none" w:sz="0" w:space="0" w:color="auto"/>
        <w:left w:val="none" w:sz="0" w:space="0" w:color="auto"/>
        <w:bottom w:val="none" w:sz="0" w:space="0" w:color="auto"/>
        <w:right w:val="none" w:sz="0" w:space="0" w:color="auto"/>
      </w:divBdr>
    </w:div>
    <w:div w:id="104059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image" Target="media/image9.tmp"/><Relationship Id="rId25" Type="http://schemas.openxmlformats.org/officeDocument/2006/relationships/image" Target="media/image17.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tmp"/><Relationship Id="rId20" Type="http://schemas.openxmlformats.org/officeDocument/2006/relationships/image" Target="media/image12.png"/><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image" Target="media/image15.emf"/><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emf"/><Relationship Id="rId30" Type="http://schemas.openxmlformats.org/officeDocument/2006/relationships/image" Target="media/image22.jpeg"/><Relationship Id="rId8" Type="http://schemas.openxmlformats.org/officeDocument/2006/relationships/hyperlink" Target="mailto:zjing428@163.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414F8-A7A7-4433-B9AB-2DC567FC5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9518</Words>
  <Characters>54258</Characters>
  <Application>Microsoft Office Word</Application>
  <DocSecurity>0</DocSecurity>
  <Lines>452</Lines>
  <Paragraphs>127</Paragraphs>
  <ScaleCrop>false</ScaleCrop>
  <Company/>
  <LinksUpToDate>false</LinksUpToDate>
  <CharactersWithSpaces>63649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shuaiyouwen</dc:creator>
  <dc:description>NE.Rep</dc:description>
  <cp:lastModifiedBy>Zhu Lin</cp:lastModifiedBy>
  <cp:revision>2</cp:revision>
  <cp:lastPrinted>2020-06-23T08:38:00Z</cp:lastPrinted>
  <dcterms:created xsi:type="dcterms:W3CDTF">2022-01-30T14:07:00Z</dcterms:created>
  <dcterms:modified xsi:type="dcterms:W3CDTF">2022-01-30T14:07:00Z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http://csl.mendeley.com/styles/615003621/elsevier-vancouver</vt:lpwstr>
  </property>
  <property fmtid="{D5CDD505-2E9C-101B-9397-08002B2CF9AE}" pid="4" name="Mendeley Recent Style Id 0_1">
    <vt:lpwstr>http://www.zotero.org/styles/advanced-industrial-and-engineering-polymer-research</vt:lpwstr>
  </property>
  <property fmtid="{D5CDD505-2E9C-101B-9397-08002B2CF9AE}" pid="5" name="Mendeley Recent Style Name 0_1">
    <vt:lpwstr>Advanced Industrial and Engineering Polymer Research</vt:lpwstr>
  </property>
  <property fmtid="{D5CDD505-2E9C-101B-9397-08002B2CF9AE}" pid="6" name="Mendeley Recent Style Id 1_1">
    <vt:lpwstr>http://www.zotero.org/styles/archives-of-civil-and-mechanical-engineering</vt:lpwstr>
  </property>
  <property fmtid="{D5CDD505-2E9C-101B-9397-08002B2CF9AE}" pid="7" name="Mendeley Recent Style Name 1_1">
    <vt:lpwstr>Archives of Civil and Mechanical Engineering</vt:lpwstr>
  </property>
  <property fmtid="{D5CDD505-2E9C-101B-9397-08002B2CF9AE}" pid="8" name="Mendeley Recent Style Id 2_1">
    <vt:lpwstr>http://www.zotero.org/styles/building-structure</vt:lpwstr>
  </property>
  <property fmtid="{D5CDD505-2E9C-101B-9397-08002B2CF9AE}" pid="9" name="Mendeley Recent Style Name 2_1">
    <vt:lpwstr>Building Structure (Chinese)</vt:lpwstr>
  </property>
  <property fmtid="{D5CDD505-2E9C-101B-9397-08002B2CF9AE}" pid="10" name="Mendeley Recent Style Id 3_1">
    <vt:lpwstr>http://csl.mendeley.com/styles/615003621/chinese-gb7714-2005-numeric</vt:lpwstr>
  </property>
  <property fmtid="{D5CDD505-2E9C-101B-9397-08002B2CF9AE}" pid="11" name="Mendeley Recent Style Name 3_1">
    <vt:lpwstr>China National Standard GB/T 7714-2005 (numeric, Chinese) - s yw</vt:lpwstr>
  </property>
  <property fmtid="{D5CDD505-2E9C-101B-9397-08002B2CF9AE}" pid="12" name="Mendeley Recent Style Id 4_1">
    <vt:lpwstr>http://www.zotero.org/styles/ieee</vt:lpwstr>
  </property>
  <property fmtid="{D5CDD505-2E9C-101B-9397-08002B2CF9AE}" pid="13" name="Mendeley Recent Style Name 4_1">
    <vt:lpwstr>IEEE</vt:lpwstr>
  </property>
  <property fmtid="{D5CDD505-2E9C-101B-9397-08002B2CF9AE}" pid="14" name="Mendeley Recent Style Id 5_1">
    <vt:lpwstr>http://www.zotero.org/styles/journal-of-cleaner-production</vt:lpwstr>
  </property>
  <property fmtid="{D5CDD505-2E9C-101B-9397-08002B2CF9AE}" pid="15" name="Mendeley Recent Style Name 5_1">
    <vt:lpwstr>Journal of Cleaner Production</vt:lpwstr>
  </property>
  <property fmtid="{D5CDD505-2E9C-101B-9397-08002B2CF9AE}" pid="16" name="Mendeley Recent Style Id 6_1">
    <vt:lpwstr>http://www.zotero.org/styles/journal-of-the-chinese-institute-of-engineers</vt:lpwstr>
  </property>
  <property fmtid="{D5CDD505-2E9C-101B-9397-08002B2CF9AE}" pid="17" name="Mendeley Recent Style Name 6_1">
    <vt:lpwstr>Journal of the Chinese Institute of Engineers</vt:lpwstr>
  </property>
  <property fmtid="{D5CDD505-2E9C-101B-9397-08002B2CF9AE}" pid="18" name="Mendeley Recent Style Id 7_1">
    <vt:lpwstr>http://www.zotero.org/styles/national-natural-science-foundation-of-china</vt:lpwstr>
  </property>
  <property fmtid="{D5CDD505-2E9C-101B-9397-08002B2CF9AE}" pid="19" name="Mendeley Recent Style Name 7_1">
    <vt:lpwstr>National Natural Science Foundation of China (Chinese)</vt:lpwstr>
  </property>
  <property fmtid="{D5CDD505-2E9C-101B-9397-08002B2CF9AE}" pid="20" name="Mendeley Recent Style Id 8_1">
    <vt:lpwstr>http://csl.mendeley.com/styles/615003621/engineering-syw</vt:lpwstr>
  </property>
  <property fmtid="{D5CDD505-2E9C-101B-9397-08002B2CF9AE}" pid="21" name="Mendeley Recent Style Name 8_1">
    <vt:lpwstr>Vancouver - s yw</vt:lpwstr>
  </property>
  <property fmtid="{D5CDD505-2E9C-101B-9397-08002B2CF9AE}" pid="22" name="Mendeley Recent Style Id 9_1">
    <vt:lpwstr>http://csl.mendeley.com/styles/615003621/elsevier-vancouver</vt:lpwstr>
  </property>
  <property fmtid="{D5CDD505-2E9C-101B-9397-08002B2CF9AE}" pid="23" name="Mendeley Recent Style Name 9_1">
    <vt:lpwstr>engineering - s yw</vt:lpwstr>
  </property>
  <property fmtid="{D5CDD505-2E9C-101B-9397-08002B2CF9AE}" pid="24" name="Mendeley Unique User Id_1">
    <vt:lpwstr>8cbefda8-9ee5-3202-b11b-8889ea23c45d</vt:lpwstr>
  </property>
</Properties>
</file>