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FFC6F" w14:textId="77777777" w:rsidR="00325724" w:rsidRDefault="007426C1">
      <w:pPr>
        <w:widowControl/>
        <w:adjustRightInd w:val="0"/>
        <w:snapToGrid w:val="0"/>
        <w:jc w:val="left"/>
        <w:rPr>
          <w:rFonts w:ascii="Times New Roman" w:eastAsia="等线" w:hAnsi="Times New Roman" w:cs="Times New Roman"/>
          <w:kern w:val="0"/>
          <w:szCs w:val="21"/>
        </w:rPr>
      </w:pPr>
      <w:r>
        <w:rPr>
          <w:rFonts w:ascii="Times New Roman" w:eastAsia="等线" w:hAnsi="Times New Roman" w:cs="Times New Roman"/>
          <w:kern w:val="0"/>
          <w:szCs w:val="21"/>
        </w:rPr>
        <w:t>Supplementary Data for</w:t>
      </w:r>
    </w:p>
    <w:p w14:paraId="23D42430" w14:textId="77777777" w:rsidR="00325724" w:rsidRDefault="007426C1">
      <w:pPr>
        <w:pStyle w:val="8-Title-ENG"/>
        <w:spacing w:beforeLines="50" w:before="156" w:afterLines="50" w:after="156"/>
        <w:rPr>
          <w:sz w:val="32"/>
          <w:szCs w:val="32"/>
        </w:rPr>
      </w:pPr>
      <w:r>
        <w:rPr>
          <w:sz w:val="32"/>
          <w:szCs w:val="32"/>
        </w:rPr>
        <w:t>Dual Protein-Based Nanocomposite Hydrogel Scaffolds Synergistically Promote Cartilage Regeneration Through Chondrocyte Differentiation and Immunomodulation</w:t>
      </w:r>
    </w:p>
    <w:p w14:paraId="1C7D14A4" w14:textId="77777777" w:rsidR="00325724" w:rsidRDefault="007426C1">
      <w:pPr>
        <w:pStyle w:val="hauthors"/>
        <w:autoSpaceDE w:val="0"/>
        <w:autoSpaceDN w:val="0"/>
        <w:adjustRightInd w:val="0"/>
        <w:snapToGrid w:val="0"/>
        <w:spacing w:before="0"/>
        <w:rPr>
          <w:rFonts w:eastAsiaTheme="minorEastAsia"/>
          <w:szCs w:val="24"/>
        </w:rPr>
      </w:pPr>
      <w:r>
        <w:rPr>
          <w:rFonts w:eastAsiaTheme="minorEastAsia"/>
          <w:szCs w:val="24"/>
        </w:rPr>
        <w:t>Huan Lei, Daidi Fan</w:t>
      </w:r>
      <w:r>
        <w:rPr>
          <w:rFonts w:eastAsiaTheme="minorEastAsia"/>
          <w:szCs w:val="24"/>
          <w:vertAlign w:val="superscript"/>
        </w:rPr>
        <w:t xml:space="preserve"> </w:t>
      </w:r>
      <w:r>
        <w:rPr>
          <w:rFonts w:eastAsiaTheme="minorEastAsia"/>
          <w:szCs w:val="24"/>
        </w:rPr>
        <w:t>*</w:t>
      </w:r>
    </w:p>
    <w:p w14:paraId="058D8AD5" w14:textId="77777777" w:rsidR="00325724" w:rsidRDefault="007426C1">
      <w:pPr>
        <w:pStyle w:val="haffiliations"/>
        <w:autoSpaceDE w:val="0"/>
        <w:autoSpaceDN w:val="0"/>
        <w:adjustRightInd w:val="0"/>
        <w:snapToGrid w:val="0"/>
        <w:spacing w:before="0"/>
        <w:rPr>
          <w:rFonts w:eastAsiaTheme="minorEastAsia"/>
          <w:i/>
          <w:sz w:val="15"/>
          <w:szCs w:val="15"/>
        </w:rPr>
      </w:pPr>
      <w:r>
        <w:rPr>
          <w:rFonts w:eastAsiaTheme="minorEastAsia"/>
          <w:i/>
          <w:sz w:val="15"/>
          <w:szCs w:val="15"/>
        </w:rPr>
        <w:t xml:space="preserve">Shaanxi Key Laboratory of Degradable Biomedical Materials, Shaanxi R&amp;D Center of Biomaterials and Fermentation Engineering, Biotech </w:t>
      </w:r>
      <w:r>
        <w:rPr>
          <w:rFonts w:eastAsiaTheme="minorEastAsia" w:hint="eastAsia"/>
          <w:i/>
          <w:sz w:val="15"/>
          <w:szCs w:val="15"/>
          <w:lang w:eastAsia="zh-CN"/>
        </w:rPr>
        <w:t>and</w:t>
      </w:r>
      <w:r>
        <w:rPr>
          <w:rFonts w:eastAsiaTheme="minorEastAsia"/>
          <w:i/>
          <w:sz w:val="15"/>
          <w:szCs w:val="15"/>
        </w:rPr>
        <w:t xml:space="preserve"> Biomed Research Institute, School of Chemical Engineering, Northwest University, Xi’an 710069, China</w:t>
      </w:r>
    </w:p>
    <w:p w14:paraId="2213CA26" w14:textId="77777777" w:rsidR="00325724" w:rsidRDefault="00325724">
      <w:pPr>
        <w:pStyle w:val="hcorrespondence"/>
        <w:autoSpaceDE w:val="0"/>
        <w:autoSpaceDN w:val="0"/>
        <w:adjustRightInd w:val="0"/>
        <w:snapToGrid w:val="0"/>
        <w:spacing w:before="0"/>
        <w:rPr>
          <w:rFonts w:eastAsiaTheme="minorEastAsia"/>
          <w:szCs w:val="24"/>
        </w:rPr>
      </w:pPr>
    </w:p>
    <w:p w14:paraId="6C3ED331" w14:textId="77777777" w:rsidR="00325724" w:rsidRDefault="007426C1">
      <w:pPr>
        <w:pStyle w:val="7-Affili-ENG"/>
        <w:rPr>
          <w:lang w:eastAsia="zh-CN"/>
        </w:rPr>
      </w:pPr>
      <w:r>
        <w:t>*</w:t>
      </w:r>
      <w:r>
        <w:rPr>
          <w:i w:val="0"/>
        </w:rPr>
        <w:t xml:space="preserve"> Corresponding au</w:t>
      </w:r>
      <w:r>
        <w:rPr>
          <w:i w:val="0"/>
        </w:rPr>
        <w:t>thor.</w:t>
      </w:r>
    </w:p>
    <w:p w14:paraId="4138F244" w14:textId="77777777" w:rsidR="00325724" w:rsidRDefault="007426C1">
      <w:pPr>
        <w:pStyle w:val="7-Affili-ENG"/>
        <w:ind w:firstLineChars="78" w:firstLine="140"/>
        <w:rPr>
          <w:i w:val="0"/>
        </w:rPr>
      </w:pPr>
      <w:r>
        <w:t>E-mail address:</w:t>
      </w:r>
      <w:r>
        <w:rPr>
          <w:i w:val="0"/>
        </w:rPr>
        <w:t xml:space="preserve"> fandaidi@nwu.edu.cn (D. Fan).</w:t>
      </w:r>
    </w:p>
    <w:p w14:paraId="40B2F119" w14:textId="77777777" w:rsidR="00325724" w:rsidRDefault="00325724">
      <w:pPr>
        <w:adjustRightInd w:val="0"/>
        <w:snapToGrid w:val="0"/>
        <w:rPr>
          <w:lang w:val="de-DE"/>
        </w:rPr>
      </w:pPr>
    </w:p>
    <w:p w14:paraId="2BD8101E" w14:textId="77777777" w:rsidR="00325724" w:rsidRDefault="007426C1">
      <w:pPr>
        <w:pStyle w:val="hhead1"/>
        <w:autoSpaceDE w:val="0"/>
        <w:autoSpaceDN w:val="0"/>
        <w:adjustRightInd w:val="0"/>
        <w:snapToGrid w:val="0"/>
        <w:spacing w:beforeLines="50" w:before="156" w:afterLines="50" w:after="156"/>
        <w:rPr>
          <w:rFonts w:eastAsiaTheme="minorEastAsia"/>
          <w:b/>
          <w:sz w:val="21"/>
          <w:szCs w:val="21"/>
        </w:rPr>
      </w:pPr>
      <w:bookmarkStart w:id="0" w:name="_Hlk103198455"/>
      <w:r>
        <w:rPr>
          <w:rFonts w:eastAsiaTheme="minorEastAsia"/>
          <w:b/>
          <w:sz w:val="21"/>
          <w:szCs w:val="21"/>
        </w:rPr>
        <w:t>Materials and Methods</w:t>
      </w:r>
    </w:p>
    <w:p w14:paraId="1AEF260B"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r>
        <w:rPr>
          <w:rFonts w:eastAsiaTheme="minorEastAsia"/>
          <w:i/>
          <w:sz w:val="21"/>
          <w:szCs w:val="21"/>
        </w:rPr>
        <w:t>Materials</w:t>
      </w:r>
    </w:p>
    <w:p w14:paraId="639330FC"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HLC (97 000 Da, China Patent No. ZL01106757.8) was purchased from Xi’an JUZI Biology Gene Technology Co., Ltd. TGase (200 U</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g</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was obtained from Shanghai Yuanye </w:t>
      </w:r>
      <w:r>
        <w:rPr>
          <w:rFonts w:ascii="Times New Roman" w:eastAsia="MS Mincho" w:hAnsi="Times New Roman" w:cs="Times New Roman"/>
          <w:kern w:val="0"/>
          <w:szCs w:val="21"/>
          <w:lang w:val="de-DE" w:eastAsia="ja-JP"/>
        </w:rPr>
        <w:t>Biotechnology Company (Shanghai, China). KGN (</w:t>
      </w:r>
      <w:r>
        <w:rPr>
          <w:rFonts w:ascii="Times New Roman" w:hAnsi="Times New Roman" w:cs="Times New Roman"/>
          <w:szCs w:val="24"/>
        </w:rPr>
        <w:t>relative molecular mass</w:t>
      </w:r>
      <w:r>
        <w:rPr>
          <w:rFonts w:ascii="Times New Roman" w:eastAsia="MS Mincho" w:hAnsi="Times New Roman" w:cs="Times New Roman"/>
          <w:kern w:val="0"/>
          <w:szCs w:val="21"/>
          <w:lang w:val="de-DE" w:eastAsia="ja-JP"/>
        </w:rPr>
        <w:t xml:space="preserve">: 317.34 Da), 1-ethyl-3-(3-dimethylaminopropyl) carbodiimide (EDC), and </w:t>
      </w:r>
      <w:r>
        <w:rPr>
          <w:rFonts w:ascii="Times New Roman" w:eastAsia="MS Mincho" w:hAnsi="Times New Roman" w:cs="Times New Roman"/>
          <w:i/>
          <w:kern w:val="0"/>
          <w:szCs w:val="21"/>
          <w:lang w:val="de-DE" w:eastAsia="ja-JP"/>
        </w:rPr>
        <w:t>N</w:t>
      </w:r>
      <w:r>
        <w:rPr>
          <w:rFonts w:ascii="Times New Roman" w:eastAsia="MS Mincho" w:hAnsi="Times New Roman" w:cs="Times New Roman"/>
          <w:kern w:val="0"/>
          <w:szCs w:val="21"/>
          <w:lang w:val="de-DE" w:eastAsia="ja-JP"/>
        </w:rPr>
        <w:t>-hydroxysuccinimide (NHS) were obtained from Sigma-Aldrich (USA). Dex was purchased from Macklin Biochemical Techn</w:t>
      </w:r>
      <w:r>
        <w:rPr>
          <w:rFonts w:ascii="Times New Roman" w:eastAsia="MS Mincho" w:hAnsi="Times New Roman" w:cs="Times New Roman"/>
          <w:kern w:val="0"/>
          <w:szCs w:val="21"/>
          <w:lang w:val="de-DE" w:eastAsia="ja-JP"/>
        </w:rPr>
        <w:t>ology Co., Ltd. (Shanghai, China).</w:t>
      </w:r>
    </w:p>
    <w:p w14:paraId="20CB2E35"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r>
        <w:rPr>
          <w:rFonts w:eastAsiaTheme="minorEastAsia"/>
          <w:i/>
          <w:sz w:val="21"/>
          <w:szCs w:val="21"/>
        </w:rPr>
        <w:t>Silk protein extraction</w:t>
      </w:r>
    </w:p>
    <w:p w14:paraId="2DB867FE" w14:textId="77777777" w:rsidR="00325724" w:rsidRDefault="007426C1">
      <w:pPr>
        <w:autoSpaceDE w:val="0"/>
        <w:autoSpaceDN w:val="0"/>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Cocoons were cleaned after the removal of the pupae and subjected to a degumming treatment by boiling the cocoons in a 5 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sodium carbonate solution for 30 min. Then, the degummed silk protein </w:t>
      </w:r>
      <w:r>
        <w:rPr>
          <w:rFonts w:ascii="Times New Roman" w:eastAsia="MS Mincho" w:hAnsi="Times New Roman" w:cs="Times New Roman"/>
          <w:kern w:val="0"/>
          <w:szCs w:val="21"/>
          <w:lang w:val="de-DE" w:eastAsia="ja-JP"/>
        </w:rPr>
        <w:t>was washed with deionized water and dried in an oven. For the preparation of soluble silk protein, the dried degummed silk protein was dissolved in a ternary solution of calcium chloride/water/ethanol (molar ratio = 1:8:2) at 80 °C for 1 h. Then, the solut</w:t>
      </w:r>
      <w:r>
        <w:rPr>
          <w:rFonts w:ascii="Times New Roman" w:eastAsia="MS Mincho" w:hAnsi="Times New Roman" w:cs="Times New Roman"/>
          <w:kern w:val="0"/>
          <w:szCs w:val="21"/>
          <w:lang w:val="de-DE" w:eastAsia="ja-JP"/>
        </w:rPr>
        <w:t>ion was poured into a dialysis bag (molecular weight cut-off: 8 000–12 000 Da) and dialyzed in deionized water at room temperature for 3 days to remove salt, ethanol, and other small-molecule impurities from the solution. Upon dialysis, the silk protein so</w:t>
      </w:r>
      <w:r>
        <w:rPr>
          <w:rFonts w:ascii="Times New Roman" w:eastAsia="MS Mincho" w:hAnsi="Times New Roman" w:cs="Times New Roman"/>
          <w:kern w:val="0"/>
          <w:szCs w:val="21"/>
          <w:lang w:val="de-DE" w:eastAsia="ja-JP"/>
        </w:rPr>
        <w:t xml:space="preserve">lution was poured onto a funnel to remove insoluble impurities and produce an aqueous silk protein solution, which was freeze-dried under vacuum conditions to obtain soluble silk protein. The extraction steps of the silk protein are illustrated in </w:t>
      </w:r>
      <w:r>
        <w:rPr>
          <w:rFonts w:ascii="Times New Roman" w:eastAsia="MS Mincho" w:hAnsi="Times New Roman" w:cs="Times New Roman"/>
          <w:bCs/>
          <w:kern w:val="0"/>
          <w:szCs w:val="21"/>
          <w:lang w:val="de-DE" w:eastAsia="ja-JP"/>
        </w:rPr>
        <w:t>Fig. S1</w:t>
      </w:r>
      <w:r>
        <w:rPr>
          <w:rFonts w:ascii="Times New Roman" w:eastAsia="MS Mincho" w:hAnsi="Times New Roman" w:cs="Times New Roman" w:hint="eastAsia"/>
          <w:kern w:val="0"/>
          <w:szCs w:val="21"/>
          <w:lang w:val="de-DE" w:eastAsia="ja-JP"/>
        </w:rPr>
        <w:t>.</w:t>
      </w:r>
    </w:p>
    <w:p w14:paraId="167A52B8" w14:textId="77777777" w:rsidR="00325724" w:rsidRDefault="00325724">
      <w:pPr>
        <w:autoSpaceDE w:val="0"/>
        <w:autoSpaceDN w:val="0"/>
        <w:adjustRightInd w:val="0"/>
        <w:snapToGrid w:val="0"/>
        <w:ind w:firstLineChars="100" w:firstLine="210"/>
        <w:rPr>
          <w:rFonts w:ascii="Times New Roman" w:eastAsia="MS Mincho" w:hAnsi="Times New Roman" w:cs="Times New Roman"/>
          <w:kern w:val="0"/>
          <w:szCs w:val="21"/>
          <w:lang w:val="de-DE" w:eastAsia="ja-JP"/>
        </w:rPr>
      </w:pPr>
    </w:p>
    <w:p w14:paraId="6DC40F58" w14:textId="77777777" w:rsidR="00325724" w:rsidRDefault="007426C1">
      <w:pPr>
        <w:adjustRightInd w:val="0"/>
        <w:snapToGrid w:val="0"/>
        <w:jc w:val="center"/>
      </w:pPr>
      <w:r>
        <w:rPr>
          <w:noProof/>
        </w:rPr>
        <w:drawing>
          <wp:inline distT="0" distB="0" distL="0" distR="0">
            <wp:extent cx="4572000" cy="2753360"/>
            <wp:effectExtent l="0" t="0" r="0" b="889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5"/>
                    <a:stretch>
                      <a:fillRect/>
                    </a:stretch>
                  </pic:blipFill>
                  <pic:spPr>
                    <a:xfrm>
                      <a:off x="0" y="0"/>
                      <a:ext cx="4575852" cy="2756199"/>
                    </a:xfrm>
                    <a:prstGeom prst="rect">
                      <a:avLst/>
                    </a:prstGeom>
                  </pic:spPr>
                </pic:pic>
              </a:graphicData>
            </a:graphic>
          </wp:inline>
        </w:drawing>
      </w:r>
    </w:p>
    <w:p w14:paraId="158D8D25" w14:textId="77777777" w:rsidR="00325724" w:rsidRDefault="007426C1">
      <w:pPr>
        <w:adjustRightInd w:val="0"/>
        <w:snapToGrid w:val="0"/>
        <w:jc w:val="center"/>
        <w:rPr>
          <w:rFonts w:ascii="Times New Roman" w:hAnsi="Times New Roman" w:cs="Times New Roman"/>
          <w:sz w:val="18"/>
          <w:szCs w:val="18"/>
        </w:rPr>
      </w:pPr>
      <w:r>
        <w:rPr>
          <w:rFonts w:ascii="Times New Roman" w:hAnsi="Times New Roman" w:cs="Times New Roman"/>
          <w:b/>
          <w:sz w:val="18"/>
          <w:szCs w:val="18"/>
        </w:rPr>
        <w:t>Fig. S1.</w:t>
      </w:r>
      <w:r>
        <w:rPr>
          <w:rFonts w:ascii="Times New Roman" w:hAnsi="Times New Roman" w:cs="Times New Roman"/>
          <w:sz w:val="18"/>
          <w:szCs w:val="18"/>
        </w:rPr>
        <w:t xml:space="preserve"> Schematic of the silk fibroin extraction procedure.</w:t>
      </w:r>
    </w:p>
    <w:p w14:paraId="726C86C0" w14:textId="77777777" w:rsidR="00325724" w:rsidRDefault="00325724">
      <w:pPr>
        <w:adjustRightInd w:val="0"/>
        <w:snapToGrid w:val="0"/>
        <w:jc w:val="center"/>
        <w:rPr>
          <w:rFonts w:ascii="Times New Roman" w:hAnsi="Times New Roman" w:cs="Times New Roman"/>
          <w:sz w:val="18"/>
          <w:szCs w:val="18"/>
        </w:rPr>
      </w:pPr>
    </w:p>
    <w:p w14:paraId="487A6A70"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r>
        <w:rPr>
          <w:rFonts w:eastAsiaTheme="minorEastAsia"/>
          <w:i/>
          <w:sz w:val="21"/>
          <w:szCs w:val="21"/>
        </w:rPr>
        <w:lastRenderedPageBreak/>
        <w:t>Synthesis of KGN-loaded silk protein nanoparticles</w:t>
      </w:r>
    </w:p>
    <w:p w14:paraId="1B5219BD"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KGN (0.4 mg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was dissolved in dimethyl sulfoxide, and EDC and NHS were added to the solution (the molar ratio of KGN:EDC:NHS = 1:1:1).</w:t>
      </w:r>
      <w:r>
        <w:rPr>
          <w:rFonts w:ascii="Times New Roman" w:eastAsia="MS Mincho" w:hAnsi="Times New Roman" w:cs="Times New Roman"/>
          <w:kern w:val="0"/>
          <w:szCs w:val="21"/>
          <w:lang w:val="de-DE" w:eastAsia="ja-JP"/>
        </w:rPr>
        <w:t xml:space="preserve"> The solution was stirred for 1 h and added dropwise to a silk protein solution (4 mg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After being reacted for 2–4 h, the solution was centrifuged at 14 000 r</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min</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for 5 min to remove possibly generated polymers. The excess impurities in the solutio</w:t>
      </w:r>
      <w:r>
        <w:rPr>
          <w:rFonts w:ascii="Times New Roman" w:eastAsia="MS Mincho" w:hAnsi="Times New Roman" w:cs="Times New Roman"/>
          <w:kern w:val="0"/>
          <w:szCs w:val="21"/>
          <w:lang w:val="de-DE" w:eastAsia="ja-JP"/>
        </w:rPr>
        <w:t>n were removed by dialysis for one day, and the solution was freeze-dried under vacuum conditions to obtain KGN-loaded silk protein. KGN-loaded silk protein nanoparticles were synthesized by preparing a 2% KGN-loaded silk protein solution and adding the so</w:t>
      </w:r>
      <w:r>
        <w:rPr>
          <w:rFonts w:ascii="Times New Roman" w:eastAsia="MS Mincho" w:hAnsi="Times New Roman" w:cs="Times New Roman"/>
          <w:kern w:val="0"/>
          <w:szCs w:val="21"/>
          <w:lang w:val="de-DE" w:eastAsia="ja-JP"/>
        </w:rPr>
        <w:t>lution dropwise to acetone at the volume ratio of 1:20 under stirring for 2–4 h. The mixture was centrifuged at 100 000 r</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min</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for 30 min and washed with distilled water. The suspension was washed at least 2 times to produce a homogeneous suspension of KG</w:t>
      </w:r>
      <w:r>
        <w:rPr>
          <w:rFonts w:ascii="Times New Roman" w:eastAsia="MS Mincho" w:hAnsi="Times New Roman" w:cs="Times New Roman"/>
          <w:kern w:val="0"/>
          <w:szCs w:val="21"/>
          <w:lang w:val="de-DE" w:eastAsia="ja-JP"/>
        </w:rPr>
        <w:t>N-loaded silk protein (SPNs–KGN) nanoparticles, which was stored at 4 °C. The SPNs with no KGN were prepared using pure acetone.</w:t>
      </w:r>
    </w:p>
    <w:p w14:paraId="37B23357"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1" w:name="_Hlk114773023"/>
      <w:r>
        <w:rPr>
          <w:rFonts w:eastAsiaTheme="minorEastAsia"/>
          <w:i/>
          <w:sz w:val="21"/>
          <w:szCs w:val="21"/>
        </w:rPr>
        <w:t>Characterization of KGN-loaded silk protein nanoparticles</w:t>
      </w:r>
    </w:p>
    <w:p w14:paraId="4A68559D" w14:textId="77777777" w:rsidR="00325724" w:rsidRDefault="007426C1">
      <w:pPr>
        <w:autoSpaceDE w:val="0"/>
        <w:autoSpaceDN w:val="0"/>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 xml:space="preserve">The concentration of KGN in </w:t>
      </w:r>
      <w:bookmarkStart w:id="2" w:name="_Hlk113955155"/>
      <w:r>
        <w:rPr>
          <w:rFonts w:ascii="Times New Roman" w:eastAsia="MS Mincho" w:hAnsi="Times New Roman" w:cs="Times New Roman"/>
          <w:kern w:val="0"/>
          <w:szCs w:val="21"/>
          <w:lang w:val="de-DE" w:eastAsia="ja-JP"/>
        </w:rPr>
        <w:t>KGN-loaded silk protein</w:t>
      </w:r>
      <w:bookmarkEnd w:id="2"/>
      <w:r>
        <w:rPr>
          <w:rFonts w:ascii="Times New Roman" w:eastAsia="MS Mincho" w:hAnsi="Times New Roman" w:cs="Times New Roman"/>
          <w:kern w:val="0"/>
          <w:szCs w:val="21"/>
          <w:lang w:val="de-DE" w:eastAsia="ja-JP"/>
        </w:rPr>
        <w:t xml:space="preserve"> was determined by</w:t>
      </w:r>
      <w:r>
        <w:rPr>
          <w:rFonts w:ascii="Times New Roman" w:eastAsia="MS Mincho" w:hAnsi="Times New Roman" w:cs="Times New Roman"/>
          <w:kern w:val="0"/>
          <w:szCs w:val="21"/>
          <w:lang w:val="de-DE" w:eastAsia="ja-JP"/>
        </w:rPr>
        <w:t xml:space="preserve"> high performance liquid chromatography (HPLC) analysis using a C18 reversed-phase column. The mobile phase, which was added with 0.1% formic acid, was the mixture of acetonitrile and water at the ratio of 70</w:t>
      </w:r>
      <w:r>
        <w:rPr>
          <w:rFonts w:ascii="Times New Roman" w:hAnsi="Times New Roman" w:cs="Times New Roman"/>
          <w:kern w:val="0"/>
          <w:szCs w:val="21"/>
          <w:lang w:val="de-DE"/>
        </w:rPr>
        <w:t>:</w:t>
      </w:r>
      <w:r>
        <w:rPr>
          <w:rFonts w:ascii="Times New Roman" w:eastAsia="MS Mincho" w:hAnsi="Times New Roman" w:cs="Times New Roman"/>
          <w:kern w:val="0"/>
          <w:szCs w:val="21"/>
          <w:lang w:val="de-DE" w:eastAsia="ja-JP"/>
        </w:rPr>
        <w:t>30. The flow rate was 1 mL</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min</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the detection</w:t>
      </w:r>
      <w:r>
        <w:rPr>
          <w:rFonts w:ascii="Times New Roman" w:eastAsia="MS Mincho" w:hAnsi="Times New Roman" w:cs="Times New Roman"/>
          <w:kern w:val="0"/>
          <w:szCs w:val="21"/>
          <w:lang w:val="de-DE" w:eastAsia="ja-JP"/>
        </w:rPr>
        <w:t xml:space="preserve"> wavelength was 281 nm, the injection volume was 10 µL, and the retention time was 11 min</w:t>
      </w:r>
      <w:r>
        <w:rPr>
          <w:rFonts w:ascii="Times New Roman" w:eastAsia="MS Mincho" w:hAnsi="Times New Roman" w:cs="Times New Roman"/>
          <w:b/>
          <w:bCs/>
          <w:kern w:val="0"/>
          <w:szCs w:val="21"/>
          <w:lang w:val="de-DE" w:eastAsia="ja-JP"/>
        </w:rPr>
        <w:t>.</w:t>
      </w:r>
      <w:r>
        <w:rPr>
          <w:rFonts w:ascii="Times New Roman" w:eastAsia="MS Mincho" w:hAnsi="Times New Roman" w:cs="Times New Roman"/>
          <w:kern w:val="0"/>
          <w:szCs w:val="21"/>
          <w:lang w:val="de-DE" w:eastAsia="ja-JP"/>
        </w:rPr>
        <w:t xml:space="preserve"> The linear regression equation (</w:t>
      </w:r>
      <w:r>
        <w:rPr>
          <w:rFonts w:ascii="Times New Roman" w:eastAsia="MS Mincho" w:hAnsi="Times New Roman" w:cs="Times New Roman"/>
          <w:bCs/>
          <w:kern w:val="0"/>
          <w:szCs w:val="21"/>
          <w:lang w:val="de-DE" w:eastAsia="ja-JP"/>
        </w:rPr>
        <w:t>Fig. S2</w:t>
      </w:r>
      <w:r>
        <w:rPr>
          <w:rFonts w:ascii="Times New Roman" w:eastAsia="MS Mincho" w:hAnsi="Times New Roman" w:cs="Times New Roman"/>
          <w:kern w:val="0"/>
          <w:szCs w:val="21"/>
          <w:lang w:val="de-DE" w:eastAsia="ja-JP"/>
        </w:rPr>
        <w:t>) for the KGN concentration and peak area of the drug was first determined. The pre-reaction KGN solution and the post-reaction dialysate were collected, and the concentration of unloaded KGN was determined by HPLC and calculated from the regression equati</w:t>
      </w:r>
      <w:r>
        <w:rPr>
          <w:rFonts w:ascii="Times New Roman" w:eastAsia="MS Mincho" w:hAnsi="Times New Roman" w:cs="Times New Roman"/>
          <w:kern w:val="0"/>
          <w:szCs w:val="21"/>
          <w:lang w:val="de-DE" w:eastAsia="ja-JP"/>
        </w:rPr>
        <w:t xml:space="preserve">on. The </w:t>
      </w:r>
      <w:bookmarkStart w:id="3" w:name="_Hlk113955245"/>
      <w:r>
        <w:rPr>
          <w:rFonts w:ascii="Times New Roman" w:eastAsia="MS Mincho" w:hAnsi="Times New Roman" w:cs="Times New Roman"/>
          <w:kern w:val="0"/>
          <w:szCs w:val="21"/>
          <w:lang w:val="de-DE" w:eastAsia="ja-JP"/>
        </w:rPr>
        <w:t xml:space="preserve">encapsulation efficiency </w:t>
      </w:r>
      <w:bookmarkEnd w:id="3"/>
      <w:r>
        <w:rPr>
          <w:rFonts w:ascii="Times New Roman" w:eastAsia="MS Mincho" w:hAnsi="Times New Roman" w:cs="Times New Roman"/>
          <w:kern w:val="0"/>
          <w:szCs w:val="21"/>
          <w:lang w:val="de-DE" w:eastAsia="ja-JP"/>
        </w:rPr>
        <w:t>and drug loading of KGN were calculated as follows:</w:t>
      </w:r>
    </w:p>
    <w:p w14:paraId="1FA94D0A" w14:textId="77777777" w:rsidR="00325724" w:rsidRDefault="007426C1">
      <w:pPr>
        <w:autoSpaceDE w:val="0"/>
        <w:autoSpaceDN w:val="0"/>
        <w:adjustRightInd w:val="0"/>
        <w:snapToGrid w:val="0"/>
        <w:jc w:val="left"/>
        <w:rPr>
          <w:rFonts w:ascii="Times New Roman" w:eastAsia="MS Mincho" w:hAnsi="Times New Roman" w:cs="Times New Roman"/>
          <w:kern w:val="0"/>
          <w:szCs w:val="21"/>
          <w:lang w:val="de-DE" w:eastAsia="ja-JP"/>
        </w:rPr>
      </w:pPr>
      <m:oMath>
        <m:r>
          <m:rPr>
            <m:sty m:val="p"/>
          </m:rPr>
          <w:rPr>
            <w:rFonts w:ascii="Cambria Math" w:eastAsia="MS Mincho" w:hAnsi="Cambria Math" w:cs="Times New Roman"/>
            <w:kern w:val="0"/>
            <w:szCs w:val="21"/>
            <w:lang w:val="de-DE" w:eastAsia="ja-JP"/>
          </w:rPr>
          <m:t>Encapsulation e</m:t>
        </m:r>
        <m:r>
          <m:rPr>
            <m:sty m:val="p"/>
          </m:rPr>
          <w:rPr>
            <w:rFonts w:ascii="Cambria Math" w:hAnsi="Cambria Math" w:cs="Times New Roman"/>
            <w:kern w:val="0"/>
            <w:szCs w:val="21"/>
            <w:lang w:val="de-DE"/>
          </w:rPr>
          <m:t>ff</m:t>
        </m:r>
        <m:r>
          <m:rPr>
            <m:sty m:val="p"/>
          </m:rPr>
          <w:rPr>
            <w:rFonts w:ascii="Cambria Math" w:eastAsia="MS Mincho" w:hAnsi="Cambria Math" w:cs="Times New Roman"/>
            <w:kern w:val="0"/>
            <w:szCs w:val="21"/>
            <w:lang w:val="de-DE" w:eastAsia="ja-JP"/>
          </w:rPr>
          <m:t>iciency</m:t>
        </m:r>
        <m:r>
          <w:rPr>
            <w:rFonts w:ascii="Cambria Math" w:eastAsia="MS Mincho" w:hAnsi="Cambria Math" w:cs="Times New Roman"/>
            <w:kern w:val="0"/>
            <w:szCs w:val="21"/>
            <w:lang w:val="de-DE" w:eastAsia="ja-JP"/>
          </w:rPr>
          <m:t xml:space="preserve"> </m:t>
        </m:r>
        <m:d>
          <m:dPr>
            <m:ctrlPr>
              <w:rPr>
                <w:rFonts w:ascii="Cambria Math" w:eastAsia="MS Mincho" w:hAnsi="Cambria Math" w:cs="Times New Roman"/>
                <w:i/>
                <w:kern w:val="0"/>
                <w:szCs w:val="21"/>
                <w:lang w:val="de-DE" w:eastAsia="ja-JP"/>
              </w:rPr>
            </m:ctrlPr>
          </m:dPr>
          <m:e>
            <m:r>
              <w:rPr>
                <w:rFonts w:ascii="Cambria Math" w:eastAsia="MS Mincho" w:hAnsi="Cambria Math" w:cs="Times New Roman"/>
                <w:kern w:val="0"/>
                <w:szCs w:val="21"/>
                <w:lang w:val="de-DE" w:eastAsia="ja-JP"/>
              </w:rPr>
              <m:t>%</m:t>
            </m:r>
          </m:e>
        </m:d>
        <m:r>
          <w:rPr>
            <w:rFonts w:ascii="Cambria Math" w:eastAsia="MS Mincho" w:hAnsi="Cambria Math" w:cs="Times New Roman"/>
            <w:kern w:val="0"/>
            <w:szCs w:val="21"/>
            <w:lang w:val="de-DE" w:eastAsia="ja-JP"/>
          </w:rPr>
          <m:t>=100%×</m:t>
        </m:r>
        <m:f>
          <m:fPr>
            <m:type m:val="lin"/>
            <m:ctrlPr>
              <w:rPr>
                <w:rFonts w:ascii="Cambria Math" w:eastAsia="MS Mincho" w:hAnsi="Cambria Math" w:cs="Times New Roman"/>
                <w:kern w:val="0"/>
                <w:szCs w:val="21"/>
                <w:lang w:val="de-DE" w:eastAsia="ja-JP"/>
              </w:rPr>
            </m:ctrlPr>
          </m:fPr>
          <m:num>
            <m:d>
              <m:dPr>
                <m:ctrlPr>
                  <w:rPr>
                    <w:rFonts w:ascii="Cambria Math" w:eastAsia="MS Mincho" w:hAnsi="Cambria Math" w:cs="Times New Roman"/>
                    <w:kern w:val="0"/>
                    <w:szCs w:val="21"/>
                    <w:lang w:val="de-DE" w:eastAsia="ja-JP"/>
                  </w:rPr>
                </m:ctrlPr>
              </m:dPr>
              <m:e>
                <m:sSub>
                  <m:sSubPr>
                    <m:ctrlPr>
                      <w:rPr>
                        <w:rFonts w:ascii="Cambria Math" w:eastAsia="MS Mincho" w:hAnsi="Cambria Math" w:cs="Times New Roman"/>
                        <w:kern w:val="0"/>
                        <w:szCs w:val="21"/>
                        <w:lang w:val="de-DE" w:eastAsia="ja-JP"/>
                      </w:rPr>
                    </m:ctrlPr>
                  </m:sSubPr>
                  <m:e>
                    <m:r>
                      <m:rPr>
                        <m:sty m:val="p"/>
                      </m:rPr>
                      <w:rPr>
                        <w:rFonts w:ascii="Cambria Math" w:eastAsia="MS Mincho" w:hAnsi="Cambria Math" w:cs="Times New Roman"/>
                        <w:kern w:val="0"/>
                        <w:szCs w:val="21"/>
                        <w:lang w:val="de-DE" w:eastAsia="ja-JP"/>
                      </w:rPr>
                      <m:t>KGN</m:t>
                    </m:r>
                  </m:e>
                  <m:sub>
                    <m:r>
                      <m:rPr>
                        <m:sty m:val="p"/>
                      </m:rPr>
                      <w:rPr>
                        <w:rFonts w:ascii="Cambria Math" w:eastAsia="MS Mincho" w:hAnsi="Cambria Math" w:cs="Times New Roman"/>
                        <w:kern w:val="0"/>
                        <w:szCs w:val="21"/>
                        <w:lang w:val="de-DE" w:eastAsia="ja-JP"/>
                      </w:rPr>
                      <m:t>total</m:t>
                    </m:r>
                  </m:sub>
                </m:sSub>
                <m:r>
                  <m:rPr>
                    <m:sty m:val="p"/>
                  </m:rPr>
                  <w:rPr>
                    <w:rFonts w:ascii="Cambria Math" w:eastAsia="MS Mincho" w:hAnsi="Cambria Math" w:cs="Times New Roman"/>
                    <w:kern w:val="0"/>
                    <w:szCs w:val="21"/>
                    <w:lang w:val="de-DE" w:eastAsia="ja-JP"/>
                  </w:rPr>
                  <m:t>-</m:t>
                </m:r>
                <m:sSub>
                  <m:sSubPr>
                    <m:ctrlPr>
                      <w:rPr>
                        <w:rFonts w:ascii="Cambria Math" w:eastAsia="MS Mincho" w:hAnsi="Cambria Math" w:cs="Times New Roman"/>
                        <w:kern w:val="0"/>
                        <w:szCs w:val="21"/>
                        <w:lang w:val="de-DE" w:eastAsia="ja-JP"/>
                      </w:rPr>
                    </m:ctrlPr>
                  </m:sSubPr>
                  <m:e>
                    <m:r>
                      <m:rPr>
                        <m:sty m:val="p"/>
                      </m:rPr>
                      <w:rPr>
                        <w:rFonts w:ascii="Cambria Math" w:eastAsia="MS Mincho" w:hAnsi="Cambria Math" w:cs="Times New Roman"/>
                        <w:kern w:val="0"/>
                        <w:szCs w:val="21"/>
                        <w:lang w:val="de-DE" w:eastAsia="ja-JP"/>
                      </w:rPr>
                      <m:t>KGN</m:t>
                    </m:r>
                  </m:e>
                  <m:sub>
                    <m:r>
                      <m:rPr>
                        <m:sty m:val="p"/>
                      </m:rPr>
                      <w:rPr>
                        <w:rFonts w:ascii="Cambria Math" w:eastAsia="MS Mincho" w:hAnsi="Cambria Math" w:cs="Times New Roman"/>
                        <w:kern w:val="0"/>
                        <w:szCs w:val="21"/>
                        <w:lang w:val="de-DE" w:eastAsia="ja-JP"/>
                      </w:rPr>
                      <m:t>unloaded</m:t>
                    </m:r>
                  </m:sub>
                </m:sSub>
              </m:e>
            </m:d>
          </m:num>
          <m:den>
            <m:sSub>
              <m:sSubPr>
                <m:ctrlPr>
                  <w:rPr>
                    <w:rFonts w:ascii="Cambria Math" w:eastAsia="MS Mincho" w:hAnsi="Cambria Math" w:cs="Times New Roman"/>
                    <w:kern w:val="0"/>
                    <w:szCs w:val="21"/>
                    <w:lang w:val="de-DE" w:eastAsia="ja-JP"/>
                  </w:rPr>
                </m:ctrlPr>
              </m:sSubPr>
              <m:e>
                <m:r>
                  <m:rPr>
                    <m:sty m:val="p"/>
                  </m:rPr>
                  <w:rPr>
                    <w:rFonts w:ascii="Cambria Math" w:eastAsia="MS Mincho" w:hAnsi="Cambria Math" w:cs="Times New Roman"/>
                    <w:kern w:val="0"/>
                    <w:szCs w:val="21"/>
                    <w:lang w:val="de-DE" w:eastAsia="ja-JP"/>
                  </w:rPr>
                  <m:t>KGN</m:t>
                </m:r>
              </m:e>
              <m:sub>
                <m:r>
                  <m:rPr>
                    <m:sty m:val="p"/>
                  </m:rPr>
                  <w:rPr>
                    <w:rFonts w:ascii="Cambria Math" w:eastAsia="MS Mincho" w:hAnsi="Cambria Math" w:cs="Times New Roman"/>
                    <w:kern w:val="0"/>
                    <w:szCs w:val="21"/>
                    <w:lang w:val="de-DE" w:eastAsia="ja-JP"/>
                  </w:rPr>
                  <m:t>total</m:t>
                </m:r>
              </m:sub>
            </m:sSub>
          </m:den>
        </m:f>
      </m:oMath>
      <w:r>
        <w:rPr>
          <w:rFonts w:ascii="Times New Roman" w:eastAsia="MS Mincho" w:hAnsi="Times New Roman" w:cs="Times New Roman"/>
          <w:kern w:val="0"/>
          <w:szCs w:val="21"/>
          <w:lang w:val="de-DE" w:eastAsia="ja-JP"/>
        </w:rPr>
        <w:t xml:space="preserve">     (S1) </w:t>
      </w:r>
    </w:p>
    <w:p w14:paraId="3CFD4CC7" w14:textId="77777777" w:rsidR="00325724" w:rsidRDefault="007426C1">
      <w:pPr>
        <w:autoSpaceDE w:val="0"/>
        <w:autoSpaceDN w:val="0"/>
        <w:adjustRightInd w:val="0"/>
        <w:snapToGrid w:val="0"/>
        <w:jc w:val="left"/>
        <w:rPr>
          <w:rFonts w:ascii="Times New Roman" w:eastAsia="MS Mincho" w:hAnsi="Times New Roman" w:cs="Times New Roman"/>
          <w:iCs/>
          <w:kern w:val="0"/>
          <w:szCs w:val="21"/>
          <w:lang w:val="de-DE" w:eastAsia="ja-JP"/>
        </w:rPr>
      </w:pPr>
      <m:oMath>
        <m:r>
          <m:rPr>
            <m:sty m:val="p"/>
          </m:rPr>
          <w:rPr>
            <w:rFonts w:ascii="Cambria Math" w:eastAsia="MS Mincho" w:hAnsi="Cambria Math" w:cs="Times New Roman"/>
            <w:kern w:val="0"/>
            <w:szCs w:val="21"/>
            <w:lang w:val="de-DE" w:eastAsia="ja-JP"/>
          </w:rPr>
          <m:t xml:space="preserve">Drug loading </m:t>
        </m:r>
        <m:d>
          <m:dPr>
            <m:ctrlPr>
              <w:rPr>
                <w:rFonts w:ascii="Cambria Math" w:eastAsia="MS Mincho" w:hAnsi="Cambria Math" w:cs="Times New Roman"/>
                <w:kern w:val="0"/>
                <w:szCs w:val="21"/>
                <w:lang w:val="de-DE" w:eastAsia="ja-JP"/>
              </w:rPr>
            </m:ctrlPr>
          </m:dPr>
          <m:e>
            <m:r>
              <m:rPr>
                <m:sty m:val="p"/>
              </m:rPr>
              <w:rPr>
                <w:rFonts w:ascii="Cambria Math" w:eastAsia="MS Mincho" w:hAnsi="Cambria Math" w:cs="Times New Roman"/>
                <w:kern w:val="0"/>
                <w:szCs w:val="21"/>
                <w:lang w:val="de-DE" w:eastAsia="ja-JP"/>
              </w:rPr>
              <m:t>%</m:t>
            </m:r>
          </m:e>
        </m:d>
        <m:r>
          <m:rPr>
            <m:sty m:val="p"/>
          </m:rPr>
          <w:rPr>
            <w:rFonts w:ascii="Cambria Math" w:eastAsia="MS Mincho" w:hAnsi="Cambria Math" w:cs="Times New Roman"/>
            <w:kern w:val="0"/>
            <w:szCs w:val="21"/>
            <w:lang w:val="de-DE" w:eastAsia="ja-JP"/>
          </w:rPr>
          <m:t>=100%×</m:t>
        </m:r>
        <m:f>
          <m:fPr>
            <m:type m:val="lin"/>
            <m:ctrlPr>
              <w:rPr>
                <w:rFonts w:ascii="Cambria Math" w:eastAsia="MS Mincho" w:hAnsi="Cambria Math" w:cs="Times New Roman"/>
                <w:kern w:val="0"/>
                <w:szCs w:val="21"/>
                <w:lang w:val="de-DE" w:eastAsia="ja-JP"/>
              </w:rPr>
            </m:ctrlPr>
          </m:fPr>
          <m:num>
            <m:d>
              <m:dPr>
                <m:ctrlPr>
                  <w:rPr>
                    <w:rFonts w:ascii="Cambria Math" w:eastAsia="MS Mincho" w:hAnsi="Cambria Math" w:cs="Times New Roman"/>
                    <w:kern w:val="0"/>
                    <w:szCs w:val="21"/>
                    <w:lang w:val="de-DE" w:eastAsia="ja-JP"/>
                  </w:rPr>
                </m:ctrlPr>
              </m:dPr>
              <m:e>
                <m:sSub>
                  <m:sSubPr>
                    <m:ctrlPr>
                      <w:rPr>
                        <w:rFonts w:ascii="Cambria Math" w:eastAsia="MS Mincho" w:hAnsi="Cambria Math" w:cs="Times New Roman"/>
                        <w:kern w:val="0"/>
                        <w:szCs w:val="21"/>
                        <w:lang w:val="de-DE" w:eastAsia="ja-JP"/>
                      </w:rPr>
                    </m:ctrlPr>
                  </m:sSubPr>
                  <m:e>
                    <m:r>
                      <m:rPr>
                        <m:sty m:val="p"/>
                      </m:rPr>
                      <w:rPr>
                        <w:rFonts w:ascii="Cambria Math" w:eastAsia="MS Mincho" w:hAnsi="Cambria Math" w:cs="Times New Roman"/>
                        <w:kern w:val="0"/>
                        <w:szCs w:val="21"/>
                        <w:lang w:val="de-DE" w:eastAsia="ja-JP"/>
                      </w:rPr>
                      <m:t>KGN</m:t>
                    </m:r>
                  </m:e>
                  <m:sub>
                    <m:r>
                      <m:rPr>
                        <m:sty m:val="p"/>
                      </m:rPr>
                      <w:rPr>
                        <w:rFonts w:ascii="Cambria Math" w:eastAsia="MS Mincho" w:hAnsi="Cambria Math" w:cs="Times New Roman"/>
                        <w:kern w:val="0"/>
                        <w:szCs w:val="21"/>
                        <w:lang w:val="de-DE" w:eastAsia="ja-JP"/>
                      </w:rPr>
                      <m:t>total</m:t>
                    </m:r>
                  </m:sub>
                </m:sSub>
                <m:r>
                  <m:rPr>
                    <m:sty m:val="p"/>
                  </m:rPr>
                  <w:rPr>
                    <w:rFonts w:ascii="Cambria Math" w:eastAsia="MS Mincho" w:hAnsi="Cambria Math" w:cs="Times New Roman"/>
                    <w:kern w:val="0"/>
                    <w:szCs w:val="21"/>
                    <w:lang w:val="de-DE" w:eastAsia="ja-JP"/>
                  </w:rPr>
                  <m:t>-</m:t>
                </m:r>
                <m:sSub>
                  <m:sSubPr>
                    <m:ctrlPr>
                      <w:rPr>
                        <w:rFonts w:ascii="Cambria Math" w:eastAsia="MS Mincho" w:hAnsi="Cambria Math" w:cs="Times New Roman"/>
                        <w:kern w:val="0"/>
                        <w:szCs w:val="21"/>
                        <w:lang w:val="de-DE" w:eastAsia="ja-JP"/>
                      </w:rPr>
                    </m:ctrlPr>
                  </m:sSubPr>
                  <m:e>
                    <m:r>
                      <m:rPr>
                        <m:sty m:val="p"/>
                      </m:rPr>
                      <w:rPr>
                        <w:rFonts w:ascii="Cambria Math" w:eastAsia="MS Mincho" w:hAnsi="Cambria Math" w:cs="Times New Roman"/>
                        <w:kern w:val="0"/>
                        <w:szCs w:val="21"/>
                        <w:lang w:val="de-DE" w:eastAsia="ja-JP"/>
                      </w:rPr>
                      <m:t>KGN</m:t>
                    </m:r>
                  </m:e>
                  <m:sub>
                    <m:r>
                      <m:rPr>
                        <m:sty m:val="p"/>
                      </m:rPr>
                      <w:rPr>
                        <w:rFonts w:ascii="Cambria Math" w:eastAsia="MS Mincho" w:hAnsi="Cambria Math" w:cs="Times New Roman"/>
                        <w:kern w:val="0"/>
                        <w:szCs w:val="21"/>
                        <w:lang w:val="de-DE" w:eastAsia="ja-JP"/>
                      </w:rPr>
                      <m:t>unloaded</m:t>
                    </m:r>
                  </m:sub>
                </m:sSub>
              </m:e>
            </m:d>
          </m:num>
          <m:den>
            <m:sSub>
              <m:sSubPr>
                <m:ctrlPr>
                  <w:rPr>
                    <w:rFonts w:ascii="Cambria Math" w:eastAsia="MS Mincho" w:hAnsi="Cambria Math" w:cs="Times New Roman"/>
                    <w:kern w:val="0"/>
                    <w:szCs w:val="21"/>
                    <w:lang w:val="de-DE" w:eastAsia="ja-JP"/>
                  </w:rPr>
                </m:ctrlPr>
              </m:sSubPr>
              <m:e>
                <m:r>
                  <m:rPr>
                    <m:sty m:val="p"/>
                  </m:rPr>
                  <w:rPr>
                    <w:rFonts w:ascii="Cambria Math" w:eastAsia="MS Mincho" w:hAnsi="Cambria Math" w:cs="Times New Roman"/>
                    <w:kern w:val="0"/>
                    <w:szCs w:val="21"/>
                    <w:lang w:val="de-DE" w:eastAsia="ja-JP"/>
                  </w:rPr>
                  <m:t>silk protein</m:t>
                </m:r>
              </m:e>
              <m:sub>
                <m:r>
                  <m:rPr>
                    <m:sty m:val="p"/>
                  </m:rPr>
                  <w:rPr>
                    <w:rFonts w:ascii="Cambria Math" w:eastAsia="MS Mincho" w:hAnsi="Cambria Math" w:cs="Times New Roman"/>
                    <w:kern w:val="0"/>
                    <w:szCs w:val="21"/>
                    <w:lang w:val="de-DE" w:eastAsia="ja-JP"/>
                  </w:rPr>
                  <m:t>total</m:t>
                </m:r>
              </m:sub>
            </m:sSub>
          </m:den>
        </m:f>
      </m:oMath>
      <w:r>
        <w:rPr>
          <w:rFonts w:ascii="Times New Roman" w:eastAsia="MS Mincho" w:hAnsi="Times New Roman" w:cs="Times New Roman"/>
          <w:kern w:val="0"/>
          <w:szCs w:val="21"/>
          <w:lang w:val="de-DE" w:eastAsia="ja-JP"/>
        </w:rPr>
        <w:t xml:space="preserve">       (S2)</w:t>
      </w:r>
    </w:p>
    <w:bookmarkEnd w:id="1"/>
    <w:p w14:paraId="5C774775" w14:textId="77777777" w:rsidR="00325724" w:rsidRDefault="00325724">
      <w:pPr>
        <w:adjustRightInd w:val="0"/>
        <w:snapToGrid w:val="0"/>
        <w:jc w:val="center"/>
        <w:rPr>
          <w:rFonts w:ascii="Times New Roman" w:hAnsi="Times New Roman" w:cs="Times New Roman"/>
          <w:lang w:val="de-DE"/>
        </w:rPr>
      </w:pPr>
    </w:p>
    <w:p w14:paraId="66FD332F" w14:textId="77777777" w:rsidR="00325724" w:rsidRDefault="007426C1">
      <w:pPr>
        <w:adjustRightInd w:val="0"/>
        <w:snapToGrid w:val="0"/>
        <w:jc w:val="center"/>
        <w:rPr>
          <w:rFonts w:ascii="Times New Roman" w:hAnsi="Times New Roman" w:cs="Times New Roman"/>
        </w:rPr>
      </w:pPr>
      <w:r>
        <w:rPr>
          <w:rFonts w:ascii="Times New Roman" w:hAnsi="Times New Roman" w:cs="Times New Roman" w:hint="eastAsia"/>
          <w:noProof/>
        </w:rPr>
        <w:drawing>
          <wp:inline distT="0" distB="0" distL="114300" distR="114300">
            <wp:extent cx="5264150" cy="3085465"/>
            <wp:effectExtent l="0" t="0" r="12700" b="635"/>
            <wp:docPr id="6" name="图片 6" descr="support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upporting 1"/>
                    <pic:cNvPicPr>
                      <a:picLocks noChangeAspect="1"/>
                    </pic:cNvPicPr>
                  </pic:nvPicPr>
                  <pic:blipFill>
                    <a:blip r:embed="rId6"/>
                    <a:stretch>
                      <a:fillRect/>
                    </a:stretch>
                  </pic:blipFill>
                  <pic:spPr>
                    <a:xfrm>
                      <a:off x="0" y="0"/>
                      <a:ext cx="5264150" cy="3085465"/>
                    </a:xfrm>
                    <a:prstGeom prst="rect">
                      <a:avLst/>
                    </a:prstGeom>
                  </pic:spPr>
                </pic:pic>
              </a:graphicData>
            </a:graphic>
          </wp:inline>
        </w:drawing>
      </w:r>
    </w:p>
    <w:p w14:paraId="1AA1908E" w14:textId="77777777" w:rsidR="00325724" w:rsidRDefault="007426C1">
      <w:pPr>
        <w:adjustRightInd w:val="0"/>
        <w:snapToGrid w:val="0"/>
        <w:rPr>
          <w:rFonts w:ascii="Times New Roman" w:hAnsi="Times New Roman" w:cs="Times New Roman"/>
          <w:sz w:val="18"/>
          <w:szCs w:val="18"/>
        </w:rPr>
      </w:pPr>
      <w:r>
        <w:rPr>
          <w:rFonts w:ascii="Times New Roman" w:hAnsi="Times New Roman" w:cs="Times New Roman"/>
          <w:b/>
          <w:sz w:val="18"/>
          <w:szCs w:val="18"/>
        </w:rPr>
        <w:t>Fig. S2.</w:t>
      </w:r>
      <w:r>
        <w:rPr>
          <w:rFonts w:ascii="Times New Roman" w:hAnsi="Times New Roman" w:cs="Times New Roman"/>
          <w:sz w:val="18"/>
          <w:szCs w:val="18"/>
        </w:rPr>
        <w:t xml:space="preserve"> (a) High performanc</w:t>
      </w:r>
      <w:r>
        <w:rPr>
          <w:rFonts w:ascii="Times New Roman" w:hAnsi="Times New Roman" w:cs="Times New Roman"/>
          <w:sz w:val="18"/>
          <w:szCs w:val="18"/>
        </w:rPr>
        <w:t>e liquid chromatography and chromatographic conditions of KGN. (b) Linear relationship between chromatographic peak area and concentration of KGN. (c) High performance liquid chromatography and chromatographic conditions of Dex. (d) Linear relationship bet</w:t>
      </w:r>
      <w:r>
        <w:rPr>
          <w:rFonts w:ascii="Times New Roman" w:hAnsi="Times New Roman" w:cs="Times New Roman"/>
          <w:sz w:val="18"/>
          <w:szCs w:val="18"/>
        </w:rPr>
        <w:t>ween chromatographic peak area and concentration of Dex.</w:t>
      </w:r>
    </w:p>
    <w:p w14:paraId="43336270" w14:textId="77777777" w:rsidR="00325724" w:rsidRDefault="00325724">
      <w:pPr>
        <w:adjustRightInd w:val="0"/>
        <w:snapToGrid w:val="0"/>
        <w:rPr>
          <w:rFonts w:ascii="Times New Roman" w:hAnsi="Times New Roman" w:cs="Times New Roman"/>
          <w:sz w:val="18"/>
          <w:szCs w:val="18"/>
        </w:rPr>
      </w:pPr>
    </w:p>
    <w:p w14:paraId="25544E23" w14:textId="77777777" w:rsidR="00325724" w:rsidRDefault="007426C1">
      <w:pPr>
        <w:autoSpaceDE w:val="0"/>
        <w:autoSpaceDN w:val="0"/>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The particle size distribution</w:t>
      </w:r>
      <w:r>
        <w:rPr>
          <w:rFonts w:ascii="Times New Roman" w:eastAsia="MS Mincho" w:hAnsi="Times New Roman" w:cs="Times New Roman" w:hint="eastAsia"/>
          <w:kern w:val="0"/>
          <w:szCs w:val="21"/>
          <w:lang w:val="de-DE" w:eastAsia="ja-JP"/>
        </w:rPr>
        <w:t>,</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zeta</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potential,</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and</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polydispersity</w:t>
      </w:r>
      <w:r>
        <w:rPr>
          <w:rFonts w:ascii="Times New Roman" w:eastAsia="MS Mincho" w:hAnsi="Times New Roman" w:cs="Times New Roman"/>
          <w:kern w:val="0"/>
          <w:szCs w:val="21"/>
          <w:lang w:val="de-DE" w:eastAsia="ja-JP"/>
        </w:rPr>
        <w:t xml:space="preserve"> of the SPNs–KGN nanoparticles were measured using a dynamic light scattering spectrophotometer (Zetasizer Nano ZS, Malvern)</w:t>
      </w:r>
      <w:r>
        <w:rPr>
          <w:rFonts w:ascii="Times New Roman" w:eastAsia="MS Mincho" w:hAnsi="Times New Roman" w:cs="Times New Roman" w:hint="eastAsia"/>
          <w:kern w:val="0"/>
          <w:szCs w:val="21"/>
          <w:lang w:val="de-DE" w:eastAsia="ja-JP"/>
        </w:rPr>
        <w:t>.</w:t>
      </w:r>
      <w:r>
        <w:rPr>
          <w:rFonts w:ascii="Times New Roman" w:eastAsia="MS Mincho" w:hAnsi="Times New Roman" w:cs="Times New Roman"/>
          <w:kern w:val="0"/>
          <w:szCs w:val="21"/>
          <w:lang w:val="de-DE" w:eastAsia="ja-JP"/>
        </w:rPr>
        <w:t xml:space="preserve"> The circular dichroism of the nanoparticles was detected using a circular dichroism spectrometer (</w:t>
      </w:r>
      <w:r>
        <w:rPr>
          <w:rFonts w:ascii="Times New Roman" w:eastAsia="MS Mincho" w:hAnsi="Times New Roman" w:cs="Times New Roman" w:hint="eastAsia"/>
          <w:kern w:val="0"/>
          <w:szCs w:val="21"/>
          <w:lang w:val="de-DE" w:eastAsia="ja-JP"/>
        </w:rPr>
        <w:t>BRIGHTTIME Chirascan</w:t>
      </w:r>
      <w:r>
        <w:rPr>
          <w:rFonts w:ascii="Times New Roman" w:eastAsia="MS Mincho" w:hAnsi="Times New Roman" w:cs="Times New Roman"/>
          <w:kern w:val="0"/>
          <w:szCs w:val="21"/>
          <w:lang w:val="de-DE" w:eastAsia="ja-JP"/>
        </w:rPr>
        <w:t xml:space="preserve">, Applied Photophysics) </w:t>
      </w:r>
      <w:r>
        <w:rPr>
          <w:rFonts w:ascii="Times New Roman" w:eastAsia="MS Mincho" w:hAnsi="Times New Roman" w:cs="Times New Roman" w:hint="eastAsia"/>
          <w:kern w:val="0"/>
          <w:szCs w:val="21"/>
          <w:lang w:val="de-DE" w:eastAsia="ja-JP"/>
        </w:rPr>
        <w:t>a</w:t>
      </w:r>
      <w:r>
        <w:rPr>
          <w:rFonts w:ascii="Times New Roman" w:eastAsia="MS Mincho" w:hAnsi="Times New Roman" w:cs="Times New Roman"/>
          <w:kern w:val="0"/>
          <w:szCs w:val="21"/>
          <w:lang w:val="de-DE" w:eastAsia="ja-JP"/>
        </w:rPr>
        <w:t>t the scan range of 190–250 nm and wavelength step of 2 nm. The SPNs–KGN were dried at 25 ℃ and coated with gold</w:t>
      </w:r>
      <w:r>
        <w:rPr>
          <w:rFonts w:ascii="Times New Roman" w:eastAsia="MS Mincho" w:hAnsi="Times New Roman" w:cs="Times New Roman"/>
          <w:kern w:val="0"/>
          <w:szCs w:val="21"/>
          <w:lang w:val="de-DE" w:eastAsia="ja-JP"/>
        </w:rPr>
        <w:t xml:space="preserve"> coatings before being observed using scanning electron microscopy (SEM). </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H NMR spectroscopy was used to characterize the surface chemistry of the nanoparticles.</w:t>
      </w:r>
    </w:p>
    <w:p w14:paraId="2E465A53"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4" w:name="_Hlk114773287"/>
      <w:r>
        <w:rPr>
          <w:rFonts w:eastAsiaTheme="minorEastAsia"/>
          <w:i/>
          <w:sz w:val="21"/>
          <w:szCs w:val="21"/>
        </w:rPr>
        <w:t>Synthesis of drug-loaded nanocomposite hydrogels</w:t>
      </w:r>
    </w:p>
    <w:p w14:paraId="5C03F22D"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 xml:space="preserve">Dex was dissolved in deionized water at the </w:t>
      </w:r>
      <w:r>
        <w:rPr>
          <w:rFonts w:ascii="Times New Roman" w:eastAsia="MS Mincho" w:hAnsi="Times New Roman" w:cs="Times New Roman"/>
          <w:kern w:val="0"/>
          <w:szCs w:val="21"/>
          <w:lang w:val="de-DE" w:eastAsia="ja-JP"/>
        </w:rPr>
        <w:t>concentration of 5 mg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The Dex solution was added with HLC (20 mg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and the mixture was heated on a 37 °C water bath to dissolve the HLC completely. After being fully reacted, the solution was dialyzed to remove un-cross-linked small molecules an</w:t>
      </w:r>
      <w:r>
        <w:rPr>
          <w:rFonts w:ascii="Times New Roman" w:eastAsia="MS Mincho" w:hAnsi="Times New Roman" w:cs="Times New Roman"/>
          <w:kern w:val="0"/>
          <w:szCs w:val="21"/>
          <w:lang w:val="de-DE" w:eastAsia="ja-JP"/>
        </w:rPr>
        <w:t>d freeze-dried under vacuum conditions to obtain HLC(Dex). The loading of Dex on HLC was determined by HPLC analysis using a C18 reversed-phase column,</w:t>
      </w:r>
      <w:r>
        <w:rPr>
          <w:rFonts w:ascii="Times New Roman" w:hAnsi="Times New Roman" w:cs="Times New Roman"/>
          <w:kern w:val="0"/>
          <w:szCs w:val="21"/>
          <w:lang w:val="de-DE"/>
        </w:rPr>
        <w:t xml:space="preserve"> </w:t>
      </w:r>
      <w:r>
        <w:rPr>
          <w:rFonts w:ascii="Times New Roman" w:eastAsia="MS Mincho" w:hAnsi="Times New Roman" w:cs="Times New Roman"/>
          <w:kern w:val="0"/>
          <w:szCs w:val="21"/>
          <w:lang w:val="de-DE" w:eastAsia="ja-JP"/>
        </w:rPr>
        <w:t>The linear regression equation (</w:t>
      </w:r>
      <w:r>
        <w:rPr>
          <w:rFonts w:ascii="Times New Roman" w:eastAsia="MS Mincho" w:hAnsi="Times New Roman" w:cs="Times New Roman"/>
          <w:bCs/>
          <w:kern w:val="0"/>
          <w:szCs w:val="21"/>
          <w:lang w:val="de-DE" w:eastAsia="ja-JP"/>
        </w:rPr>
        <w:t>Fig. S2</w:t>
      </w:r>
      <w:r>
        <w:rPr>
          <w:rFonts w:ascii="Times New Roman" w:eastAsia="MS Mincho" w:hAnsi="Times New Roman" w:cs="Times New Roman"/>
          <w:kern w:val="0"/>
          <w:szCs w:val="21"/>
          <w:lang w:val="de-DE" w:eastAsia="ja-JP"/>
        </w:rPr>
        <w:t xml:space="preserve">) for the Dex concentration and peak area of the drug was first </w:t>
      </w:r>
      <w:r>
        <w:rPr>
          <w:rFonts w:ascii="Times New Roman" w:eastAsia="MS Mincho" w:hAnsi="Times New Roman" w:cs="Times New Roman"/>
          <w:kern w:val="0"/>
          <w:szCs w:val="21"/>
          <w:lang w:val="de-DE" w:eastAsia="ja-JP"/>
        </w:rPr>
        <w:t xml:space="preserve">determined. The pre-reaction Dex solution and the post-reaction dialysate were collected, and the concentration of unloaded Dex was determined by HPLC and calculated from the regression equation. The encapsulation efficiency and drug loading equations are </w:t>
      </w:r>
      <w:r>
        <w:rPr>
          <w:rFonts w:ascii="Times New Roman" w:eastAsia="MS Mincho" w:hAnsi="Times New Roman" w:cs="Times New Roman"/>
          <w:kern w:val="0"/>
          <w:szCs w:val="21"/>
          <w:lang w:val="de-DE" w:eastAsia="ja-JP"/>
        </w:rPr>
        <w:t>similar to those for KGN. The mobile phase was the mixture of acetonitrile and water at the ratio of 70</w:t>
      </w:r>
      <w:r>
        <w:rPr>
          <w:rFonts w:ascii="Times New Roman" w:hAnsi="Times New Roman" w:cs="Times New Roman"/>
          <w:kern w:val="0"/>
          <w:szCs w:val="21"/>
          <w:lang w:val="de-DE"/>
        </w:rPr>
        <w:t>:</w:t>
      </w:r>
      <w:r>
        <w:rPr>
          <w:rFonts w:ascii="Times New Roman" w:eastAsia="MS Mincho" w:hAnsi="Times New Roman" w:cs="Times New Roman"/>
          <w:kern w:val="0"/>
          <w:szCs w:val="21"/>
          <w:lang w:val="de-DE" w:eastAsia="ja-JP"/>
        </w:rPr>
        <w:t>30. The flow rate was 1 mL</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min</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the detection wavelength was 240 nm, the injection volume was 10 µL, and the retention time was 3.5 min. </w:t>
      </w:r>
      <w:bookmarkStart w:id="5" w:name="_Hlk91010321"/>
      <w:bookmarkEnd w:id="4"/>
      <w:r>
        <w:rPr>
          <w:rFonts w:ascii="Times New Roman" w:eastAsia="MS Mincho" w:hAnsi="Times New Roman" w:cs="Times New Roman"/>
          <w:kern w:val="0"/>
          <w:szCs w:val="21"/>
          <w:lang w:val="de-DE" w:eastAsia="ja-JP"/>
        </w:rPr>
        <w:t>SPNs</w:t>
      </w:r>
      <w:bookmarkEnd w:id="5"/>
      <w:r>
        <w:rPr>
          <w:rFonts w:ascii="Times New Roman" w:eastAsia="MS Mincho" w:hAnsi="Times New Roman" w:cs="Times New Roman"/>
          <w:kern w:val="0"/>
          <w:szCs w:val="21"/>
          <w:lang w:val="de-DE" w:eastAsia="ja-JP"/>
        </w:rPr>
        <w:t>–KGN (1 m</w:t>
      </w:r>
      <w:r>
        <w:rPr>
          <w:rFonts w:ascii="Times New Roman" w:eastAsia="MS Mincho" w:hAnsi="Times New Roman" w:cs="Times New Roman"/>
          <w:kern w:val="0"/>
          <w:szCs w:val="21"/>
          <w:lang w:val="de-DE" w:eastAsia="ja-JP"/>
        </w:rPr>
        <w:t>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were dissolved completely in deionized water, and the solution was added with 100 mg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of HLC(Dex). After being thoroughly mixed, the solution was added with TGase (60 U</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g</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of protein), and the mixture was reacted at 4 °C for 6–10 h to obtain H</w:t>
      </w:r>
      <w:r>
        <w:rPr>
          <w:rFonts w:ascii="Times New Roman" w:eastAsia="MS Mincho" w:hAnsi="Times New Roman" w:cs="Times New Roman"/>
          <w:kern w:val="0"/>
          <w:szCs w:val="21"/>
          <w:lang w:val="de-DE" w:eastAsia="ja-JP"/>
        </w:rPr>
        <w:t>LC(Dex)–SPNs–KGN hydrogel. HLC–SPNs hydrogel was the hydrogel that contained neither Dex nor KGN. HLC hydrogel was the hydrogel that contained none of Dex, KGN, and SPNs. HLC–SPNs–KGN hydrogel was the hydrogel of which HLC and SPNs–KGN were mixed and cross</w:t>
      </w:r>
      <w:r>
        <w:rPr>
          <w:rFonts w:ascii="Times New Roman" w:eastAsia="MS Mincho" w:hAnsi="Times New Roman" w:cs="Times New Roman"/>
          <w:kern w:val="0"/>
          <w:szCs w:val="21"/>
          <w:lang w:val="de-DE" w:eastAsia="ja-JP"/>
        </w:rPr>
        <w:t>-linked using TGase. HLC(Dex)–SPNs hydrogel was the hydrogel of which HLC(Dex) and SPNs were mixed and crosslinked using TGase.</w:t>
      </w:r>
    </w:p>
    <w:p w14:paraId="1E6E81E4"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6" w:name="_Hlk114859427"/>
      <w:bookmarkStart w:id="7" w:name="_Hlk103185313"/>
      <w:r>
        <w:rPr>
          <w:rFonts w:eastAsiaTheme="minorEastAsia"/>
          <w:i/>
          <w:sz w:val="21"/>
          <w:szCs w:val="21"/>
        </w:rPr>
        <w:t>Characterization of HLC(Dex)–SPNs–KGN hydrogel</w:t>
      </w:r>
    </w:p>
    <w:bookmarkEnd w:id="6"/>
    <w:p w14:paraId="1079BDA1"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HLC(Dex)–SPNs–KGN hydrogels were frozen in liquid nitrogen immediately after cryo</w:t>
      </w:r>
      <w:r>
        <w:rPr>
          <w:rFonts w:ascii="Times New Roman" w:eastAsia="MS Mincho" w:hAnsi="Times New Roman" w:cs="Times New Roman"/>
          <w:kern w:val="0"/>
          <w:szCs w:val="21"/>
          <w:lang w:val="de-DE" w:eastAsia="ja-JP"/>
        </w:rPr>
        <w:t>-electron microscopy (</w:t>
      </w:r>
      <w:r>
        <w:rPr>
          <w:rFonts w:ascii="Times New Roman" w:eastAsia="等线" w:hAnsi="Times New Roman" w:cs="Times New Roman"/>
          <w:szCs w:val="21"/>
        </w:rPr>
        <w:t>PP3000T Cryoprep transfer system (Quorum, UK), FEI Quanta 450 environmental scanning electron microscope</w:t>
      </w:r>
      <w:r>
        <w:rPr>
          <w:rFonts w:ascii="Times New Roman" w:eastAsia="MS Mincho" w:hAnsi="Times New Roman" w:cs="Times New Roman"/>
          <w:kern w:val="0"/>
          <w:szCs w:val="21"/>
          <w:lang w:val="de-DE" w:eastAsia="ja-JP"/>
        </w:rPr>
        <w:t xml:space="preserve">) to observe the internal pore structure. </w:t>
      </w:r>
      <w:bookmarkEnd w:id="7"/>
    </w:p>
    <w:p w14:paraId="296C8D00"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To characterize the swelling behavior of the hydrogel, the hydrogel was immersed in PBS</w:t>
      </w:r>
      <w:r>
        <w:rPr>
          <w:rFonts w:ascii="Times New Roman" w:eastAsia="MS Mincho" w:hAnsi="Times New Roman" w:cs="Times New Roman"/>
          <w:kern w:val="0"/>
          <w:szCs w:val="21"/>
          <w:lang w:val="de-DE" w:eastAsia="ja-JP"/>
        </w:rPr>
        <w:t xml:space="preserve"> and removed at certain intervals. The hydrogel was weighed until the constant weight of the hydrogel was obtained. The swelling rate (SR) of the hydrogel was calculated by the following Eq. (S3), where </w:t>
      </w:r>
      <w:r>
        <w:rPr>
          <w:rFonts w:ascii="Times New Roman" w:eastAsia="MS Mincho" w:hAnsi="Times New Roman" w:cs="Times New Roman"/>
          <w:i/>
          <w:iCs/>
          <w:kern w:val="0"/>
          <w:szCs w:val="21"/>
          <w:lang w:val="de-DE" w:eastAsia="ja-JP"/>
        </w:rPr>
        <w:t>W</w:t>
      </w:r>
      <w:r>
        <w:rPr>
          <w:rFonts w:ascii="Times New Roman" w:eastAsia="MS Mincho" w:hAnsi="Times New Roman" w:cs="Times New Roman"/>
          <w:iCs/>
          <w:kern w:val="0"/>
          <w:szCs w:val="21"/>
          <w:vertAlign w:val="subscript"/>
          <w:lang w:val="de-DE" w:eastAsia="ja-JP"/>
        </w:rPr>
        <w:t>i</w:t>
      </w:r>
      <w:r>
        <w:rPr>
          <w:rFonts w:ascii="Times New Roman" w:eastAsia="MS Mincho" w:hAnsi="Times New Roman" w:cs="Times New Roman"/>
          <w:kern w:val="0"/>
          <w:szCs w:val="21"/>
          <w:lang w:val="de-DE" w:eastAsia="ja-JP"/>
        </w:rPr>
        <w:t xml:space="preserve"> and </w:t>
      </w:r>
      <w:r>
        <w:rPr>
          <w:rFonts w:ascii="Times New Roman" w:eastAsia="MS Mincho" w:hAnsi="Times New Roman" w:cs="Times New Roman"/>
          <w:i/>
          <w:iCs/>
          <w:kern w:val="0"/>
          <w:szCs w:val="21"/>
          <w:lang w:val="de-DE" w:eastAsia="ja-JP"/>
        </w:rPr>
        <w:t>W</w:t>
      </w:r>
      <w:r>
        <w:rPr>
          <w:rFonts w:ascii="Times New Roman" w:eastAsia="MS Mincho" w:hAnsi="Times New Roman" w:cs="Times New Roman"/>
          <w:iCs/>
          <w:kern w:val="0"/>
          <w:szCs w:val="21"/>
          <w:vertAlign w:val="subscript"/>
          <w:lang w:val="de-DE" w:eastAsia="ja-JP"/>
        </w:rPr>
        <w:t>t</w:t>
      </w:r>
      <w:r>
        <w:rPr>
          <w:rFonts w:ascii="Times New Roman" w:eastAsia="MS Mincho" w:hAnsi="Times New Roman" w:cs="Times New Roman"/>
          <w:kern w:val="0"/>
          <w:szCs w:val="21"/>
          <w:lang w:val="de-DE" w:eastAsia="ja-JP"/>
        </w:rPr>
        <w:t xml:space="preserve"> represented the initial weight of the freeze-dried hydrogel before being immersed in PBS and the constant weight of the hydrogel after being immersed in PBS, respectively. </w:t>
      </w:r>
    </w:p>
    <w:p w14:paraId="446A05BA" w14:textId="77777777" w:rsidR="00325724" w:rsidRDefault="007426C1">
      <w:pPr>
        <w:adjustRightInd w:val="0"/>
        <w:snapToGrid w:val="0"/>
        <w:rPr>
          <w:rFonts w:ascii="Times New Roman" w:eastAsia="MS Mincho" w:hAnsi="Times New Roman" w:cs="Times New Roman"/>
          <w:kern w:val="0"/>
          <w:szCs w:val="21"/>
          <w:lang w:val="de-DE" w:eastAsia="ja-JP"/>
        </w:rPr>
      </w:pPr>
      <m:oMath>
        <m:r>
          <m:rPr>
            <m:sty m:val="p"/>
          </m:rPr>
          <w:rPr>
            <w:rFonts w:ascii="Cambria Math" w:eastAsia="MS Mincho" w:hAnsi="Cambria Math" w:cs="Times New Roman"/>
            <w:kern w:val="0"/>
            <w:szCs w:val="21"/>
            <w:lang w:val="de-DE" w:eastAsia="ja-JP"/>
          </w:rPr>
          <m:t xml:space="preserve">SR </m:t>
        </m:r>
        <m:d>
          <m:dPr>
            <m:ctrlPr>
              <w:rPr>
                <w:rFonts w:ascii="Cambria Math" w:eastAsia="MS Mincho" w:hAnsi="Cambria Math" w:cs="Times New Roman"/>
                <w:i/>
                <w:kern w:val="0"/>
                <w:szCs w:val="21"/>
                <w:lang w:val="de-DE" w:eastAsia="ja-JP"/>
              </w:rPr>
            </m:ctrlPr>
          </m:dPr>
          <m:e>
            <m:r>
              <w:rPr>
                <w:rFonts w:ascii="Cambria Math" w:eastAsia="MS Mincho" w:hAnsi="Cambria Math" w:cs="Times New Roman"/>
                <w:kern w:val="0"/>
                <w:szCs w:val="21"/>
                <w:lang w:val="de-DE" w:eastAsia="ja-JP"/>
              </w:rPr>
              <m:t>%</m:t>
            </m:r>
          </m:e>
        </m:d>
        <m:r>
          <w:rPr>
            <w:rFonts w:ascii="Cambria Math" w:eastAsia="MS Mincho" w:hAnsi="Cambria Math" w:cs="Times New Roman"/>
            <w:kern w:val="0"/>
            <w:szCs w:val="21"/>
            <w:lang w:val="de-DE" w:eastAsia="ja-JP"/>
          </w:rPr>
          <m:t>=</m:t>
        </m:r>
        <m:f>
          <m:fPr>
            <m:ctrlPr>
              <w:rPr>
                <w:rFonts w:ascii="Cambria Math" w:eastAsia="MS Mincho" w:hAnsi="Cambria Math" w:cs="Times New Roman"/>
                <w:i/>
                <w:kern w:val="0"/>
                <w:szCs w:val="21"/>
                <w:lang w:val="de-DE" w:eastAsia="ja-JP"/>
              </w:rPr>
            </m:ctrlPr>
          </m:fPr>
          <m:num>
            <m:sSub>
              <m:sSubPr>
                <m:ctrlPr>
                  <w:rPr>
                    <w:rFonts w:ascii="Cambria Math" w:eastAsia="MS Mincho" w:hAnsi="Cambria Math" w:cs="Times New Roman"/>
                    <w:i/>
                    <w:kern w:val="0"/>
                    <w:szCs w:val="21"/>
                    <w:lang w:val="de-DE" w:eastAsia="ja-JP"/>
                  </w:rPr>
                </m:ctrlPr>
              </m:sSubPr>
              <m:e>
                <m:r>
                  <w:rPr>
                    <w:rFonts w:ascii="Cambria Math" w:eastAsia="MS Mincho" w:hAnsi="Cambria Math" w:cs="Times New Roman"/>
                    <w:kern w:val="0"/>
                    <w:szCs w:val="21"/>
                    <w:lang w:val="de-DE" w:eastAsia="ja-JP"/>
                  </w:rPr>
                  <m:t>W</m:t>
                </m:r>
              </m:e>
              <m:sub>
                <m:r>
                  <m:rPr>
                    <m:sty m:val="p"/>
                  </m:rPr>
                  <w:rPr>
                    <w:rFonts w:ascii="Cambria Math" w:eastAsia="MS Mincho" w:hAnsi="Cambria Math" w:cs="Times New Roman"/>
                    <w:kern w:val="0"/>
                    <w:szCs w:val="21"/>
                    <w:lang w:val="de-DE" w:eastAsia="ja-JP"/>
                  </w:rPr>
                  <m:t>t</m:t>
                </m:r>
              </m:sub>
            </m:sSub>
            <m:r>
              <w:rPr>
                <w:rFonts w:ascii="Cambria Math" w:eastAsia="MS Mincho" w:hAnsi="Cambria Math" w:cs="Times New Roman"/>
                <w:kern w:val="0"/>
                <w:szCs w:val="21"/>
                <w:lang w:val="de-DE" w:eastAsia="ja-JP"/>
              </w:rPr>
              <m:t>-</m:t>
            </m:r>
            <m:sSub>
              <m:sSubPr>
                <m:ctrlPr>
                  <w:rPr>
                    <w:rFonts w:ascii="Cambria Math" w:eastAsia="MS Mincho" w:hAnsi="Cambria Math" w:cs="Times New Roman"/>
                    <w:i/>
                    <w:kern w:val="0"/>
                    <w:szCs w:val="21"/>
                    <w:lang w:val="de-DE" w:eastAsia="ja-JP"/>
                  </w:rPr>
                </m:ctrlPr>
              </m:sSubPr>
              <m:e>
                <m:r>
                  <w:rPr>
                    <w:rFonts w:ascii="Cambria Math" w:eastAsia="MS Mincho" w:hAnsi="Cambria Math" w:cs="Times New Roman"/>
                    <w:kern w:val="0"/>
                    <w:szCs w:val="21"/>
                    <w:lang w:val="de-DE" w:eastAsia="ja-JP"/>
                  </w:rPr>
                  <m:t>W</m:t>
                </m:r>
              </m:e>
              <m:sub>
                <m:r>
                  <m:rPr>
                    <m:sty m:val="p"/>
                  </m:rPr>
                  <w:rPr>
                    <w:rFonts w:ascii="Cambria Math" w:eastAsia="MS Mincho" w:hAnsi="Cambria Math" w:cs="Times New Roman"/>
                    <w:kern w:val="0"/>
                    <w:szCs w:val="21"/>
                    <w:lang w:val="de-DE" w:eastAsia="ja-JP"/>
                  </w:rPr>
                  <m:t>i</m:t>
                </m:r>
              </m:sub>
            </m:sSub>
          </m:num>
          <m:den>
            <m:sSub>
              <m:sSubPr>
                <m:ctrlPr>
                  <w:rPr>
                    <w:rFonts w:ascii="Cambria Math" w:eastAsia="MS Mincho" w:hAnsi="Cambria Math" w:cs="Times New Roman"/>
                    <w:i/>
                    <w:kern w:val="0"/>
                    <w:szCs w:val="21"/>
                    <w:lang w:val="de-DE" w:eastAsia="ja-JP"/>
                  </w:rPr>
                </m:ctrlPr>
              </m:sSubPr>
              <m:e>
                <m:r>
                  <w:rPr>
                    <w:rFonts w:ascii="Cambria Math" w:eastAsia="MS Mincho" w:hAnsi="Cambria Math" w:cs="Times New Roman"/>
                    <w:kern w:val="0"/>
                    <w:szCs w:val="21"/>
                    <w:lang w:val="de-DE" w:eastAsia="ja-JP"/>
                  </w:rPr>
                  <m:t>W</m:t>
                </m:r>
              </m:e>
              <m:sub>
                <m:r>
                  <m:rPr>
                    <m:sty m:val="p"/>
                  </m:rPr>
                  <w:rPr>
                    <w:rFonts w:ascii="Cambria Math" w:eastAsia="MS Mincho" w:hAnsi="Cambria Math" w:cs="Times New Roman"/>
                    <w:kern w:val="0"/>
                    <w:szCs w:val="21"/>
                    <w:lang w:val="de-DE" w:eastAsia="ja-JP"/>
                  </w:rPr>
                  <m:t>i</m:t>
                </m:r>
              </m:sub>
            </m:sSub>
          </m:den>
        </m:f>
        <m:r>
          <w:rPr>
            <w:rFonts w:ascii="Cambria Math" w:eastAsia="MS Mincho" w:hAnsi="Cambria Math" w:cs="Times New Roman"/>
            <w:kern w:val="0"/>
            <w:szCs w:val="21"/>
            <w:lang w:val="de-DE" w:eastAsia="ja-JP"/>
          </w:rPr>
          <m:t xml:space="preserve">×100% </m:t>
        </m:r>
      </m:oMath>
      <w:r>
        <w:rPr>
          <w:rFonts w:ascii="Times New Roman" w:eastAsia="MS Mincho" w:hAnsi="Times New Roman" w:cs="Times New Roman"/>
          <w:kern w:val="0"/>
          <w:szCs w:val="21"/>
          <w:lang w:val="de-DE" w:eastAsia="ja-JP"/>
        </w:rPr>
        <w:tab/>
        <w:t xml:space="preserve">  (S3)</w:t>
      </w:r>
    </w:p>
    <w:p w14:paraId="326A8A69"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The rheological properties of the hydrogel were teste</w:t>
      </w:r>
      <w:r>
        <w:rPr>
          <w:rFonts w:ascii="Times New Roman" w:eastAsia="MS Mincho" w:hAnsi="Times New Roman" w:cs="Times New Roman"/>
          <w:kern w:val="0"/>
          <w:szCs w:val="21"/>
          <w:lang w:val="de-DE" w:eastAsia="ja-JP"/>
        </w:rPr>
        <w:t>d using a rheometer (MCR302) set in the oscillatory mode at the 5% strain, 1 rad∙s</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frequency, and 25 °C temperature. The cyclic compression test was performed on the hydrogel using an INSTRON 5565 testing machine. The modulus data of the cylindrical hydr</w:t>
      </w:r>
      <w:r>
        <w:rPr>
          <w:rFonts w:ascii="Times New Roman" w:eastAsia="MS Mincho" w:hAnsi="Times New Roman" w:cs="Times New Roman"/>
          <w:kern w:val="0"/>
          <w:szCs w:val="21"/>
          <w:lang w:val="de-DE" w:eastAsia="ja-JP"/>
        </w:rPr>
        <w:t>ogel (1 cm diameter and 1 cm thickness) were automatically calculated by the testing machine.</w:t>
      </w:r>
    </w:p>
    <w:p w14:paraId="3C4CAFD1" w14:textId="77777777" w:rsidR="00325724" w:rsidRDefault="007426C1">
      <w:pPr>
        <w:adjustRightInd w:val="0"/>
        <w:snapToGrid w:val="0"/>
        <w:ind w:firstLineChars="100" w:firstLine="210"/>
        <w:rPr>
          <w:rFonts w:ascii="Times New Roman" w:eastAsia="微软雅黑" w:hAnsi="Times New Roman" w:cs="Times New Roman"/>
          <w:kern w:val="0"/>
          <w:szCs w:val="21"/>
          <w:lang w:val="de-DE"/>
        </w:rPr>
      </w:pPr>
      <w:bookmarkStart w:id="8" w:name="_Hlk114859437"/>
      <w:bookmarkStart w:id="9" w:name="_Hlk115536602"/>
      <w:r>
        <w:rPr>
          <w:rFonts w:ascii="Times New Roman" w:hAnsi="Times New Roman" w:cs="Times New Roman"/>
          <w:kern w:val="0"/>
          <w:szCs w:val="21"/>
          <w:lang w:val="de-DE"/>
        </w:rPr>
        <w:t>To determine the degree of gel formation, the gel fraction of the hydrogel is calculated by measuring the mass of the hydrogel before and after formation by weigh</w:t>
      </w:r>
      <w:r>
        <w:rPr>
          <w:rFonts w:ascii="Times New Roman" w:hAnsi="Times New Roman" w:cs="Times New Roman"/>
          <w:kern w:val="0"/>
          <w:szCs w:val="21"/>
          <w:lang w:val="de-DE"/>
        </w:rPr>
        <w:t>t. The steps are as follows: The components of the hydrogel are mixed to determine the mass of the whole component (</w:t>
      </w:r>
      <w:r>
        <w:rPr>
          <w:rFonts w:ascii="Times New Roman" w:hAnsi="Times New Roman" w:cs="Times New Roman"/>
          <w:i/>
          <w:kern w:val="0"/>
          <w:szCs w:val="21"/>
          <w:lang w:val="de-DE"/>
        </w:rPr>
        <w:t>W</w:t>
      </w:r>
      <w:r>
        <w:rPr>
          <w:rFonts w:ascii="Times New Roman" w:hAnsi="Times New Roman" w:cs="Times New Roman"/>
          <w:kern w:val="0"/>
          <w:szCs w:val="21"/>
          <w:lang w:val="de-DE"/>
        </w:rPr>
        <w:t>), then the mixture is stirred to form a hydrogel, the hydrogel is removed, and the surface water is absorbed with filter paper, and the hy</w:t>
      </w:r>
      <w:r>
        <w:rPr>
          <w:rFonts w:ascii="Times New Roman" w:hAnsi="Times New Roman" w:cs="Times New Roman"/>
          <w:kern w:val="0"/>
          <w:szCs w:val="21"/>
          <w:lang w:val="de-DE"/>
        </w:rPr>
        <w:t>drogel is weighed again (</w:t>
      </w:r>
      <w:r>
        <w:rPr>
          <w:rFonts w:ascii="Times New Roman" w:hAnsi="Times New Roman" w:cs="Times New Roman"/>
          <w:i/>
          <w:kern w:val="0"/>
          <w:szCs w:val="21"/>
          <w:lang w:val="de-DE"/>
        </w:rPr>
        <w:t>W</w:t>
      </w:r>
      <w:r>
        <w:rPr>
          <w:rFonts w:ascii="Times New Roman" w:hAnsi="Times New Roman" w:cs="Times New Roman"/>
          <w:kern w:val="0"/>
          <w:szCs w:val="21"/>
          <w:vertAlign w:val="subscript"/>
          <w:lang w:val="de-DE"/>
        </w:rPr>
        <w:t>i</w:t>
      </w:r>
      <w:r>
        <w:rPr>
          <w:rFonts w:ascii="Times New Roman" w:hAnsi="Times New Roman" w:cs="Times New Roman"/>
          <w:kern w:val="0"/>
          <w:szCs w:val="21"/>
          <w:lang w:val="de-DE"/>
        </w:rPr>
        <w:t xml:space="preserve">), then the gel fraction is calculated as in Eq. (S4). </w:t>
      </w:r>
    </w:p>
    <w:p w14:paraId="6501BE50" w14:textId="77777777" w:rsidR="00325724" w:rsidRDefault="007426C1">
      <w:pPr>
        <w:adjustRightInd w:val="0"/>
        <w:snapToGrid w:val="0"/>
        <w:rPr>
          <w:rFonts w:ascii="Times New Roman" w:eastAsia="MS Mincho" w:hAnsi="Times New Roman" w:cs="Times New Roman"/>
          <w:kern w:val="0"/>
          <w:szCs w:val="21"/>
          <w:lang w:val="de-DE" w:eastAsia="ja-JP"/>
        </w:rPr>
      </w:pPr>
      <m:oMath>
        <m:r>
          <m:rPr>
            <m:sty m:val="p"/>
          </m:rPr>
          <w:rPr>
            <w:rFonts w:ascii="Cambria Math" w:hAnsi="Cambria Math" w:cs="Times New Roman"/>
            <w:kern w:val="0"/>
            <w:szCs w:val="21"/>
            <w:lang w:val="de-DE"/>
          </w:rPr>
          <m:t xml:space="preserve">Gel fraction </m:t>
        </m:r>
        <m:d>
          <m:dPr>
            <m:ctrlPr>
              <w:rPr>
                <w:rFonts w:ascii="Cambria Math" w:eastAsia="MS Mincho" w:hAnsi="Cambria Math" w:cs="Times New Roman"/>
                <w:i/>
                <w:kern w:val="0"/>
                <w:szCs w:val="21"/>
                <w:lang w:val="de-DE" w:eastAsia="ja-JP"/>
              </w:rPr>
            </m:ctrlPr>
          </m:dPr>
          <m:e>
            <m:r>
              <w:rPr>
                <w:rFonts w:ascii="Cambria Math" w:eastAsia="MS Mincho" w:hAnsi="Cambria Math" w:cs="Times New Roman"/>
                <w:kern w:val="0"/>
                <w:szCs w:val="21"/>
                <w:lang w:val="de-DE" w:eastAsia="ja-JP"/>
              </w:rPr>
              <m:t>%</m:t>
            </m:r>
          </m:e>
        </m:d>
        <m:r>
          <m:rPr>
            <m:sty m:val="p"/>
          </m:rPr>
          <w:rPr>
            <w:rFonts w:ascii="Cambria Math" w:hAnsi="Cambria Math" w:cs="Times New Roman"/>
            <w:szCs w:val="21"/>
            <w:lang w:val="de-DE"/>
          </w:rPr>
          <m:t>=</m:t>
        </m:r>
        <m:d>
          <m:dPr>
            <m:ctrlPr>
              <w:rPr>
                <w:rFonts w:ascii="Cambria Math" w:hAnsi="Cambria Math" w:cs="Times New Roman"/>
                <w:i/>
                <w:szCs w:val="21"/>
                <w:lang w:val="en-GB"/>
              </w:rPr>
            </m:ctrlPr>
          </m:dPr>
          <m:e>
            <m:f>
              <m:fPr>
                <m:type m:val="lin"/>
                <m:ctrlPr>
                  <w:rPr>
                    <w:rFonts w:ascii="Cambria Math" w:hAnsi="Cambria Math" w:cs="Times New Roman"/>
                    <w:i/>
                    <w:szCs w:val="21"/>
                    <w:lang w:val="en-GB"/>
                  </w:rPr>
                </m:ctrlPr>
              </m:fPr>
              <m:num>
                <m:sSub>
                  <m:sSubPr>
                    <m:ctrlPr>
                      <w:rPr>
                        <w:rFonts w:ascii="Cambria Math" w:hAnsi="Cambria Math" w:cs="Times New Roman"/>
                        <w:szCs w:val="21"/>
                        <w:lang w:val="en-GB"/>
                      </w:rPr>
                    </m:ctrlPr>
                  </m:sSubPr>
                  <m:e>
                    <m:r>
                      <w:rPr>
                        <w:rFonts w:ascii="Cambria Math" w:hAnsi="Cambria Math" w:cs="Times New Roman"/>
                        <w:szCs w:val="21"/>
                        <w:lang w:val="en-GB"/>
                      </w:rPr>
                      <m:t>W</m:t>
                    </m:r>
                  </m:e>
                  <m:sub>
                    <m:r>
                      <m:rPr>
                        <m:sty m:val="p"/>
                      </m:rPr>
                      <w:rPr>
                        <w:rFonts w:ascii="Cambria Math" w:hAnsi="Cambria Math" w:cs="Times New Roman"/>
                        <w:szCs w:val="21"/>
                        <w:lang w:val="en-GB"/>
                      </w:rPr>
                      <m:t>i</m:t>
                    </m:r>
                  </m:sub>
                </m:sSub>
              </m:num>
              <m:den>
                <m:r>
                  <w:rPr>
                    <w:rFonts w:ascii="Cambria Math" w:hAnsi="Cambria Math" w:cs="Times New Roman"/>
                    <w:szCs w:val="21"/>
                    <w:lang w:val="en-GB"/>
                  </w:rPr>
                  <m:t>W</m:t>
                </m:r>
              </m:den>
            </m:f>
          </m:e>
        </m:d>
        <m:r>
          <w:rPr>
            <w:rFonts w:ascii="Cambria Math" w:hAnsi="Cambria Math" w:cs="Times New Roman"/>
            <w:szCs w:val="21"/>
            <w:lang w:val="de-DE"/>
          </w:rPr>
          <m:t>×</m:t>
        </m:r>
        <m:r>
          <m:rPr>
            <m:nor/>
          </m:rPr>
          <w:rPr>
            <w:rFonts w:ascii="Times New Roman" w:hAnsi="Times New Roman" w:cs="Times New Roman"/>
            <w:szCs w:val="21"/>
            <w:lang w:val="de-DE"/>
          </w:rPr>
          <m:t>100%</m:t>
        </m:r>
      </m:oMath>
      <w:r>
        <w:rPr>
          <w:rFonts w:ascii="Times New Roman" w:hAnsi="Times New Roman" w:cs="Times New Roman"/>
          <w:szCs w:val="21"/>
          <w:lang w:val="de-DE"/>
        </w:rPr>
        <w:t xml:space="preserve">     (S4)</w:t>
      </w:r>
      <w:bookmarkEnd w:id="8"/>
    </w:p>
    <w:p w14:paraId="0EEEF7A7"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10" w:name="_Hlk114669777"/>
      <w:bookmarkEnd w:id="9"/>
      <w:r>
        <w:rPr>
          <w:rFonts w:eastAsiaTheme="minorEastAsia"/>
          <w:sz w:val="21"/>
          <w:szCs w:val="21"/>
        </w:rPr>
        <w:t>In-vitro</w:t>
      </w:r>
      <w:r>
        <w:rPr>
          <w:rFonts w:eastAsiaTheme="minorEastAsia"/>
          <w:i/>
          <w:sz w:val="21"/>
          <w:szCs w:val="21"/>
        </w:rPr>
        <w:t xml:space="preserve"> drug release studies</w:t>
      </w:r>
    </w:p>
    <w:p w14:paraId="009F8D6D" w14:textId="77777777" w:rsidR="00325724" w:rsidRDefault="007426C1">
      <w:pPr>
        <w:autoSpaceDE w:val="0"/>
        <w:autoSpaceDN w:val="0"/>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 xml:space="preserve">HLC(Dex)–SPNs–KGN hydrogel (100 mg) and SPNs–KGN nanoparticles (10 mg) were immersed in PBS (1 mL, pH 7.4) </w:t>
      </w:r>
      <w:r>
        <w:rPr>
          <w:rFonts w:ascii="Times New Roman" w:eastAsia="MS Mincho" w:hAnsi="Times New Roman" w:cs="Times New Roman"/>
          <w:kern w:val="0"/>
          <w:szCs w:val="21"/>
          <w:lang w:val="de-DE" w:eastAsia="ja-JP"/>
        </w:rPr>
        <w:t>under shaking (100 r</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min</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at room temperature. HLC(Dex)–SPNs–KGN hydrogel (100 mg) and SPNs–KGN nanoparticles (10 mg) were also immersed in PBS (1 mL, pH 7.4) with 1 U</w:t>
      </w:r>
      <w:bookmarkStart w:id="11" w:name="OLE_LINK1"/>
      <w:bookmarkStart w:id="12" w:name="OLE_LINK2"/>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bookmarkEnd w:id="11"/>
      <w:bookmarkEnd w:id="12"/>
      <w:r>
        <w:rPr>
          <w:rFonts w:ascii="Times New Roman" w:eastAsia="MS Mincho" w:hAnsi="Times New Roman" w:cs="Times New Roman"/>
          <w:kern w:val="0"/>
          <w:szCs w:val="21"/>
          <w:lang w:val="de-DE" w:eastAsia="ja-JP"/>
        </w:rPr>
        <w:t xml:space="preserve"> collagenase (</w:t>
      </w:r>
      <w:r>
        <w:rPr>
          <w:rFonts w:ascii="Times New Roman" w:hAnsi="Times New Roman" w:cs="Times New Roman"/>
          <w:bCs/>
          <w:szCs w:val="21"/>
        </w:rPr>
        <w:t>Shanghai Genye Biotechnology Co., Ltd., S10053</w:t>
      </w:r>
      <w:r>
        <w:rPr>
          <w:rFonts w:ascii="Times New Roman" w:eastAsia="MS Mincho" w:hAnsi="Times New Roman" w:cs="Times New Roman"/>
          <w:kern w:val="0"/>
          <w:szCs w:val="21"/>
          <w:lang w:val="de-DE" w:eastAsia="ja-JP"/>
        </w:rPr>
        <w:t>) under shaking (100 r</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min</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at room temperature. At predetermined time intervals, 0.1 mL of release solution was withdrawn, and the peak area was determined by HPLC to calculate the total release rate. Then, 0.1 mL of fresh PBS or PBS with 1 U</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collagenase was added to ma</w:t>
      </w:r>
      <w:r>
        <w:rPr>
          <w:rFonts w:ascii="Times New Roman" w:eastAsia="MS Mincho" w:hAnsi="Times New Roman" w:cs="Times New Roman"/>
          <w:kern w:val="0"/>
          <w:szCs w:val="21"/>
          <w:lang w:val="de-DE" w:eastAsia="ja-JP"/>
        </w:rPr>
        <w:t>intain constant total volume, and the dialysis test continued. The amount of KGN and Dex that were released from the hydrogel was determined using HPLC analysis.</w:t>
      </w:r>
    </w:p>
    <w:p w14:paraId="04013437"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13" w:name="_Hlk103176995"/>
      <w:bookmarkEnd w:id="10"/>
      <w:r>
        <w:rPr>
          <w:rFonts w:eastAsiaTheme="minorEastAsia"/>
          <w:i/>
          <w:sz w:val="21"/>
          <w:szCs w:val="21"/>
        </w:rPr>
        <w:t>Cytocompatibility studies</w:t>
      </w:r>
    </w:p>
    <w:p w14:paraId="3D3CDC80"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The cytotoxicity of the HLC(D</w:t>
      </w:r>
      <w:r>
        <w:rPr>
          <w:rFonts w:ascii="Times New Roman" w:eastAsia="MS Mincho" w:hAnsi="Times New Roman" w:cs="Times New Roman" w:hint="eastAsia"/>
          <w:kern w:val="0"/>
          <w:szCs w:val="21"/>
          <w:lang w:val="de-DE"/>
        </w:rPr>
        <w:t>ex</w:t>
      </w:r>
      <w:r>
        <w:rPr>
          <w:rFonts w:ascii="Times New Roman" w:eastAsia="MS Mincho" w:hAnsi="Times New Roman" w:cs="Times New Roman"/>
          <w:kern w:val="0"/>
          <w:szCs w:val="21"/>
          <w:lang w:val="de-DE" w:eastAsia="ja-JP"/>
        </w:rPr>
        <w:t>)–SPNs–KGN hydrogel was determined by</w:t>
      </w:r>
      <w:r>
        <w:rPr>
          <w:rFonts w:ascii="Times New Roman" w:eastAsia="MS Mincho" w:hAnsi="Times New Roman" w:cs="Times New Roman"/>
          <w:kern w:val="0"/>
          <w:szCs w:val="21"/>
          <w:lang w:val="de-DE" w:eastAsia="ja-JP"/>
        </w:rPr>
        <w:t xml:space="preserve"> the MTT assay. To obtain the extract of the hydrogel, </w:t>
      </w:r>
      <w:r>
        <w:rPr>
          <w:rFonts w:ascii="Times New Roman" w:eastAsia="MS Mincho" w:hAnsi="Times New Roman" w:cs="Times New Roman" w:hint="eastAsia"/>
          <w:kern w:val="0"/>
          <w:szCs w:val="21"/>
          <w:lang w:val="de-DE" w:eastAsia="ja-JP"/>
        </w:rPr>
        <w:t>the</w:t>
      </w:r>
      <w:r>
        <w:rPr>
          <w:rFonts w:ascii="Times New Roman" w:eastAsia="MS Mincho" w:hAnsi="Times New Roman" w:cs="Times New Roman"/>
          <w:kern w:val="0"/>
          <w:szCs w:val="21"/>
          <w:lang w:val="de-DE" w:eastAsia="ja-JP"/>
        </w:rPr>
        <w:t xml:space="preserve"> hydrogel was immersed in the culture medium at the concentration</w:t>
      </w:r>
      <w:r>
        <w:rPr>
          <w:rFonts w:ascii="等线" w:eastAsia="等线" w:hAnsi="等线" w:cs="Times New Roman"/>
          <w:kern w:val="0"/>
          <w:szCs w:val="21"/>
          <w:lang w:val="de-DE"/>
        </w:rPr>
        <w:t xml:space="preserve"> </w:t>
      </w:r>
      <w:r>
        <w:rPr>
          <w:rFonts w:ascii="Times New Roman" w:eastAsia="等线" w:hAnsi="Times New Roman" w:cs="Times New Roman"/>
          <w:kern w:val="0"/>
          <w:szCs w:val="21"/>
          <w:lang w:val="de-DE"/>
        </w:rPr>
        <w:t>of</w:t>
      </w:r>
      <w:r>
        <w:rPr>
          <w:rFonts w:ascii="等线" w:eastAsia="等线" w:hAnsi="等线" w:cs="Times New Roman"/>
          <w:kern w:val="0"/>
          <w:szCs w:val="21"/>
          <w:lang w:val="de-DE"/>
        </w:rPr>
        <w:t xml:space="preserve"> </w:t>
      </w:r>
      <w:r>
        <w:rPr>
          <w:rFonts w:ascii="Times New Roman" w:eastAsia="MS Mincho" w:hAnsi="Times New Roman" w:cs="Times New Roman"/>
          <w:kern w:val="0"/>
          <w:szCs w:val="21"/>
          <w:lang w:val="de-DE" w:eastAsia="ja-JP"/>
        </w:rPr>
        <w:t>100 mg</w:t>
      </w:r>
      <w:r>
        <w:rPr>
          <w:rFonts w:ascii="Times New Roman" w:eastAsia="Yu Gothic UI"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for</w:t>
      </w:r>
      <w:r>
        <w:rPr>
          <w:rFonts w:ascii="Times New Roman" w:eastAsia="MS Mincho" w:hAnsi="Times New Roman" w:cs="Times New Roman"/>
          <w:kern w:val="0"/>
          <w:szCs w:val="21"/>
          <w:lang w:val="de-DE" w:eastAsia="ja-JP"/>
        </w:rPr>
        <w:t xml:space="preserve"> 24 </w:t>
      </w:r>
      <w:r>
        <w:rPr>
          <w:rFonts w:ascii="Times New Roman" w:eastAsia="MS Mincho" w:hAnsi="Times New Roman" w:cs="Times New Roman" w:hint="eastAsia"/>
          <w:kern w:val="0"/>
          <w:szCs w:val="21"/>
          <w:lang w:val="de-DE" w:eastAsia="ja-JP"/>
        </w:rPr>
        <w:t>h</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at</w:t>
      </w:r>
      <w:r>
        <w:rPr>
          <w:rFonts w:ascii="Times New Roman" w:eastAsia="MS Mincho" w:hAnsi="Times New Roman" w:cs="Times New Roman"/>
          <w:kern w:val="0"/>
          <w:szCs w:val="21"/>
          <w:lang w:val="de-DE" w:eastAsia="ja-JP"/>
        </w:rPr>
        <w:t xml:space="preserve"> 37 °C. Human </w:t>
      </w:r>
      <w:r>
        <w:rPr>
          <w:rFonts w:ascii="Times New Roman" w:eastAsia="MS Mincho" w:hAnsi="Times New Roman" w:cs="Times New Roman" w:hint="eastAsia"/>
          <w:kern w:val="0"/>
          <w:szCs w:val="21"/>
          <w:lang w:val="de-DE" w:eastAsia="ja-JP"/>
        </w:rPr>
        <w:t>a</w:t>
      </w:r>
      <w:r>
        <w:rPr>
          <w:rFonts w:ascii="Times New Roman" w:eastAsia="MS Mincho" w:hAnsi="Times New Roman" w:cs="Times New Roman"/>
          <w:kern w:val="0"/>
          <w:szCs w:val="21"/>
          <w:lang w:val="de-DE" w:eastAsia="ja-JP"/>
        </w:rPr>
        <w:t xml:space="preserve">rticular </w:t>
      </w:r>
      <w:r>
        <w:rPr>
          <w:rFonts w:ascii="Times New Roman" w:eastAsia="MS Mincho" w:hAnsi="Times New Roman" w:cs="Times New Roman" w:hint="eastAsia"/>
          <w:kern w:val="0"/>
          <w:szCs w:val="21"/>
          <w:lang w:val="de-DE" w:eastAsia="ja-JP"/>
        </w:rPr>
        <w:t>c</w:t>
      </w:r>
      <w:r>
        <w:rPr>
          <w:rFonts w:ascii="Times New Roman" w:eastAsia="MS Mincho" w:hAnsi="Times New Roman" w:cs="Times New Roman"/>
          <w:kern w:val="0"/>
          <w:szCs w:val="21"/>
          <w:lang w:val="de-DE" w:eastAsia="ja-JP"/>
        </w:rPr>
        <w:t xml:space="preserve">hondrocytes (HACs) </w:t>
      </w:r>
      <w:r>
        <w:rPr>
          <w:rFonts w:ascii="Times New Roman" w:eastAsia="MS Mincho" w:hAnsi="Times New Roman" w:cs="Times New Roman" w:hint="eastAsia"/>
          <w:kern w:val="0"/>
          <w:szCs w:val="21"/>
          <w:lang w:val="de-DE" w:eastAsia="ja-JP"/>
        </w:rPr>
        <w:t>and</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h</w:t>
      </w:r>
      <w:r>
        <w:rPr>
          <w:rFonts w:ascii="Times New Roman" w:eastAsia="MS Mincho" w:hAnsi="Times New Roman" w:cs="Times New Roman"/>
          <w:kern w:val="0"/>
          <w:szCs w:val="21"/>
          <w:lang w:val="de-DE" w:eastAsia="ja-JP"/>
        </w:rPr>
        <w:t>MSC</w:t>
      </w:r>
      <w:r>
        <w:rPr>
          <w:rFonts w:ascii="Times New Roman" w:eastAsia="MS Mincho" w:hAnsi="Times New Roman" w:cs="Times New Roman" w:hint="eastAsia"/>
          <w:kern w:val="0"/>
          <w:szCs w:val="21"/>
          <w:lang w:val="de-DE" w:eastAsia="ja-JP"/>
        </w:rPr>
        <w:t>s</w:t>
      </w:r>
      <w:r>
        <w:rPr>
          <w:rFonts w:ascii="Times New Roman" w:eastAsia="MS Mincho" w:hAnsi="Times New Roman" w:cs="Times New Roman"/>
          <w:kern w:val="0"/>
          <w:szCs w:val="21"/>
          <w:lang w:val="de-DE" w:eastAsia="ja-JP"/>
        </w:rPr>
        <w:t xml:space="preserve"> were seeded in a 96-well plate at the density of 1 × 10</w:t>
      </w:r>
      <w:r>
        <w:rPr>
          <w:rFonts w:ascii="Times New Roman" w:eastAsia="MS Mincho" w:hAnsi="Times New Roman" w:cs="Times New Roman"/>
          <w:kern w:val="0"/>
          <w:szCs w:val="21"/>
          <w:vertAlign w:val="superscript"/>
          <w:lang w:val="de-DE" w:eastAsia="ja-JP"/>
        </w:rPr>
        <w:t>4</w:t>
      </w:r>
      <w:r>
        <w:rPr>
          <w:rFonts w:ascii="Times New Roman" w:eastAsia="MS Mincho" w:hAnsi="Times New Roman" w:cs="Times New Roman"/>
          <w:kern w:val="0"/>
          <w:szCs w:val="21"/>
          <w:lang w:val="de-DE" w:eastAsia="ja-JP"/>
        </w:rPr>
        <w:t xml:space="preserve"> cells per well, incubated in a humidified CO</w:t>
      </w:r>
      <w:r>
        <w:rPr>
          <w:rFonts w:ascii="Times New Roman" w:eastAsia="MS Mincho" w:hAnsi="Times New Roman" w:cs="Times New Roman"/>
          <w:kern w:val="0"/>
          <w:szCs w:val="21"/>
          <w:vertAlign w:val="subscript"/>
          <w:lang w:val="de-DE" w:eastAsia="ja-JP"/>
        </w:rPr>
        <w:t xml:space="preserve">2 </w:t>
      </w:r>
      <w:r>
        <w:rPr>
          <w:rFonts w:ascii="Times New Roman" w:eastAsia="MS Mincho" w:hAnsi="Times New Roman" w:cs="Times New Roman"/>
          <w:kern w:val="0"/>
          <w:szCs w:val="21"/>
          <w:lang w:val="de-DE" w:eastAsia="ja-JP"/>
        </w:rPr>
        <w:t>incubator under 5% CO</w:t>
      </w:r>
      <w:r>
        <w:rPr>
          <w:rFonts w:ascii="Times New Roman" w:eastAsia="MS Mincho" w:hAnsi="Times New Roman" w:cs="Times New Roman"/>
          <w:kern w:val="0"/>
          <w:szCs w:val="21"/>
          <w:vertAlign w:val="subscript"/>
          <w:lang w:val="de-DE" w:eastAsia="ja-JP"/>
        </w:rPr>
        <w:t>2</w:t>
      </w:r>
      <w:r>
        <w:rPr>
          <w:rFonts w:ascii="Times New Roman" w:eastAsia="MS Mincho" w:hAnsi="Times New Roman" w:cs="Times New Roman"/>
          <w:kern w:val="0"/>
          <w:szCs w:val="21"/>
          <w:lang w:val="de-DE" w:eastAsia="ja-JP"/>
        </w:rPr>
        <w:t xml:space="preserve"> conditions for 24 h, and treated with the hydrogel extract. After a 24 h incubation, the extract was replaced with PBS containing</w:t>
      </w:r>
      <w:r>
        <w:rPr>
          <w:rFonts w:ascii="Times New Roman" w:eastAsia="MS Mincho" w:hAnsi="Times New Roman" w:cs="Times New Roman"/>
          <w:kern w:val="0"/>
          <w:szCs w:val="21"/>
          <w:lang w:val="de-DE" w:eastAsia="ja-JP"/>
        </w:rPr>
        <w:t xml:space="preserve"> the MTT reagent. After 4 h, the MTT solution was removed and replaced with DMSO. The absorbance of each well was measured at 490 nm. Cell viability was determined using the following Eq. (S5), where </w:t>
      </w:r>
      <w:r>
        <w:rPr>
          <w:rFonts w:ascii="Times New Roman" w:eastAsia="MS Mincho" w:hAnsi="Times New Roman" w:cs="Times New Roman"/>
          <w:i/>
          <w:iCs/>
          <w:kern w:val="0"/>
          <w:szCs w:val="21"/>
          <w:lang w:val="de-DE" w:eastAsia="ja-JP"/>
        </w:rPr>
        <w:t>A</w:t>
      </w:r>
      <w:r>
        <w:rPr>
          <w:rFonts w:ascii="Times New Roman" w:eastAsia="MS Mincho" w:hAnsi="Times New Roman" w:cs="Times New Roman"/>
          <w:iCs/>
          <w:kern w:val="0"/>
          <w:szCs w:val="21"/>
          <w:vertAlign w:val="subscript"/>
          <w:lang w:val="de-DE" w:eastAsia="ja-JP"/>
        </w:rPr>
        <w:t>hydrogel</w:t>
      </w:r>
      <w:r>
        <w:rPr>
          <w:rFonts w:ascii="Times New Roman" w:eastAsia="MS Mincho" w:hAnsi="Times New Roman" w:cs="Times New Roman"/>
          <w:i/>
          <w:iCs/>
          <w:kern w:val="0"/>
          <w:szCs w:val="21"/>
          <w:vertAlign w:val="subscript"/>
          <w:lang w:val="de-DE" w:eastAsia="ja-JP"/>
        </w:rPr>
        <w:t xml:space="preserve"> </w:t>
      </w:r>
      <w:r>
        <w:rPr>
          <w:rFonts w:ascii="Times New Roman" w:eastAsia="MS Mincho" w:hAnsi="Times New Roman" w:cs="Times New Roman"/>
          <w:kern w:val="0"/>
          <w:szCs w:val="21"/>
          <w:lang w:val="de-DE" w:eastAsia="ja-JP"/>
        </w:rPr>
        <w:t xml:space="preserve">and </w:t>
      </w:r>
      <w:r>
        <w:rPr>
          <w:rFonts w:ascii="Times New Roman" w:eastAsia="MS Mincho" w:hAnsi="Times New Roman" w:cs="Times New Roman"/>
          <w:i/>
          <w:iCs/>
          <w:kern w:val="0"/>
          <w:szCs w:val="21"/>
          <w:lang w:val="de-DE" w:eastAsia="ja-JP"/>
        </w:rPr>
        <w:t>A</w:t>
      </w:r>
      <w:r>
        <w:rPr>
          <w:rFonts w:ascii="Times New Roman" w:eastAsia="MS Mincho" w:hAnsi="Times New Roman" w:cs="Times New Roman"/>
          <w:iCs/>
          <w:kern w:val="0"/>
          <w:szCs w:val="21"/>
          <w:vertAlign w:val="subscript"/>
          <w:lang w:val="de-DE" w:eastAsia="ja-JP"/>
        </w:rPr>
        <w:t>control</w:t>
      </w:r>
      <w:r>
        <w:rPr>
          <w:rFonts w:ascii="Times New Roman" w:eastAsia="MS Mincho" w:hAnsi="Times New Roman" w:cs="Times New Roman"/>
          <w:i/>
          <w:iCs/>
          <w:kern w:val="0"/>
          <w:szCs w:val="21"/>
          <w:lang w:val="de-DE" w:eastAsia="ja-JP"/>
        </w:rPr>
        <w:t xml:space="preserve"> </w:t>
      </w:r>
      <w:r>
        <w:rPr>
          <w:rFonts w:ascii="Times New Roman" w:eastAsia="MS Mincho" w:hAnsi="Times New Roman" w:cs="Times New Roman"/>
          <w:kern w:val="0"/>
          <w:szCs w:val="21"/>
          <w:lang w:val="de-DE" w:eastAsia="ja-JP"/>
        </w:rPr>
        <w:t>were the absorbance values of the</w:t>
      </w:r>
      <w:r>
        <w:rPr>
          <w:rFonts w:ascii="Times New Roman" w:eastAsia="MS Mincho" w:hAnsi="Times New Roman" w:cs="Times New Roman"/>
          <w:kern w:val="0"/>
          <w:szCs w:val="21"/>
          <w:lang w:val="de-DE" w:eastAsia="ja-JP"/>
        </w:rPr>
        <w:t xml:space="preserve"> hydrogel and the control, respectively. For the AO/EB staining of the HACs </w:t>
      </w:r>
      <w:r>
        <w:rPr>
          <w:rFonts w:ascii="Times New Roman" w:eastAsia="MS Mincho" w:hAnsi="Times New Roman" w:cs="Times New Roman" w:hint="eastAsia"/>
          <w:kern w:val="0"/>
          <w:szCs w:val="21"/>
          <w:lang w:val="de-DE" w:eastAsia="ja-JP"/>
        </w:rPr>
        <w:t>and</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h</w:t>
      </w:r>
      <w:r>
        <w:rPr>
          <w:rFonts w:ascii="Times New Roman" w:eastAsia="MS Mincho" w:hAnsi="Times New Roman" w:cs="Times New Roman"/>
          <w:kern w:val="0"/>
          <w:szCs w:val="21"/>
          <w:lang w:val="de-DE" w:eastAsia="ja-JP"/>
        </w:rPr>
        <w:t>MSC</w:t>
      </w:r>
      <w:r>
        <w:rPr>
          <w:rFonts w:ascii="Times New Roman" w:eastAsia="MS Mincho" w:hAnsi="Times New Roman" w:cs="Times New Roman" w:hint="eastAsia"/>
          <w:kern w:val="0"/>
          <w:szCs w:val="21"/>
          <w:lang w:val="de-DE" w:eastAsia="ja-JP"/>
        </w:rPr>
        <w:t>s</w:t>
      </w:r>
      <w:r>
        <w:rPr>
          <w:rFonts w:ascii="Times New Roman" w:eastAsia="MS Mincho" w:hAnsi="Times New Roman" w:cs="Times New Roman"/>
          <w:kern w:val="0"/>
          <w:szCs w:val="21"/>
          <w:lang w:val="de-DE" w:eastAsia="ja-JP"/>
        </w:rPr>
        <w:t xml:space="preserve"> that were treated with the extracts of hydrogel samples (HLC hydrogel, HLC–SPNs hydrogel, HLC(Dex)–SPNs hydrogel and HLC(D</w:t>
      </w:r>
      <w:r>
        <w:rPr>
          <w:rFonts w:ascii="Times New Roman" w:eastAsia="MS Mincho" w:hAnsi="Times New Roman" w:cs="Times New Roman" w:hint="eastAsia"/>
          <w:kern w:val="0"/>
          <w:szCs w:val="21"/>
          <w:lang w:val="de-DE"/>
        </w:rPr>
        <w:t>ex</w:t>
      </w:r>
      <w:r>
        <w:rPr>
          <w:rFonts w:ascii="Times New Roman" w:eastAsia="MS Mincho" w:hAnsi="Times New Roman" w:cs="Times New Roman"/>
          <w:kern w:val="0"/>
          <w:szCs w:val="21"/>
          <w:lang w:val="de-DE" w:eastAsia="ja-JP"/>
        </w:rPr>
        <w:t xml:space="preserve">)–SPNs–KGN hydrogel), HACs </w:t>
      </w:r>
      <w:r>
        <w:rPr>
          <w:rFonts w:ascii="Times New Roman" w:eastAsia="MS Mincho" w:hAnsi="Times New Roman" w:cs="Times New Roman" w:hint="eastAsia"/>
          <w:kern w:val="0"/>
          <w:szCs w:val="21"/>
          <w:lang w:val="de-DE" w:eastAsia="ja-JP"/>
        </w:rPr>
        <w:t>and</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h</w:t>
      </w:r>
      <w:r>
        <w:rPr>
          <w:rFonts w:ascii="Times New Roman" w:eastAsia="MS Mincho" w:hAnsi="Times New Roman" w:cs="Times New Roman"/>
          <w:kern w:val="0"/>
          <w:szCs w:val="21"/>
          <w:lang w:val="de-DE" w:eastAsia="ja-JP"/>
        </w:rPr>
        <w:t>MSC</w:t>
      </w:r>
      <w:r>
        <w:rPr>
          <w:rFonts w:ascii="Times New Roman" w:eastAsia="MS Mincho" w:hAnsi="Times New Roman" w:cs="Times New Roman" w:hint="eastAsia"/>
          <w:kern w:val="0"/>
          <w:szCs w:val="21"/>
          <w:lang w:val="de-DE" w:eastAsia="ja-JP"/>
        </w:rPr>
        <w:t>s</w:t>
      </w:r>
      <w:r>
        <w:rPr>
          <w:rFonts w:ascii="Times New Roman" w:eastAsia="MS Mincho" w:hAnsi="Times New Roman" w:cs="Times New Roman"/>
          <w:kern w:val="0"/>
          <w:szCs w:val="21"/>
          <w:lang w:val="de-DE" w:eastAsia="ja-JP"/>
        </w:rPr>
        <w:t xml:space="preserve"> (1 × 10</w:t>
      </w:r>
      <w:r>
        <w:rPr>
          <w:rFonts w:ascii="Times New Roman" w:eastAsia="MS Mincho" w:hAnsi="Times New Roman" w:cs="Times New Roman"/>
          <w:kern w:val="0"/>
          <w:szCs w:val="21"/>
          <w:vertAlign w:val="superscript"/>
          <w:lang w:val="de-DE" w:eastAsia="ja-JP"/>
        </w:rPr>
        <w:t>4</w:t>
      </w:r>
      <w:r>
        <w:rPr>
          <w:rFonts w:ascii="Times New Roman" w:eastAsia="MS Mincho" w:hAnsi="Times New Roman" w:cs="Times New Roman"/>
          <w:kern w:val="0"/>
          <w:szCs w:val="21"/>
          <w:lang w:val="de-DE" w:eastAsia="ja-JP"/>
        </w:rPr>
        <w:t xml:space="preserve"> 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were plated into a 96-well plate. After 24 h incubation, the culture medium was removed and the extracts of the hydrogel samples were added to the plate. The extracts were removed, and the wells were cleaned with PBS after being incubated for 3 days</w:t>
      </w:r>
      <w:r>
        <w:rPr>
          <w:rFonts w:ascii="Times New Roman" w:eastAsia="MS Mincho" w:hAnsi="Times New Roman" w:cs="Times New Roman"/>
          <w:kern w:val="0"/>
          <w:szCs w:val="21"/>
          <w:lang w:val="de-DE" w:eastAsia="ja-JP"/>
        </w:rPr>
        <w:t xml:space="preserve">. After the 3-day incubation, the HACs </w:t>
      </w:r>
      <w:r>
        <w:rPr>
          <w:rFonts w:ascii="Times New Roman" w:eastAsia="MS Mincho" w:hAnsi="Times New Roman" w:cs="Times New Roman" w:hint="eastAsia"/>
          <w:kern w:val="0"/>
          <w:szCs w:val="21"/>
          <w:lang w:val="de-DE" w:eastAsia="ja-JP"/>
        </w:rPr>
        <w:t>and</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h</w:t>
      </w:r>
      <w:r>
        <w:rPr>
          <w:rFonts w:ascii="Times New Roman" w:eastAsia="MS Mincho" w:hAnsi="Times New Roman" w:cs="Times New Roman"/>
          <w:kern w:val="0"/>
          <w:szCs w:val="21"/>
          <w:lang w:val="de-DE" w:eastAsia="ja-JP"/>
        </w:rPr>
        <w:t xml:space="preserve">MSCs were stained with an L/D cell viability kit. The cells were observed and photographed using a fluorescence microscope. To evaluate the adhesion of HACs </w:t>
      </w:r>
      <w:r>
        <w:rPr>
          <w:rFonts w:ascii="Times New Roman" w:eastAsia="MS Mincho" w:hAnsi="Times New Roman" w:cs="Times New Roman" w:hint="eastAsia"/>
          <w:kern w:val="0"/>
          <w:szCs w:val="21"/>
          <w:lang w:val="de-DE" w:eastAsia="ja-JP"/>
        </w:rPr>
        <w:t>and</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hint="eastAsia"/>
          <w:kern w:val="0"/>
          <w:szCs w:val="21"/>
          <w:lang w:val="de-DE" w:eastAsia="ja-JP"/>
        </w:rPr>
        <w:t>h</w:t>
      </w:r>
      <w:r>
        <w:rPr>
          <w:rFonts w:ascii="Times New Roman" w:eastAsia="MS Mincho" w:hAnsi="Times New Roman" w:cs="Times New Roman"/>
          <w:kern w:val="0"/>
          <w:szCs w:val="21"/>
          <w:lang w:val="de-DE" w:eastAsia="ja-JP"/>
        </w:rPr>
        <w:t>MSCs on the HLC(D</w:t>
      </w:r>
      <w:r>
        <w:rPr>
          <w:rFonts w:ascii="Times New Roman" w:eastAsia="MS Mincho" w:hAnsi="Times New Roman" w:cs="Times New Roman" w:hint="eastAsia"/>
          <w:kern w:val="0"/>
          <w:szCs w:val="21"/>
          <w:lang w:val="de-DE"/>
        </w:rPr>
        <w:t>ex</w:t>
      </w:r>
      <w:r>
        <w:rPr>
          <w:rFonts w:ascii="Times New Roman" w:eastAsia="MS Mincho" w:hAnsi="Times New Roman" w:cs="Times New Roman"/>
          <w:kern w:val="0"/>
          <w:szCs w:val="21"/>
          <w:lang w:val="de-DE" w:eastAsia="ja-JP"/>
        </w:rPr>
        <w:t>)–SPNs–KGN hydrogel, the hydrog</w:t>
      </w:r>
      <w:r>
        <w:rPr>
          <w:rFonts w:ascii="Times New Roman" w:eastAsia="MS Mincho" w:hAnsi="Times New Roman" w:cs="Times New Roman"/>
          <w:kern w:val="0"/>
          <w:szCs w:val="21"/>
          <w:lang w:val="de-DE" w:eastAsia="ja-JP"/>
        </w:rPr>
        <w:t>el was inserted into a 48-well plate and soaked in the cell culture</w:t>
      </w:r>
      <w:r>
        <w:rPr>
          <w:rFonts w:ascii="Roboto" w:eastAsia="MS Mincho" w:hAnsi="Roboto" w:cs="Times New Roman"/>
          <w:kern w:val="0"/>
          <w:szCs w:val="21"/>
          <w:shd w:val="clear" w:color="auto" w:fill="F5F5F5"/>
          <w:lang w:val="en" w:eastAsia="ja-JP"/>
        </w:rPr>
        <w:t xml:space="preserve"> </w:t>
      </w:r>
      <w:r>
        <w:rPr>
          <w:rFonts w:ascii="Times New Roman" w:eastAsia="MS Mincho" w:hAnsi="Times New Roman" w:cs="Times New Roman"/>
          <w:kern w:val="0"/>
          <w:szCs w:val="21"/>
          <w:lang w:val="de-DE" w:eastAsia="ja-JP"/>
        </w:rPr>
        <w:t>medium for 24 h. HACs and hMSCs (1 × 10</w:t>
      </w:r>
      <w:r>
        <w:rPr>
          <w:rFonts w:ascii="Times New Roman" w:eastAsia="MS Mincho" w:hAnsi="Times New Roman" w:cs="Times New Roman"/>
          <w:kern w:val="0"/>
          <w:szCs w:val="21"/>
          <w:vertAlign w:val="superscript"/>
          <w:lang w:val="de-DE" w:eastAsia="ja-JP"/>
        </w:rPr>
        <w:t>5</w:t>
      </w:r>
      <w:r>
        <w:rPr>
          <w:rFonts w:ascii="Times New Roman" w:eastAsia="MS Mincho" w:hAnsi="Times New Roman" w:cs="Times New Roman"/>
          <w:kern w:val="0"/>
          <w:szCs w:val="21"/>
          <w:lang w:val="de-DE" w:eastAsia="ja-JP"/>
        </w:rPr>
        <w:t xml:space="preserve"> 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were seeded on each well and incubated at 37 °C. After 2 days, the hydrogel was washed with PBS, added with 2.5% glutaraldehyde, and fixed fo</w:t>
      </w:r>
      <w:r>
        <w:rPr>
          <w:rFonts w:ascii="Times New Roman" w:eastAsia="MS Mincho" w:hAnsi="Times New Roman" w:cs="Times New Roman"/>
          <w:kern w:val="0"/>
          <w:szCs w:val="21"/>
          <w:lang w:val="de-DE" w:eastAsia="ja-JP"/>
        </w:rPr>
        <w:t>r 10 h. An alcohol gradient was used to dehydrate the hydrogel, and the hydrogel was observed by SEM.</w:t>
      </w:r>
    </w:p>
    <w:p w14:paraId="62E3FA84" w14:textId="77777777" w:rsidR="00325724" w:rsidRDefault="007426C1">
      <w:pPr>
        <w:adjustRightInd w:val="0"/>
        <w:snapToGrid w:val="0"/>
        <w:rPr>
          <w:rFonts w:ascii="Times New Roman" w:hAnsi="Times New Roman" w:cs="Times New Roman"/>
          <w:kern w:val="0"/>
          <w:szCs w:val="21"/>
          <w:lang w:val="de-DE"/>
        </w:rPr>
      </w:pPr>
      <m:oMath>
        <m:r>
          <m:rPr>
            <m:sty m:val="p"/>
          </m:rPr>
          <w:rPr>
            <w:rFonts w:ascii="Cambria Math" w:hAnsi="Cambria Math" w:cs="Times New Roman"/>
            <w:kern w:val="0"/>
            <w:szCs w:val="21"/>
            <w:lang w:val="de-DE"/>
          </w:rPr>
          <m:t xml:space="preserve">Cell viability </m:t>
        </m:r>
        <m:d>
          <m:dPr>
            <m:ctrlPr>
              <w:rPr>
                <w:rFonts w:ascii="Cambria Math" w:hAnsi="Cambria Math" w:cs="Times New Roman"/>
                <w:kern w:val="0"/>
                <w:szCs w:val="21"/>
                <w:lang w:val="de-DE"/>
              </w:rPr>
            </m:ctrlPr>
          </m:dPr>
          <m:e>
            <m:r>
              <m:rPr>
                <m:sty m:val="p"/>
              </m:rPr>
              <w:rPr>
                <w:rFonts w:ascii="Cambria Math" w:hAnsi="Cambria Math" w:cs="Times New Roman"/>
                <w:kern w:val="0"/>
                <w:szCs w:val="21"/>
                <w:lang w:val="de-DE"/>
              </w:rPr>
              <m:t>%</m:t>
            </m:r>
          </m:e>
        </m:d>
        <m:r>
          <m:rPr>
            <m:sty m:val="p"/>
          </m:rPr>
          <w:rPr>
            <w:rFonts w:ascii="Cambria Math" w:hAnsi="Cambria Math" w:cs="Times New Roman"/>
            <w:kern w:val="0"/>
            <w:szCs w:val="21"/>
            <w:lang w:val="de-DE"/>
          </w:rPr>
          <m:t>=</m:t>
        </m:r>
        <m:d>
          <m:dPr>
            <m:ctrlPr>
              <w:rPr>
                <w:rFonts w:ascii="Cambria Math" w:hAnsi="Cambria Math" w:cs="Times New Roman"/>
                <w:kern w:val="0"/>
                <w:szCs w:val="21"/>
                <w:lang w:val="de-DE"/>
              </w:rPr>
            </m:ctrlPr>
          </m:dPr>
          <m:e>
            <m:sSub>
              <m:sSubPr>
                <m:ctrlPr>
                  <w:rPr>
                    <w:rFonts w:ascii="Cambria Math" w:hAnsi="Cambria Math" w:cs="Times New Roman"/>
                    <w:kern w:val="0"/>
                    <w:szCs w:val="21"/>
                    <w:lang w:val="de-DE"/>
                  </w:rPr>
                </m:ctrlPr>
              </m:sSubPr>
              <m:e>
                <m:r>
                  <w:rPr>
                    <w:rFonts w:ascii="Cambria Math" w:hAnsi="Cambria Math" w:cs="Times New Roman"/>
                    <w:kern w:val="0"/>
                    <w:szCs w:val="21"/>
                    <w:lang w:val="de-DE"/>
                  </w:rPr>
                  <m:t>A</m:t>
                </m:r>
              </m:e>
              <m:sub>
                <m:r>
                  <m:rPr>
                    <m:sty m:val="p"/>
                  </m:rPr>
                  <w:rPr>
                    <w:rFonts w:ascii="Cambria Math" w:hAnsi="Cambria Math" w:cs="Times New Roman"/>
                    <w:kern w:val="0"/>
                    <w:szCs w:val="21"/>
                    <w:lang w:val="de-DE"/>
                  </w:rPr>
                  <m:t>hydrogel</m:t>
                </m:r>
              </m:sub>
            </m:sSub>
            <m:r>
              <m:rPr>
                <m:sty m:val="p"/>
              </m:rPr>
              <w:rPr>
                <w:rFonts w:ascii="Cambria Math" w:hAnsi="Cambria Math" w:cs="Times New Roman"/>
                <w:kern w:val="0"/>
                <w:szCs w:val="21"/>
                <w:lang w:val="de-DE"/>
              </w:rPr>
              <m:t>/</m:t>
            </m:r>
            <m:sSub>
              <m:sSubPr>
                <m:ctrlPr>
                  <w:rPr>
                    <w:rFonts w:ascii="Cambria Math" w:hAnsi="Cambria Math" w:cs="Times New Roman"/>
                    <w:kern w:val="0"/>
                    <w:szCs w:val="21"/>
                    <w:lang w:val="de-DE"/>
                  </w:rPr>
                </m:ctrlPr>
              </m:sSubPr>
              <m:e>
                <m:r>
                  <w:rPr>
                    <w:rFonts w:ascii="Cambria Math" w:hAnsi="Cambria Math" w:cs="Times New Roman"/>
                    <w:kern w:val="0"/>
                    <w:szCs w:val="21"/>
                    <w:lang w:val="de-DE"/>
                  </w:rPr>
                  <m:t>A</m:t>
                </m:r>
              </m:e>
              <m:sub>
                <m:r>
                  <m:rPr>
                    <m:sty m:val="p"/>
                  </m:rPr>
                  <w:rPr>
                    <w:rFonts w:ascii="Cambria Math" w:hAnsi="Cambria Math" w:cs="Times New Roman"/>
                    <w:kern w:val="0"/>
                    <w:szCs w:val="21"/>
                    <w:lang w:val="de-DE"/>
                  </w:rPr>
                  <m:t>control</m:t>
                </m:r>
              </m:sub>
            </m:sSub>
          </m:e>
        </m:d>
        <m:r>
          <m:rPr>
            <m:sty m:val="p"/>
          </m:rPr>
          <w:rPr>
            <w:rFonts w:ascii="Cambria Math" w:hAnsi="Cambria Math" w:cs="Times New Roman"/>
            <w:kern w:val="0"/>
            <w:szCs w:val="21"/>
            <w:lang w:val="de-DE"/>
          </w:rPr>
          <m:t xml:space="preserve">×100% </m:t>
        </m:r>
      </m:oMath>
      <w:r>
        <w:rPr>
          <w:rFonts w:ascii="Times New Roman" w:hAnsi="Times New Roman" w:cs="Times New Roman"/>
          <w:kern w:val="0"/>
          <w:szCs w:val="21"/>
          <w:lang w:val="de-DE"/>
        </w:rPr>
        <w:tab/>
      </w:r>
      <w:r>
        <w:rPr>
          <w:rFonts w:ascii="Times New Roman" w:hAnsi="Times New Roman" w:cs="Times New Roman"/>
          <w:kern w:val="0"/>
          <w:sz w:val="24"/>
          <w:szCs w:val="24"/>
          <w:lang w:val="de-DE"/>
        </w:rPr>
        <w:t xml:space="preserve">   </w:t>
      </w:r>
      <w:r>
        <w:rPr>
          <w:rFonts w:ascii="Times New Roman" w:hAnsi="Times New Roman" w:cs="Times New Roman"/>
          <w:kern w:val="0"/>
          <w:szCs w:val="21"/>
          <w:lang w:val="de-DE"/>
        </w:rPr>
        <w:t>(S5)</w:t>
      </w:r>
      <w:bookmarkStart w:id="14" w:name="_Hlk114504593"/>
    </w:p>
    <w:p w14:paraId="5F0E76A3"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15" w:name="_Hlk115533916"/>
      <w:r>
        <w:rPr>
          <w:rFonts w:eastAsiaTheme="minorEastAsia"/>
          <w:i/>
          <w:sz w:val="21"/>
          <w:szCs w:val="21"/>
        </w:rPr>
        <w:t xml:space="preserve">Cell </w:t>
      </w:r>
      <w:r>
        <w:rPr>
          <w:rFonts w:eastAsiaTheme="minorEastAsia" w:hint="eastAsia"/>
          <w:i/>
          <w:sz w:val="21"/>
          <w:szCs w:val="21"/>
        </w:rPr>
        <w:t>e</w:t>
      </w:r>
      <w:r>
        <w:rPr>
          <w:rFonts w:eastAsiaTheme="minorEastAsia"/>
          <w:i/>
          <w:sz w:val="21"/>
          <w:szCs w:val="21"/>
        </w:rPr>
        <w:t>ndocytosis of SPNs–KGN</w:t>
      </w:r>
    </w:p>
    <w:p w14:paraId="48EA3F81"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 xml:space="preserve">Mesenchymal stem cells were cultured and spread in 6-well plates at a </w:t>
      </w:r>
      <w:r>
        <w:rPr>
          <w:rFonts w:ascii="Times New Roman" w:eastAsia="MS Mincho" w:hAnsi="Times New Roman" w:cs="Times New Roman"/>
          <w:kern w:val="0"/>
          <w:szCs w:val="21"/>
          <w:lang w:val="de-DE" w:eastAsia="ja-JP"/>
        </w:rPr>
        <w:t>concentration of 1 × 10</w:t>
      </w:r>
      <w:r>
        <w:rPr>
          <w:rFonts w:ascii="Times New Roman" w:eastAsia="MS Mincho" w:hAnsi="Times New Roman" w:cs="Times New Roman"/>
          <w:kern w:val="0"/>
          <w:szCs w:val="21"/>
          <w:vertAlign w:val="superscript"/>
          <w:lang w:val="de-DE" w:eastAsia="ja-JP"/>
        </w:rPr>
        <w:t xml:space="preserve">5 </w:t>
      </w:r>
      <w:r>
        <w:rPr>
          <w:rFonts w:ascii="Times New Roman" w:eastAsia="MS Mincho" w:hAnsi="Times New Roman" w:cs="Times New Roman"/>
          <w:kern w:val="0"/>
          <w:szCs w:val="21"/>
          <w:lang w:val="de-DE" w:eastAsia="ja-JP"/>
        </w:rPr>
        <w:t>cells per well. After cell walling, 100 mg of HLC(Dex)–SPNs–KGN hydrogel was added to each well for co-culture. After 1 and 3 h, cells were collected by digestion and centrifugation, and transmission electron microscopy (TEM) fixat</w:t>
      </w:r>
      <w:r>
        <w:rPr>
          <w:rFonts w:ascii="Times New Roman" w:eastAsia="MS Mincho" w:hAnsi="Times New Roman" w:cs="Times New Roman"/>
          <w:kern w:val="0"/>
          <w:szCs w:val="21"/>
          <w:lang w:val="de-DE" w:eastAsia="ja-JP"/>
        </w:rPr>
        <w:t xml:space="preserve">ive was added. After 12 h of fixation, cells were washed with distilled water, dehydrated with ethanol, and added to the epoxy resin. The cells embedded in epoxy resin were sliced into thin sections using a slicer, </w:t>
      </w:r>
      <w:r>
        <w:rPr>
          <w:rFonts w:ascii="Times New Roman" w:eastAsia="MS Mincho" w:hAnsi="Times New Roman" w:cs="Times New Roman" w:hint="eastAsia"/>
          <w:kern w:val="0"/>
          <w:szCs w:val="21"/>
          <w:lang w:val="de-DE" w:eastAsia="ja-JP"/>
        </w:rPr>
        <w:t xml:space="preserve">then </w:t>
      </w:r>
      <w:r>
        <w:rPr>
          <w:rFonts w:ascii="Times New Roman" w:eastAsia="MS Mincho" w:hAnsi="Times New Roman" w:cs="Times New Roman"/>
          <w:kern w:val="0"/>
          <w:szCs w:val="21"/>
          <w:lang w:val="de-DE" w:eastAsia="ja-JP"/>
        </w:rPr>
        <w:t>placed on TEM copper grids and stain</w:t>
      </w:r>
      <w:r>
        <w:rPr>
          <w:rFonts w:ascii="Times New Roman" w:eastAsia="MS Mincho" w:hAnsi="Times New Roman" w:cs="Times New Roman"/>
          <w:kern w:val="0"/>
          <w:szCs w:val="21"/>
          <w:lang w:val="de-DE" w:eastAsia="ja-JP"/>
        </w:rPr>
        <w:t xml:space="preserve">ed with uranyl acetate and lead citrate. The morphology of the cells was observed by TEM. </w:t>
      </w:r>
    </w:p>
    <w:p w14:paraId="5D930E1B"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16" w:name="_Hlk114507812"/>
      <w:bookmarkEnd w:id="14"/>
      <w:bookmarkEnd w:id="15"/>
      <w:r>
        <w:rPr>
          <w:rFonts w:eastAsiaTheme="minorEastAsia"/>
          <w:sz w:val="21"/>
          <w:szCs w:val="21"/>
        </w:rPr>
        <w:t>In-vitro</w:t>
      </w:r>
      <w:r>
        <w:rPr>
          <w:rFonts w:eastAsiaTheme="minorEastAsia"/>
          <w:i/>
          <w:sz w:val="21"/>
          <w:szCs w:val="21"/>
        </w:rPr>
        <w:t xml:space="preserve"> anti-inflammatory–activity studies</w:t>
      </w:r>
    </w:p>
    <w:bookmarkEnd w:id="16"/>
    <w:p w14:paraId="6D90FE45" w14:textId="77777777" w:rsidR="00325724" w:rsidRDefault="007426C1">
      <w:pPr>
        <w:adjustRightInd w:val="0"/>
        <w:snapToGrid w:val="0"/>
        <w:ind w:firstLineChars="100" w:firstLine="210"/>
        <w:rPr>
          <w:rFonts w:ascii="Times New Roman" w:eastAsia="MS Mincho" w:hAnsi="Times New Roman" w:cs="Times New Roman"/>
          <w:kern w:val="0"/>
          <w:szCs w:val="21"/>
          <w:shd w:val="clear" w:color="auto" w:fill="FFFFFF"/>
          <w:lang w:val="de-DE" w:eastAsia="ja-JP"/>
        </w:rPr>
      </w:pPr>
      <w:r>
        <w:rPr>
          <w:rFonts w:ascii="Times New Roman" w:eastAsia="MS Mincho" w:hAnsi="Times New Roman" w:cs="Times New Roman"/>
          <w:i/>
          <w:kern w:val="0"/>
          <w:szCs w:val="21"/>
          <w:shd w:val="clear" w:color="auto" w:fill="FFFFFF"/>
          <w:lang w:val="de-DE" w:eastAsia="ja-JP"/>
        </w:rPr>
        <w:t>In-vitro</w:t>
      </w:r>
      <w:r>
        <w:rPr>
          <w:rFonts w:ascii="Times New Roman" w:eastAsia="MS Mincho" w:hAnsi="Times New Roman" w:cs="Times New Roman"/>
          <w:kern w:val="0"/>
          <w:szCs w:val="21"/>
          <w:shd w:val="clear" w:color="auto" w:fill="FFFFFF"/>
          <w:lang w:val="de-DE" w:eastAsia="ja-JP"/>
        </w:rPr>
        <w:t xml:space="preserve"> anti-inflammatory–activity experiments were conducted using mouse monocyte/macrophage-like cells (RAW264.7 cells</w:t>
      </w:r>
      <w:r>
        <w:rPr>
          <w:rFonts w:ascii="Times New Roman" w:eastAsia="MS Mincho" w:hAnsi="Times New Roman" w:cs="Times New Roman"/>
          <w:kern w:val="0"/>
          <w:szCs w:val="21"/>
          <w:shd w:val="clear" w:color="auto" w:fill="FFFFFF"/>
          <w:lang w:val="de-DE" w:eastAsia="ja-JP"/>
        </w:rPr>
        <w:t xml:space="preserve">). </w:t>
      </w:r>
      <w:bookmarkStart w:id="17" w:name="_Hlk114507842"/>
      <w:r>
        <w:rPr>
          <w:rFonts w:ascii="Times New Roman" w:eastAsia="MS Mincho" w:hAnsi="Times New Roman" w:cs="Times New Roman"/>
          <w:kern w:val="0"/>
          <w:szCs w:val="21"/>
          <w:shd w:val="clear" w:color="auto" w:fill="FFFFFF"/>
          <w:lang w:val="de-DE" w:eastAsia="ja-JP"/>
        </w:rPr>
        <w:t>The experimental samples were grouped into the control group, which was added with the culture medium; the LPS group, which was added with the positive control (10 ng</w:t>
      </w:r>
      <w:r>
        <w:rPr>
          <w:rFonts w:ascii="Times New Roman" w:eastAsia="MS Mincho"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shd w:val="clear" w:color="auto" w:fill="FFFFFF"/>
          <w:lang w:val="de-DE" w:eastAsia="ja-JP"/>
        </w:rPr>
        <w:t xml:space="preserve"> LPS solution);</w:t>
      </w:r>
      <w:r>
        <w:rPr>
          <w:rFonts w:ascii="Times New Roman" w:eastAsia="MS Mincho" w:hAnsi="Times New Roman" w:cs="Times New Roman"/>
          <w:kern w:val="0"/>
          <w:szCs w:val="21"/>
          <w:lang w:val="de-DE" w:eastAsia="ja-JP"/>
        </w:rPr>
        <w:t xml:space="preserve"> </w:t>
      </w:r>
      <w:bookmarkStart w:id="18" w:name="_Hlk114507800"/>
      <w:r>
        <w:rPr>
          <w:rFonts w:ascii="Times New Roman" w:eastAsia="MS Mincho" w:hAnsi="Times New Roman" w:cs="Times New Roman"/>
          <w:kern w:val="0"/>
          <w:szCs w:val="21"/>
          <w:lang w:val="de-DE" w:eastAsia="ja-JP"/>
        </w:rPr>
        <w:t>the HLC(D</w:t>
      </w:r>
      <w:r>
        <w:rPr>
          <w:rFonts w:ascii="Times New Roman" w:eastAsia="MS Mincho" w:hAnsi="Times New Roman" w:cs="Times New Roman" w:hint="eastAsia"/>
          <w:kern w:val="0"/>
          <w:szCs w:val="21"/>
          <w:lang w:val="de-DE" w:eastAsia="ja-JP"/>
        </w:rPr>
        <w:t>ex</w:t>
      </w:r>
      <w:r>
        <w:rPr>
          <w:rFonts w:ascii="Times New Roman" w:eastAsia="MS Mincho" w:hAnsi="Times New Roman" w:cs="Times New Roman"/>
          <w:kern w:val="0"/>
          <w:szCs w:val="21"/>
          <w:lang w:val="de-DE" w:eastAsia="ja-JP"/>
        </w:rPr>
        <w:t>)–SPNs–KGN</w:t>
      </w:r>
      <w:r>
        <w:rPr>
          <w:rFonts w:ascii="Times New Roman" w:eastAsia="MS Mincho" w:hAnsi="Times New Roman" w:cs="Times New Roman"/>
          <w:kern w:val="0"/>
          <w:szCs w:val="21"/>
          <w:shd w:val="clear" w:color="auto" w:fill="FFFFFF"/>
          <w:lang w:val="de-DE" w:eastAsia="ja-JP"/>
        </w:rPr>
        <w:t xml:space="preserve"> hydrogel group, which was added with a 50 mg</w:t>
      </w:r>
      <w:r>
        <w:rPr>
          <w:rFonts w:ascii="Times New Roman" w:eastAsia="MS Mincho"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shd w:val="clear" w:color="auto" w:fill="FFFFFF"/>
          <w:lang w:val="de-DE" w:eastAsia="ja-JP"/>
        </w:rPr>
        <w:t xml:space="preserve"> extract; and the LPS and </w:t>
      </w:r>
      <w:r>
        <w:rPr>
          <w:rFonts w:ascii="Times New Roman" w:eastAsia="MS Mincho" w:hAnsi="Times New Roman" w:cs="Times New Roman"/>
          <w:kern w:val="0"/>
          <w:szCs w:val="21"/>
          <w:lang w:val="de-DE" w:eastAsia="ja-JP"/>
        </w:rPr>
        <w:t>HLC(D</w:t>
      </w:r>
      <w:r>
        <w:rPr>
          <w:rFonts w:ascii="Times New Roman" w:eastAsia="MS Mincho" w:hAnsi="Times New Roman" w:cs="Times New Roman" w:hint="eastAsia"/>
          <w:kern w:val="0"/>
          <w:szCs w:val="21"/>
          <w:lang w:val="de-DE" w:eastAsia="ja-JP"/>
        </w:rPr>
        <w:t>ex</w:t>
      </w:r>
      <w:r>
        <w:rPr>
          <w:rFonts w:ascii="Times New Roman" w:eastAsia="MS Mincho" w:hAnsi="Times New Roman" w:cs="Times New Roman"/>
          <w:kern w:val="0"/>
          <w:szCs w:val="21"/>
          <w:lang w:val="de-DE" w:eastAsia="ja-JP"/>
        </w:rPr>
        <w:t>)–SPNs–KGN</w:t>
      </w:r>
      <w:r>
        <w:rPr>
          <w:rFonts w:ascii="Times New Roman" w:eastAsia="MS Mincho" w:hAnsi="Times New Roman" w:cs="Times New Roman"/>
          <w:kern w:val="0"/>
          <w:szCs w:val="21"/>
          <w:shd w:val="clear" w:color="auto" w:fill="FFFFFF"/>
          <w:lang w:val="de-DE" w:eastAsia="ja-JP"/>
        </w:rPr>
        <w:t xml:space="preserve"> hydrogel group, which was added with a 10 ng</w:t>
      </w:r>
      <w:r>
        <w:rPr>
          <w:rFonts w:ascii="Times New Roman" w:eastAsia="MS Mincho"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shd w:val="clear" w:color="auto" w:fill="FFFFFF"/>
          <w:lang w:val="de-DE" w:eastAsia="ja-JP"/>
        </w:rPr>
        <w:t xml:space="preserve"> LPS solution and a 50 mg</w:t>
      </w:r>
      <w:r>
        <w:rPr>
          <w:rFonts w:ascii="Times New Roman" w:eastAsia="MS Mincho" w:hAnsi="Times New Roman" w:cs="Times New Roman"/>
          <w:kern w:val="0"/>
          <w:szCs w:val="21"/>
          <w:lang w:val="de-DE" w:eastAsia="ja-JP"/>
        </w:rPr>
        <w:t>∙</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shd w:val="clear" w:color="auto" w:fill="FFFFFF"/>
          <w:lang w:val="de-DE" w:eastAsia="ja-JP"/>
        </w:rPr>
        <w:t xml:space="preserve"> extract. </w:t>
      </w:r>
      <w:bookmarkEnd w:id="17"/>
      <w:bookmarkEnd w:id="18"/>
      <w:r>
        <w:rPr>
          <w:rFonts w:ascii="Times New Roman" w:eastAsia="MS Mincho" w:hAnsi="Times New Roman" w:cs="Times New Roman"/>
          <w:kern w:val="0"/>
          <w:szCs w:val="21"/>
          <w:shd w:val="clear" w:color="auto" w:fill="FFFFFF"/>
          <w:lang w:val="de-DE" w:eastAsia="ja-JP"/>
        </w:rPr>
        <w:t xml:space="preserve">The RAW264.7 cells were inoculated onto sterile coverslips and incubated for 24 h, and the supernatant was carefully removed. The liquid component of each group was added to the cells, and the cells were incubated for 24 h. The cells were washed with PBS, </w:t>
      </w:r>
      <w:r>
        <w:rPr>
          <w:rFonts w:ascii="Times New Roman" w:eastAsia="MS Mincho" w:hAnsi="Times New Roman" w:cs="Times New Roman"/>
          <w:kern w:val="0"/>
          <w:szCs w:val="21"/>
          <w:shd w:val="clear" w:color="auto" w:fill="FFFFFF"/>
          <w:lang w:val="de-DE" w:eastAsia="ja-JP"/>
        </w:rPr>
        <w:t xml:space="preserve">fixed with 4% paraformaldehyde, subjected to immunofluorescence staining (IL-10 (20850-1-AP) and TNF-α </w:t>
      </w:r>
      <w:r>
        <w:rPr>
          <w:rFonts w:ascii="Times New Roman" w:eastAsia="MS Mincho" w:hAnsi="Times New Roman" w:cs="Times New Roman" w:hint="eastAsia"/>
          <w:kern w:val="0"/>
          <w:szCs w:val="21"/>
          <w:shd w:val="clear" w:color="auto" w:fill="FFFFFF"/>
          <w:lang w:val="de-DE" w:eastAsia="ja-JP"/>
        </w:rPr>
        <w:t>(</w:t>
      </w:r>
      <w:r>
        <w:rPr>
          <w:rFonts w:ascii="Times New Roman" w:eastAsia="MS Mincho" w:hAnsi="Times New Roman" w:cs="Times New Roman"/>
          <w:kern w:val="0"/>
          <w:szCs w:val="21"/>
          <w:shd w:val="clear" w:color="auto" w:fill="FFFFFF"/>
          <w:lang w:val="de-DE" w:eastAsia="ja-JP"/>
        </w:rPr>
        <w:t>ab1793)</w:t>
      </w:r>
      <w:r>
        <w:rPr>
          <w:rFonts w:ascii="Times New Roman" w:eastAsia="MS Mincho" w:hAnsi="Times New Roman" w:cs="Times New Roman"/>
          <w:kern w:val="0"/>
          <w:szCs w:val="21"/>
          <w:lang w:val="de-DE" w:eastAsia="ja-JP"/>
        </w:rPr>
        <w:t>, Abcam</w:t>
      </w:r>
      <w:r>
        <w:rPr>
          <w:rFonts w:ascii="Times New Roman" w:eastAsia="MS Mincho" w:hAnsi="Times New Roman" w:cs="Times New Roman"/>
          <w:kern w:val="0"/>
          <w:szCs w:val="21"/>
          <w:shd w:val="clear" w:color="auto" w:fill="FFFFFF"/>
          <w:lang w:val="de-DE" w:eastAsia="ja-JP"/>
        </w:rPr>
        <w:t>), and observed using a laser confocal microscope (A1, Nikon</w:t>
      </w:r>
      <w:r>
        <w:rPr>
          <w:rFonts w:ascii="Times New Roman" w:hAnsi="Times New Roman" w:cs="Times New Roman"/>
          <w:kern w:val="0"/>
          <w:szCs w:val="21"/>
          <w:shd w:val="clear" w:color="auto" w:fill="FFFFFF"/>
          <w:lang w:val="de-DE"/>
        </w:rPr>
        <w:t xml:space="preserve">, </w:t>
      </w:r>
      <w:r>
        <w:rPr>
          <w:rFonts w:ascii="Times New Roman" w:eastAsia="MS Mincho" w:hAnsi="Times New Roman" w:cs="Times New Roman"/>
          <w:kern w:val="0"/>
          <w:szCs w:val="21"/>
          <w:shd w:val="clear" w:color="auto" w:fill="FFFFFF"/>
          <w:lang w:val="de-DE" w:eastAsia="ja-JP"/>
        </w:rPr>
        <w:t>Japan).</w:t>
      </w:r>
      <w:r>
        <w:rPr>
          <w:rFonts w:ascii="Times New Roman" w:eastAsia="MS Mincho" w:hAnsi="Times New Roman" w:cs="Times New Roman"/>
          <w:kern w:val="0"/>
          <w:szCs w:val="21"/>
          <w:lang w:val="de-DE" w:eastAsia="ja-JP"/>
        </w:rPr>
        <w:t xml:space="preserve"> Experimental groups include normal </w:t>
      </w:r>
      <w:r>
        <w:rPr>
          <w:rFonts w:ascii="Times New Roman" w:eastAsia="MS Mincho" w:hAnsi="Times New Roman" w:cs="Times New Roman"/>
          <w:kern w:val="0"/>
          <w:szCs w:val="21"/>
          <w:shd w:val="clear" w:color="auto" w:fill="FFFFFF"/>
          <w:lang w:val="de-DE" w:eastAsia="ja-JP"/>
        </w:rPr>
        <w:t>RAW264.7 cells group,</w:t>
      </w:r>
      <w:r>
        <w:rPr>
          <w:rFonts w:ascii="Times New Roman" w:eastAsia="MS Mincho" w:hAnsi="Times New Roman" w:cs="Times New Roman"/>
          <w:kern w:val="0"/>
          <w:szCs w:val="21"/>
          <w:lang w:val="de-DE" w:eastAsia="ja-JP"/>
        </w:rPr>
        <w:t xml:space="preserve"> LPS </w:t>
      </w:r>
      <w:r>
        <w:rPr>
          <w:rFonts w:ascii="Times New Roman" w:eastAsia="MS Mincho" w:hAnsi="Times New Roman" w:cs="Times New Roman"/>
          <w:kern w:val="0"/>
          <w:szCs w:val="21"/>
          <w:shd w:val="clear" w:color="auto" w:fill="FFFFFF"/>
          <w:lang w:val="de-DE" w:eastAsia="ja-JP"/>
        </w:rPr>
        <w:t>group</w:t>
      </w:r>
      <w:r>
        <w:rPr>
          <w:rFonts w:ascii="Times New Roman" w:eastAsia="MS Mincho" w:hAnsi="Times New Roman" w:cs="Times New Roman"/>
          <w:kern w:val="0"/>
          <w:szCs w:val="21"/>
          <w:lang w:val="de-DE" w:eastAsia="ja-JP"/>
        </w:rPr>
        <w:t xml:space="preserve">, </w:t>
      </w:r>
      <w:r>
        <w:rPr>
          <w:rFonts w:ascii="Times New Roman" w:eastAsia="MS Mincho" w:hAnsi="Times New Roman" w:cs="Times New Roman"/>
          <w:kern w:val="0"/>
          <w:szCs w:val="21"/>
          <w:lang w:val="de-DE" w:eastAsia="ja-JP"/>
        </w:rPr>
        <w:t>HLC–SPNs hydrogel</w:t>
      </w:r>
      <w:r>
        <w:rPr>
          <w:rFonts w:ascii="Times New Roman" w:eastAsia="MS Mincho" w:hAnsi="Times New Roman" w:cs="Times New Roman"/>
          <w:kern w:val="0"/>
          <w:szCs w:val="21"/>
          <w:shd w:val="clear" w:color="auto" w:fill="FFFFFF"/>
          <w:lang w:val="de-DE" w:eastAsia="ja-JP"/>
        </w:rPr>
        <w:t xml:space="preserve"> group</w:t>
      </w:r>
      <w:r>
        <w:rPr>
          <w:rFonts w:ascii="Times New Roman" w:eastAsia="MS Mincho" w:hAnsi="Times New Roman" w:cs="Times New Roman"/>
          <w:kern w:val="0"/>
          <w:szCs w:val="21"/>
          <w:lang w:val="de-DE" w:eastAsia="ja-JP"/>
        </w:rPr>
        <w:t xml:space="preserve">, HLC(Dex)–SPNs hydrogel </w:t>
      </w:r>
      <w:r>
        <w:rPr>
          <w:rFonts w:ascii="Times New Roman" w:eastAsia="MS Mincho" w:hAnsi="Times New Roman" w:cs="Times New Roman"/>
          <w:kern w:val="0"/>
          <w:szCs w:val="21"/>
          <w:shd w:val="clear" w:color="auto" w:fill="FFFFFF"/>
          <w:lang w:val="de-DE" w:eastAsia="ja-JP"/>
        </w:rPr>
        <w:t>group</w:t>
      </w:r>
      <w:r>
        <w:rPr>
          <w:rFonts w:ascii="Times New Roman" w:eastAsia="MS Mincho" w:hAnsi="Times New Roman" w:cs="Times New Roman"/>
          <w:kern w:val="0"/>
          <w:szCs w:val="21"/>
          <w:lang w:val="de-DE" w:eastAsia="ja-JP"/>
        </w:rPr>
        <w:t>, HLC(D</w:t>
      </w:r>
      <w:r>
        <w:rPr>
          <w:rFonts w:ascii="Times New Roman" w:eastAsia="MS Mincho" w:hAnsi="Times New Roman" w:cs="Times New Roman" w:hint="eastAsia"/>
          <w:kern w:val="0"/>
          <w:szCs w:val="21"/>
          <w:lang w:val="de-DE"/>
        </w:rPr>
        <w:t>ex</w:t>
      </w:r>
      <w:r>
        <w:rPr>
          <w:rFonts w:ascii="Times New Roman" w:eastAsia="MS Mincho" w:hAnsi="Times New Roman" w:cs="Times New Roman"/>
          <w:kern w:val="0"/>
          <w:szCs w:val="21"/>
          <w:lang w:val="de-DE" w:eastAsia="ja-JP"/>
        </w:rPr>
        <w:t>)–SPNs–KGN hydrogel</w:t>
      </w:r>
      <w:r>
        <w:rPr>
          <w:rFonts w:ascii="Times New Roman" w:eastAsia="MS Mincho" w:hAnsi="Times New Roman" w:cs="Times New Roman"/>
          <w:kern w:val="0"/>
          <w:szCs w:val="21"/>
          <w:shd w:val="clear" w:color="auto" w:fill="FFFFFF"/>
          <w:lang w:val="de-DE" w:eastAsia="ja-JP"/>
        </w:rPr>
        <w:t xml:space="preserve"> group, LPS +</w:t>
      </w:r>
      <w:r>
        <w:rPr>
          <w:rFonts w:ascii="Times New Roman" w:eastAsia="MS Mincho" w:hAnsi="Times New Roman" w:cs="Times New Roman"/>
          <w:kern w:val="0"/>
          <w:szCs w:val="21"/>
          <w:lang w:val="de-DE" w:eastAsia="ja-JP"/>
        </w:rPr>
        <w:t xml:space="preserve"> HLC–SPNs hydrogel</w:t>
      </w:r>
      <w:r>
        <w:rPr>
          <w:rFonts w:ascii="Times New Roman" w:eastAsia="MS Mincho" w:hAnsi="Times New Roman" w:cs="Times New Roman"/>
          <w:kern w:val="0"/>
          <w:szCs w:val="21"/>
          <w:shd w:val="clear" w:color="auto" w:fill="FFFFFF"/>
          <w:lang w:val="de-DE" w:eastAsia="ja-JP"/>
        </w:rPr>
        <w:t xml:space="preserve"> group, LPS +</w:t>
      </w:r>
      <w:r>
        <w:rPr>
          <w:rFonts w:ascii="Times New Roman" w:eastAsia="MS Mincho" w:hAnsi="Times New Roman" w:cs="Times New Roman"/>
          <w:kern w:val="0"/>
          <w:szCs w:val="21"/>
          <w:lang w:val="de-DE" w:eastAsia="ja-JP"/>
        </w:rPr>
        <w:t xml:space="preserve"> HLC(Dex)–SPNs hydrogel </w:t>
      </w:r>
      <w:r>
        <w:rPr>
          <w:rFonts w:ascii="Times New Roman" w:eastAsia="MS Mincho" w:hAnsi="Times New Roman" w:cs="Times New Roman"/>
          <w:kern w:val="0"/>
          <w:szCs w:val="21"/>
          <w:shd w:val="clear" w:color="auto" w:fill="FFFFFF"/>
          <w:lang w:val="de-DE" w:eastAsia="ja-JP"/>
        </w:rPr>
        <w:t>group,</w:t>
      </w:r>
      <w:r>
        <w:rPr>
          <w:rFonts w:ascii="Times New Roman" w:eastAsia="MS Mincho" w:hAnsi="Times New Roman" w:cs="Times New Roman"/>
          <w:kern w:val="0"/>
          <w:szCs w:val="21"/>
          <w:lang w:val="de-DE" w:eastAsia="ja-JP"/>
        </w:rPr>
        <w:t xml:space="preserve"> and</w:t>
      </w:r>
      <w:r>
        <w:rPr>
          <w:rFonts w:ascii="Times New Roman" w:eastAsia="MS Mincho" w:hAnsi="Times New Roman" w:cs="Times New Roman"/>
          <w:kern w:val="0"/>
          <w:szCs w:val="21"/>
          <w:shd w:val="clear" w:color="auto" w:fill="FFFFFF"/>
          <w:lang w:val="de-DE" w:eastAsia="ja-JP"/>
        </w:rPr>
        <w:t xml:space="preserve"> LPS +</w:t>
      </w:r>
      <w:r>
        <w:rPr>
          <w:rFonts w:ascii="Times New Roman" w:eastAsia="MS Mincho" w:hAnsi="Times New Roman" w:cs="Times New Roman"/>
          <w:kern w:val="0"/>
          <w:szCs w:val="21"/>
          <w:lang w:val="de-DE" w:eastAsia="ja-JP"/>
        </w:rPr>
        <w:t xml:space="preserve"> HLC(D</w:t>
      </w:r>
      <w:r>
        <w:rPr>
          <w:rFonts w:ascii="Times New Roman" w:eastAsia="MS Mincho" w:hAnsi="Times New Roman" w:cs="Times New Roman" w:hint="eastAsia"/>
          <w:kern w:val="0"/>
          <w:szCs w:val="21"/>
          <w:lang w:val="de-DE"/>
        </w:rPr>
        <w:t>ex</w:t>
      </w:r>
      <w:r>
        <w:rPr>
          <w:rFonts w:ascii="Times New Roman" w:eastAsia="MS Mincho" w:hAnsi="Times New Roman" w:cs="Times New Roman"/>
          <w:kern w:val="0"/>
          <w:szCs w:val="21"/>
          <w:lang w:val="de-DE" w:eastAsia="ja-JP"/>
        </w:rPr>
        <w:t>)–SPNs–KGN hydrogel</w:t>
      </w:r>
      <w:r>
        <w:rPr>
          <w:rFonts w:ascii="Times New Roman" w:eastAsia="MS Mincho" w:hAnsi="Times New Roman" w:cs="Times New Roman"/>
          <w:kern w:val="0"/>
          <w:szCs w:val="21"/>
          <w:shd w:val="clear" w:color="auto" w:fill="FFFFFF"/>
          <w:lang w:val="de-DE" w:eastAsia="ja-JP"/>
        </w:rPr>
        <w:t xml:space="preserve"> group.</w:t>
      </w:r>
    </w:p>
    <w:p w14:paraId="6E777C73"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19" w:name="_Hlk103199113"/>
      <w:bookmarkEnd w:id="13"/>
      <w:r>
        <w:rPr>
          <w:rFonts w:eastAsiaTheme="minorEastAsia"/>
          <w:sz w:val="21"/>
          <w:szCs w:val="21"/>
        </w:rPr>
        <w:t>In-vitro</w:t>
      </w:r>
      <w:r>
        <w:rPr>
          <w:rFonts w:eastAsiaTheme="minorEastAsia"/>
          <w:i/>
          <w:sz w:val="21"/>
          <w:szCs w:val="21"/>
        </w:rPr>
        <w:t xml:space="preserve"> assays on chondrogenic differentiation of hMSCs</w:t>
      </w:r>
    </w:p>
    <w:p w14:paraId="78EE2A74" w14:textId="04EE480D"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bookmarkStart w:id="20" w:name="_Hlk51775770"/>
      <w:bookmarkEnd w:id="19"/>
      <w:r>
        <w:rPr>
          <w:rFonts w:ascii="Times New Roman" w:eastAsia="MS Mincho" w:hAnsi="Times New Roman" w:cs="Times New Roman"/>
          <w:kern w:val="0"/>
          <w:szCs w:val="21"/>
          <w:lang w:val="de-DE" w:eastAsia="ja-JP"/>
        </w:rPr>
        <w:t xml:space="preserve">To investigate the effect of the HLC(Dex)–SPNs–KGN hydrogel on the chondrogenic differentiation of hMSCs </w:t>
      </w:r>
      <w:r>
        <w:rPr>
          <w:rFonts w:ascii="Times New Roman" w:eastAsia="MS Mincho" w:hAnsi="Times New Roman" w:cs="Times New Roman"/>
          <w:i/>
          <w:iCs/>
          <w:kern w:val="0"/>
          <w:szCs w:val="21"/>
          <w:lang w:val="de-DE" w:eastAsia="ja-JP"/>
        </w:rPr>
        <w:t>in vitro</w:t>
      </w:r>
      <w:r>
        <w:rPr>
          <w:rFonts w:ascii="Times New Roman" w:eastAsia="MS Mincho" w:hAnsi="Times New Roman" w:cs="Times New Roman"/>
          <w:kern w:val="0"/>
          <w:szCs w:val="21"/>
          <w:lang w:val="de-DE" w:eastAsia="ja-JP"/>
        </w:rPr>
        <w:t xml:space="preserve">, hMSCs were cultured in an </w:t>
      </w:r>
      <w:r>
        <w:rPr>
          <w:rFonts w:ascii="Times New Roman" w:eastAsia="MS Mincho" w:hAnsi="Times New Roman" w:cs="Times New Roman" w:hint="eastAsia"/>
          <w:kern w:val="0"/>
          <w:szCs w:val="21"/>
          <w:lang w:val="de-DE" w:eastAsia="ja-JP"/>
        </w:rPr>
        <w:t>in</w:t>
      </w:r>
      <w:r>
        <w:rPr>
          <w:rFonts w:ascii="Times New Roman" w:eastAsia="MS Mincho" w:hAnsi="Times New Roman" w:cs="Times New Roman"/>
          <w:kern w:val="0"/>
          <w:szCs w:val="21"/>
          <w:lang w:val="de-DE" w:eastAsia="ja-JP"/>
        </w:rPr>
        <w:t xml:space="preserve">duction medium, which was DMEM that was supplemented with Dex (100 </w:t>
      </w:r>
      <w:r>
        <w:rPr>
          <w:rFonts w:ascii="Times New Roman" w:eastAsia="宋体" w:hAnsi="Times New Roman" w:cs="Times New Roman" w:hint="eastAsia"/>
          <w:kern w:val="0"/>
          <w:szCs w:val="21"/>
        </w:rPr>
        <w:t>n</w:t>
      </w:r>
      <w:r w:rsidR="00641C60">
        <w:rPr>
          <w:rFonts w:ascii="Times New Roman" w:eastAsia="宋体" w:hAnsi="Times New Roman" w:cs="Times New Roman"/>
          <w:kern w:val="0"/>
          <w:szCs w:val="21"/>
        </w:rPr>
        <w:t>mol</w:t>
      </w:r>
      <w:r w:rsidR="00641C60">
        <w:rPr>
          <w:rFonts w:ascii="Times New Roman" w:eastAsia="MS Mincho" w:hAnsi="Times New Roman" w:cs="Times New Roman"/>
          <w:kern w:val="0"/>
          <w:szCs w:val="21"/>
          <w:lang w:val="de-DE" w:eastAsia="ja-JP"/>
        </w:rPr>
        <w:t>∙</w:t>
      </w:r>
      <w:r w:rsidR="00641C60">
        <w:rPr>
          <w:rFonts w:ascii="Times New Roman" w:eastAsia="宋体" w:hAnsi="Times New Roman" w:cs="Times New Roman"/>
          <w:kern w:val="0"/>
          <w:szCs w:val="21"/>
        </w:rPr>
        <w:t>L</w:t>
      </w:r>
      <w:r w:rsidR="00641C60">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valine (50 </w:t>
      </w:r>
      <w:r>
        <w:rPr>
          <w:rFonts w:ascii="Times New Roman" w:eastAsia="MS Mincho" w:hAnsi="Times New Roman" w:cs="Times New Roman"/>
          <w:kern w:val="0"/>
          <w:szCs w:val="21"/>
          <w:lang w:val="de-DE" w:eastAsia="ja-JP"/>
        </w:rPr>
        <w:t>m</w:t>
      </w:r>
      <w:r w:rsidR="00641C60">
        <w:rPr>
          <w:rFonts w:ascii="Times New Roman" w:eastAsia="宋体" w:hAnsi="Times New Roman" w:cs="Times New Roman"/>
          <w:kern w:val="0"/>
          <w:szCs w:val="21"/>
        </w:rPr>
        <w:t>mol</w:t>
      </w:r>
      <w:r w:rsidR="00641C60">
        <w:rPr>
          <w:rFonts w:ascii="Times New Roman" w:eastAsia="MS Mincho" w:hAnsi="Times New Roman" w:cs="Times New Roman"/>
          <w:kern w:val="0"/>
          <w:szCs w:val="21"/>
          <w:lang w:val="de-DE" w:eastAsia="ja-JP"/>
        </w:rPr>
        <w:t>∙</w:t>
      </w:r>
      <w:r w:rsidR="00641C60">
        <w:rPr>
          <w:rFonts w:ascii="Times New Roman" w:eastAsia="宋体" w:hAnsi="Times New Roman" w:cs="Times New Roman"/>
          <w:kern w:val="0"/>
          <w:szCs w:val="21"/>
        </w:rPr>
        <w:t>L</w:t>
      </w:r>
      <w:r w:rsidR="00641C60">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ascorbic acid (</w:t>
      </w:r>
      <w:r>
        <w:rPr>
          <w:rFonts w:ascii="Times New Roman" w:eastAsia="MS Mincho" w:hAnsi="Times New Roman" w:cs="Times New Roman"/>
          <w:kern w:val="0"/>
          <w:szCs w:val="21"/>
          <w:lang w:val="de-DE" w:eastAsia="ja-JP"/>
        </w:rPr>
        <w:t xml:space="preserve">50 </w:t>
      </w:r>
      <w:r>
        <w:rPr>
          <w:rFonts w:ascii="Times New Roman" w:eastAsia="MS Mincho" w:hAnsi="Times New Roman" w:cs="Times New Roman"/>
          <w:kern w:val="0"/>
          <w:szCs w:val="21"/>
          <w:lang w:val="de-DE" w:eastAsia="ja-JP"/>
        </w:rPr>
        <w:t>m</w:t>
      </w:r>
      <w:r w:rsidR="00641C60">
        <w:rPr>
          <w:rFonts w:ascii="Times New Roman" w:eastAsia="宋体" w:hAnsi="Times New Roman" w:cs="Times New Roman"/>
          <w:kern w:val="0"/>
          <w:szCs w:val="21"/>
        </w:rPr>
        <w:t>mol</w:t>
      </w:r>
      <w:r w:rsidR="00641C60">
        <w:rPr>
          <w:rFonts w:ascii="Times New Roman" w:eastAsia="MS Mincho" w:hAnsi="Times New Roman" w:cs="Times New Roman"/>
          <w:kern w:val="0"/>
          <w:szCs w:val="21"/>
          <w:lang w:val="de-DE" w:eastAsia="ja-JP"/>
        </w:rPr>
        <w:t>∙</w:t>
      </w:r>
      <w:r w:rsidR="00641C60">
        <w:rPr>
          <w:rFonts w:ascii="Times New Roman" w:eastAsia="宋体" w:hAnsi="Times New Roman" w:cs="Times New Roman"/>
          <w:kern w:val="0"/>
          <w:szCs w:val="21"/>
        </w:rPr>
        <w:t>L</w:t>
      </w:r>
      <w:r w:rsidR="00641C60">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and insulin</w:t>
      </w:r>
      <w:r>
        <w:rPr>
          <w:rFonts w:ascii="Times New Roman" w:eastAsia="等线" w:hAnsi="Times New Roman" w:cs="Times New Roman"/>
          <w:kern w:val="0"/>
          <w:szCs w:val="21"/>
          <w:lang w:val="de-DE"/>
        </w:rPr>
        <w:t>–</w:t>
      </w:r>
      <w:r>
        <w:rPr>
          <w:rFonts w:ascii="Times New Roman" w:eastAsia="MS Mincho" w:hAnsi="Times New Roman" w:cs="Times New Roman"/>
          <w:kern w:val="0"/>
          <w:szCs w:val="21"/>
          <w:lang w:val="de-DE" w:eastAsia="ja-JP"/>
        </w:rPr>
        <w:t>transferrin</w:t>
      </w:r>
      <w:r>
        <w:rPr>
          <w:rFonts w:ascii="Times New Roman" w:eastAsia="等线" w:hAnsi="Times New Roman" w:cs="Times New Roman"/>
          <w:kern w:val="0"/>
          <w:szCs w:val="21"/>
          <w:lang w:val="de-DE"/>
        </w:rPr>
        <w:t>–</w:t>
      </w:r>
      <w:r>
        <w:rPr>
          <w:rFonts w:ascii="Times New Roman" w:eastAsia="MS Mincho" w:hAnsi="Times New Roman" w:cs="Times New Roman"/>
          <w:kern w:val="0"/>
          <w:szCs w:val="21"/>
          <w:lang w:val="de-DE" w:eastAsia="ja-JP"/>
        </w:rPr>
        <w:t>selenium (ITS) (1% v/v)</w:t>
      </w:r>
      <w:r>
        <w:rPr>
          <w:rFonts w:ascii="Times New Roman" w:eastAsia="MS Mincho" w:hAnsi="Times New Roman" w:cs="Times New Roman" w:hint="eastAsia"/>
          <w:kern w:val="0"/>
          <w:szCs w:val="21"/>
          <w:lang w:val="de-DE" w:eastAsia="ja-JP"/>
        </w:rPr>
        <w:t>.</w:t>
      </w:r>
      <w:r>
        <w:rPr>
          <w:rFonts w:ascii="Times New Roman" w:eastAsia="MS Mincho" w:hAnsi="Times New Roman" w:cs="Times New Roman"/>
          <w:kern w:val="0"/>
          <w:szCs w:val="21"/>
          <w:lang w:val="de-DE" w:eastAsia="ja-JP"/>
        </w:rPr>
        <w:t xml:space="preserve"> Sterilized hydrogel samples (HLC–SPNs hydrogel, HLC(Dex)–SPNs–KGN hydrogel, HLC–SPNs–KGN hydrogel, and HLC(Dex)–SPNs hydrogel) were immersed in the induction medium and the hMSCs and hydrogel samples were incubated together for 10 days. The experimental g</w:t>
      </w:r>
      <w:r>
        <w:rPr>
          <w:rFonts w:ascii="Times New Roman" w:eastAsia="MS Mincho" w:hAnsi="Times New Roman" w:cs="Times New Roman"/>
          <w:kern w:val="0"/>
          <w:szCs w:val="21"/>
          <w:lang w:val="de-DE" w:eastAsia="ja-JP"/>
        </w:rPr>
        <w:t>roups were the blank control group, which was added with the induction medium; the positive control group, which was added with the induction medium and 600 nmol∙L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of KGN; the HLC–SPNs hydrogel group, which was added with the induction medium and 100 mg∙</w:t>
      </w:r>
      <w:r>
        <w:rPr>
          <w:rFonts w:ascii="Times New Roman" w:eastAsia="MS Mincho" w:hAnsi="Times New Roman" w:cs="Times New Roman"/>
          <w:kern w:val="0"/>
          <w:szCs w:val="21"/>
          <w:lang w:val="de-DE" w:eastAsia="ja-JP"/>
        </w:rPr>
        <w:t>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of HLC–SPNs hydrogel; the HLC(D</w:t>
      </w:r>
      <w:r>
        <w:rPr>
          <w:rFonts w:ascii="Times New Roman" w:eastAsia="MS Mincho" w:hAnsi="Times New Roman" w:cs="Times New Roman" w:hint="eastAsia"/>
          <w:kern w:val="0"/>
          <w:szCs w:val="21"/>
          <w:lang w:val="de-DE" w:eastAsia="ja-JP"/>
        </w:rPr>
        <w:t>ex</w:t>
      </w:r>
      <w:r>
        <w:rPr>
          <w:rFonts w:ascii="Times New Roman" w:eastAsia="MS Mincho" w:hAnsi="Times New Roman" w:cs="Times New Roman"/>
          <w:kern w:val="0"/>
          <w:szCs w:val="21"/>
          <w:lang w:val="de-DE" w:eastAsia="ja-JP"/>
        </w:rPr>
        <w:t>)–SPNs–KGN hydrogel group, which was added with the induction medium and 100 mg∙mL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of HLC(D</w:t>
      </w:r>
      <w:r>
        <w:rPr>
          <w:rFonts w:ascii="Times New Roman" w:eastAsia="MS Mincho" w:hAnsi="Times New Roman" w:cs="Times New Roman" w:hint="eastAsia"/>
          <w:kern w:val="0"/>
          <w:szCs w:val="21"/>
          <w:lang w:val="de-DE" w:eastAsia="ja-JP"/>
        </w:rPr>
        <w:t>ex</w:t>
      </w:r>
      <w:r>
        <w:rPr>
          <w:rFonts w:ascii="Times New Roman" w:eastAsia="MS Mincho" w:hAnsi="Times New Roman" w:cs="Times New Roman"/>
          <w:kern w:val="0"/>
          <w:szCs w:val="21"/>
          <w:lang w:val="de-DE" w:eastAsia="ja-JP"/>
        </w:rPr>
        <w:t>)–SPNs–KGN hydrogel; the HLC–SPNs–KGN hydrogel group, which was added with the induction medium and 100 mg∙mL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of HLC–SPNs</w:t>
      </w:r>
      <w:r>
        <w:rPr>
          <w:rFonts w:ascii="Times New Roman" w:eastAsia="MS Mincho" w:hAnsi="Times New Roman" w:cs="Times New Roman"/>
          <w:kern w:val="0"/>
          <w:szCs w:val="21"/>
          <w:lang w:val="de-DE" w:eastAsia="ja-JP"/>
        </w:rPr>
        <w:t>–KGN hydrogel; and the HLC(D</w:t>
      </w:r>
      <w:r>
        <w:rPr>
          <w:rFonts w:ascii="Times New Roman" w:eastAsia="MS Mincho" w:hAnsi="Times New Roman" w:cs="Times New Roman" w:hint="eastAsia"/>
          <w:kern w:val="0"/>
          <w:szCs w:val="21"/>
          <w:lang w:val="de-DE" w:eastAsia="ja-JP"/>
        </w:rPr>
        <w:t>ex</w:t>
      </w:r>
      <w:r>
        <w:rPr>
          <w:rFonts w:ascii="Times New Roman" w:eastAsia="MS Mincho" w:hAnsi="Times New Roman" w:cs="Times New Roman"/>
          <w:kern w:val="0"/>
          <w:szCs w:val="21"/>
          <w:lang w:val="de-DE" w:eastAsia="ja-JP"/>
        </w:rPr>
        <w:t>)–SPNs hydrogel group, which was added with the induction medium and 100 mg∙mL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MS Mincho" w:hAnsi="Times New Roman" w:cs="Times New Roman"/>
          <w:kern w:val="0"/>
          <w:szCs w:val="21"/>
          <w:lang w:val="de-DE" w:eastAsia="ja-JP"/>
        </w:rPr>
        <w:t xml:space="preserve"> of HLC(D</w:t>
      </w:r>
      <w:r>
        <w:rPr>
          <w:rFonts w:ascii="Times New Roman" w:eastAsia="MS Mincho" w:hAnsi="Times New Roman" w:cs="Times New Roman" w:hint="eastAsia"/>
          <w:kern w:val="0"/>
          <w:szCs w:val="21"/>
          <w:lang w:val="de-DE" w:eastAsia="ja-JP"/>
        </w:rPr>
        <w:t>ex</w:t>
      </w:r>
      <w:r>
        <w:rPr>
          <w:rFonts w:ascii="Times New Roman" w:eastAsia="MS Mincho" w:hAnsi="Times New Roman" w:cs="Times New Roman"/>
          <w:kern w:val="0"/>
          <w:szCs w:val="21"/>
          <w:lang w:val="de-DE" w:eastAsia="ja-JP"/>
        </w:rPr>
        <w:t>)–SPNs hydrogel. T</w:t>
      </w:r>
      <w:r>
        <w:rPr>
          <w:rFonts w:ascii="Times New Roman" w:eastAsia="MS Mincho" w:hAnsi="Times New Roman" w:cs="Times New Roman" w:hint="eastAsia"/>
          <w:kern w:val="0"/>
          <w:szCs w:val="21"/>
          <w:lang w:val="de-DE" w:eastAsia="ja-JP"/>
        </w:rPr>
        <w:t>he</w:t>
      </w:r>
      <w:r>
        <w:rPr>
          <w:rFonts w:ascii="Times New Roman" w:eastAsia="MS Mincho" w:hAnsi="Times New Roman" w:cs="Times New Roman"/>
          <w:kern w:val="0"/>
          <w:szCs w:val="21"/>
          <w:lang w:val="de-DE" w:eastAsia="ja-JP"/>
        </w:rPr>
        <w:t xml:space="preserve"> hMSCs were fixed in 4% paraformaldehyde at 37 °C for 30 min, stained with toluidine blue (S</w:t>
      </w:r>
      <w:r>
        <w:rPr>
          <w:rFonts w:ascii="Times New Roman" w:eastAsia="MS Mincho" w:hAnsi="Times New Roman" w:cs="Times New Roman" w:hint="eastAsia"/>
          <w:kern w:val="0"/>
          <w:szCs w:val="21"/>
          <w:lang w:val="de-DE" w:eastAsia="ja-JP"/>
        </w:rPr>
        <w:t>olarbio</w:t>
      </w:r>
      <w:r>
        <w:rPr>
          <w:rFonts w:ascii="Times New Roman" w:eastAsia="MS Mincho" w:hAnsi="Times New Roman" w:cs="Times New Roman"/>
          <w:kern w:val="0"/>
          <w:szCs w:val="21"/>
          <w:lang w:val="de-DE" w:eastAsia="ja-JP"/>
        </w:rPr>
        <w:t>, C</w:t>
      </w:r>
      <w:r>
        <w:rPr>
          <w:rFonts w:ascii="Times New Roman" w:eastAsia="MS Mincho" w:hAnsi="Times New Roman" w:cs="Times New Roman" w:hint="eastAsia"/>
          <w:kern w:val="0"/>
          <w:szCs w:val="21"/>
          <w:lang w:val="de-DE" w:eastAsia="ja-JP"/>
        </w:rPr>
        <w:t>hina</w:t>
      </w:r>
      <w:r>
        <w:rPr>
          <w:rFonts w:ascii="Times New Roman" w:eastAsia="MS Mincho" w:hAnsi="Times New Roman" w:cs="Times New Roman"/>
          <w:kern w:val="0"/>
          <w:szCs w:val="21"/>
          <w:lang w:val="de-DE" w:eastAsia="ja-JP"/>
        </w:rPr>
        <w:t>), and ob</w:t>
      </w:r>
      <w:r>
        <w:rPr>
          <w:rFonts w:ascii="Times New Roman" w:eastAsia="MS Mincho" w:hAnsi="Times New Roman" w:cs="Times New Roman"/>
          <w:kern w:val="0"/>
          <w:szCs w:val="21"/>
          <w:lang w:val="de-DE" w:eastAsia="ja-JP"/>
        </w:rPr>
        <w:t>served using a microscope. Immunofluorescence staining was performed after the hMSCs were fixed. The antibodies were Col Ⅱ (bs-10589, Bioss), cartilage oligomeric matrix protein (COMP</w:t>
      </w:r>
      <w:r>
        <w:rPr>
          <w:rFonts w:ascii="Times New Roman" w:hAnsi="Times New Roman" w:cs="Times New Roman"/>
          <w:kern w:val="0"/>
          <w:szCs w:val="21"/>
          <w:lang w:val="de-DE"/>
        </w:rPr>
        <w:t>;</w:t>
      </w:r>
      <w:r>
        <w:rPr>
          <w:rFonts w:ascii="Times New Roman" w:eastAsia="MS Mincho" w:hAnsi="Times New Roman" w:cs="Times New Roman"/>
          <w:kern w:val="0"/>
          <w:szCs w:val="21"/>
          <w:lang w:val="de-DE" w:eastAsia="ja-JP"/>
        </w:rPr>
        <w:t xml:space="preserve"> bs-10286R, Bioss), aggrecan (ab3778, Abcam), and SOX-9 (bs-4177R, Bioss</w:t>
      </w:r>
      <w:r>
        <w:rPr>
          <w:rFonts w:ascii="Times New Roman" w:eastAsia="MS Mincho" w:hAnsi="Times New Roman" w:cs="Times New Roman"/>
          <w:kern w:val="0"/>
          <w:szCs w:val="21"/>
          <w:lang w:val="de-DE" w:eastAsia="ja-JP"/>
        </w:rPr>
        <w:t>). The hMSCs were observed using a confocal fluorescence microscope</w:t>
      </w:r>
      <w:r>
        <w:rPr>
          <w:rFonts w:ascii="Times New Roman" w:eastAsia="MS Mincho" w:hAnsi="Times New Roman" w:cs="Times New Roman"/>
          <w:kern w:val="0"/>
          <w:szCs w:val="21"/>
          <w:shd w:val="clear" w:color="auto" w:fill="FFFFFF"/>
          <w:lang w:val="de-DE" w:eastAsia="ja-JP"/>
        </w:rPr>
        <w:t xml:space="preserve"> (A1, Nikon, Japan)</w:t>
      </w:r>
      <w:r>
        <w:rPr>
          <w:rFonts w:ascii="Times New Roman" w:eastAsia="MS Mincho" w:hAnsi="Times New Roman" w:cs="Times New Roman"/>
          <w:kern w:val="0"/>
          <w:szCs w:val="21"/>
          <w:lang w:val="de-DE" w:eastAsia="ja-JP"/>
        </w:rPr>
        <w:t>.</w:t>
      </w:r>
      <w:bookmarkStart w:id="21" w:name="_Hlk103199095"/>
      <w:r>
        <w:rPr>
          <w:rFonts w:ascii="Times New Roman" w:eastAsia="MS Mincho" w:hAnsi="Times New Roman" w:cs="Times New Roman"/>
          <w:kern w:val="0"/>
          <w:szCs w:val="21"/>
          <w:lang w:val="de-DE" w:eastAsia="ja-JP"/>
        </w:rPr>
        <w:t xml:space="preserve"> The Co-60-irradiated sterilized hydrogels (diameter of 10 mm, </w:t>
      </w:r>
      <w:r>
        <w:rPr>
          <w:rFonts w:ascii="Times New Roman" w:hAnsi="Times New Roman" w:cs="Times New Roman"/>
          <w:szCs w:val="24"/>
        </w:rPr>
        <w:t>height of</w:t>
      </w:r>
      <w:r>
        <w:rPr>
          <w:rFonts w:ascii="Times New Roman" w:eastAsia="MS Mincho" w:hAnsi="Times New Roman" w:cs="Times New Roman"/>
          <w:kern w:val="0"/>
          <w:szCs w:val="21"/>
          <w:lang w:val="de-DE" w:eastAsia="ja-JP"/>
        </w:rPr>
        <w:t xml:space="preserve"> 2 mm) (HLC–SPNs hydrogel, HLC(Dex)–SPNs hydrogel, HLC–SPNs–KGN hydrogel, HLC(Dex)–SPNs–KGN hydrogel) were immersed in chondrogenic differentiation medium for 6 h, then hMSCs were seeded in per hydrogel at 2 × 10</w:t>
      </w:r>
      <w:r>
        <w:rPr>
          <w:rFonts w:ascii="Times New Roman" w:eastAsia="MS Mincho" w:hAnsi="Times New Roman" w:cs="Times New Roman"/>
          <w:kern w:val="0"/>
          <w:szCs w:val="21"/>
          <w:vertAlign w:val="superscript"/>
          <w:lang w:val="de-DE" w:eastAsia="ja-JP"/>
        </w:rPr>
        <w:t>4</w:t>
      </w:r>
      <w:r>
        <w:rPr>
          <w:rFonts w:ascii="Times New Roman" w:eastAsia="MS Mincho" w:hAnsi="Times New Roman" w:cs="Times New Roman"/>
          <w:kern w:val="0"/>
          <w:szCs w:val="21"/>
          <w:lang w:val="de-DE" w:eastAsia="ja-JP"/>
        </w:rPr>
        <w:t xml:space="preserve"> cells. The hydrogels of seeded cells were </w:t>
      </w:r>
      <w:r>
        <w:rPr>
          <w:rFonts w:ascii="Times New Roman" w:eastAsia="MS Mincho" w:hAnsi="Times New Roman" w:cs="Times New Roman"/>
          <w:kern w:val="0"/>
          <w:szCs w:val="21"/>
          <w:lang w:val="de-DE" w:eastAsia="ja-JP"/>
        </w:rPr>
        <w:t>cultured in chondrogenic differentiation medium for 5 and 10 days. The cells were digested and collected for ELISA kits and qPCR assays for chondrogenic-related proteins and genes, respectively. ELISA kits include Col Ⅱ (ml 038558, Shanghai Enzyme-linked B</w:t>
      </w:r>
      <w:r>
        <w:rPr>
          <w:rFonts w:ascii="Times New Roman" w:eastAsia="MS Mincho" w:hAnsi="Times New Roman" w:cs="Times New Roman"/>
          <w:kern w:val="0"/>
          <w:szCs w:val="21"/>
          <w:lang w:val="de-DE" w:eastAsia="ja-JP"/>
        </w:rPr>
        <w:t xml:space="preserve">iotechnology Co., Ltd.), COMP (JN 22626, Shanghai Jining Biotechnology Co.), aggrecan (ab213754, Abcam), and SOX-9 (ab253226, Abcam). </w:t>
      </w:r>
    </w:p>
    <w:p w14:paraId="63DFACE2"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22" w:name="_Hlk103200289"/>
      <w:r>
        <w:rPr>
          <w:rFonts w:eastAsiaTheme="minorEastAsia"/>
          <w:i/>
          <w:sz w:val="21"/>
          <w:szCs w:val="21"/>
        </w:rPr>
        <w:t>The qPCR assay for detecting gene expression in 3D cultured cells</w:t>
      </w:r>
    </w:p>
    <w:bookmarkEnd w:id="22"/>
    <w:p w14:paraId="16F846FA" w14:textId="6D6A5180"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宋体" w:hAnsi="Times New Roman" w:cs="Times New Roman"/>
          <w:kern w:val="0"/>
          <w:szCs w:val="21"/>
        </w:rPr>
        <w:t xml:space="preserve">At 5 and 10 days, the total cellular RNA was extracted </w:t>
      </w:r>
      <w:r>
        <w:rPr>
          <w:rFonts w:ascii="Times New Roman" w:eastAsia="宋体" w:hAnsi="Times New Roman" w:cs="Times New Roman"/>
          <w:kern w:val="0"/>
          <w:szCs w:val="21"/>
        </w:rPr>
        <w:t xml:space="preserve">using TRIzol reagent (Takara, Japan) according to the manufacturer’s instructions. First-stranded </w:t>
      </w:r>
      <w:r>
        <w:rPr>
          <w:rFonts w:ascii="Times New Roman" w:hAnsi="Times New Roman" w:cs="Times New Roman"/>
          <w:szCs w:val="24"/>
        </w:rPr>
        <w:t>complementary DNA (cDNA)</w:t>
      </w:r>
      <w:r>
        <w:rPr>
          <w:rFonts w:ascii="Times New Roman" w:eastAsia="宋体" w:hAnsi="Times New Roman" w:cs="Times New Roman"/>
          <w:kern w:val="0"/>
          <w:szCs w:val="21"/>
        </w:rPr>
        <w:t xml:space="preserve"> was synthesized with the PrimeScript RT reagent kit (Takara). Subsequently, cDNA was diluted ten-fold in sterile distilled water, and</w:t>
      </w:r>
      <w:r>
        <w:rPr>
          <w:rFonts w:ascii="Times New Roman" w:eastAsia="宋体" w:hAnsi="Times New Roman" w:cs="Times New Roman"/>
          <w:kern w:val="0"/>
          <w:szCs w:val="21"/>
        </w:rPr>
        <w:t xml:space="preserve"> a 4 μL aliquot of the diluted cDNA was subjected to real-time reverse transcription polymerase chain reaction (RT-PCR) using SYBR Premix Ex Taq™ (Takara). Real-time RT-PCR was performed in a 10 μL solution containing 1× PCR buffer, a 4 μL aliquot of the d</w:t>
      </w:r>
      <w:r>
        <w:rPr>
          <w:rFonts w:ascii="Times New Roman" w:eastAsia="宋体" w:hAnsi="Times New Roman" w:cs="Times New Roman"/>
          <w:kern w:val="0"/>
          <w:szCs w:val="21"/>
        </w:rPr>
        <w:t>iluted cDNA, 1× SYBR Premix Ex Taq (5 μL), 0.2 μmol</w:t>
      </w:r>
      <w:r>
        <w:rPr>
          <w:rFonts w:ascii="Times New Roman" w:eastAsia="MS Mincho" w:hAnsi="Times New Roman" w:cs="Times New Roman"/>
          <w:kern w:val="0"/>
          <w:szCs w:val="21"/>
          <w:lang w:val="de-DE" w:eastAsia="ja-JP"/>
        </w:rPr>
        <w:t>∙</w:t>
      </w:r>
      <w:r>
        <w:rPr>
          <w:rFonts w:ascii="Times New Roman" w:eastAsia="MS Mincho" w:hAnsi="Times New Roman" w:cs="Times New Roman"/>
          <w:kern w:val="0"/>
          <w:szCs w:val="21"/>
          <w:lang w:val="de-DE" w:eastAsia="ja-JP"/>
        </w:rPr>
        <w:t>L</w:t>
      </w:r>
      <w:r>
        <w:rPr>
          <w:rFonts w:ascii="Times New Roman" w:eastAsia="MS Mincho" w:hAnsi="Times New Roman" w:cs="Times New Roman"/>
          <w:kern w:val="0"/>
          <w:szCs w:val="21"/>
          <w:vertAlign w:val="superscript"/>
          <w:lang w:val="de-DE" w:eastAsia="ja-JP"/>
        </w:rPr>
        <w:t>−</w:t>
      </w:r>
      <w:r>
        <w:rPr>
          <w:rFonts w:ascii="Times New Roman" w:eastAsia="MS Mincho" w:hAnsi="Times New Roman" w:cs="Times New Roman"/>
          <w:kern w:val="0"/>
          <w:szCs w:val="21"/>
          <w:vertAlign w:val="superscript"/>
          <w:lang w:val="de-DE" w:eastAsia="ja-JP"/>
        </w:rPr>
        <w:t>1</w:t>
      </w:r>
      <w:r>
        <w:rPr>
          <w:rFonts w:ascii="Times New Roman" w:eastAsia="宋体" w:hAnsi="Times New Roman" w:cs="Times New Roman"/>
          <w:kern w:val="0"/>
          <w:szCs w:val="21"/>
        </w:rPr>
        <w:t xml:space="preserve"> (0.4 μL) of each primer (forward and reverse), and 0.2 μL ROX reference dye (50×). The conditions of real-time PCR were as follows: 95 °C for 30 s followed by 40 cycles at 95 °C for 5 s and 60 °C for </w:t>
      </w:r>
      <w:r>
        <w:rPr>
          <w:rFonts w:ascii="Times New Roman" w:eastAsia="宋体" w:hAnsi="Times New Roman" w:cs="Times New Roman"/>
          <w:kern w:val="0"/>
          <w:szCs w:val="21"/>
        </w:rPr>
        <w:t xml:space="preserve">34 s. Real-time PCR was performed by a Bio-Rad real-time PCR system (Bio-Rad, USA) on markers of </w:t>
      </w:r>
      <w:r>
        <w:rPr>
          <w:rFonts w:ascii="Times New Roman" w:eastAsia="宋体" w:hAnsi="Times New Roman" w:cs="Times New Roman"/>
          <w:i/>
          <w:kern w:val="0"/>
          <w:szCs w:val="21"/>
        </w:rPr>
        <w:t>COMP</w:t>
      </w:r>
      <w:r>
        <w:rPr>
          <w:rFonts w:ascii="Times New Roman" w:eastAsia="宋体" w:hAnsi="Times New Roman" w:cs="Times New Roman"/>
          <w:kern w:val="0"/>
          <w:szCs w:val="21"/>
        </w:rPr>
        <w:t xml:space="preserve">, </w:t>
      </w:r>
      <w:r>
        <w:rPr>
          <w:rFonts w:ascii="Times New Roman" w:eastAsia="宋体" w:hAnsi="Times New Roman" w:cs="Times New Roman"/>
          <w:i/>
          <w:kern w:val="0"/>
          <w:szCs w:val="21"/>
        </w:rPr>
        <w:t>COL2A1</w:t>
      </w:r>
      <w:r>
        <w:rPr>
          <w:rFonts w:ascii="Times New Roman" w:eastAsia="宋体" w:hAnsi="Times New Roman" w:cs="Times New Roman"/>
          <w:kern w:val="0"/>
          <w:szCs w:val="21"/>
        </w:rPr>
        <w:t xml:space="preserve">, </w:t>
      </w:r>
      <w:r>
        <w:rPr>
          <w:rFonts w:ascii="Times New Roman" w:eastAsia="宋体" w:hAnsi="Times New Roman" w:cs="Times New Roman"/>
          <w:i/>
          <w:kern w:val="0"/>
          <w:szCs w:val="21"/>
        </w:rPr>
        <w:t>ACAN</w:t>
      </w:r>
      <w:r>
        <w:rPr>
          <w:rFonts w:ascii="Times New Roman" w:eastAsia="宋体" w:hAnsi="Times New Roman" w:cs="Times New Roman"/>
          <w:kern w:val="0"/>
          <w:szCs w:val="21"/>
        </w:rPr>
        <w:t xml:space="preserve">, and </w:t>
      </w:r>
      <w:r>
        <w:rPr>
          <w:rFonts w:ascii="Times New Roman" w:eastAsia="宋体" w:hAnsi="Times New Roman" w:cs="Times New Roman"/>
          <w:i/>
          <w:kern w:val="0"/>
          <w:szCs w:val="21"/>
        </w:rPr>
        <w:t>SOX9</w:t>
      </w:r>
      <w:r>
        <w:rPr>
          <w:rFonts w:ascii="Times New Roman" w:eastAsia="宋体" w:hAnsi="Times New Roman" w:cs="Times New Roman"/>
          <w:kern w:val="0"/>
          <w:szCs w:val="21"/>
        </w:rPr>
        <w:t xml:space="preserve"> (Table S1)</w:t>
      </w:r>
      <w:r>
        <w:rPr>
          <w:rFonts w:ascii="Times New Roman" w:eastAsia="宋体" w:hAnsi="Times New Roman" w:cs="Times New Roman"/>
          <w:kern w:val="0"/>
          <w:szCs w:val="21"/>
        </w:rPr>
        <w:t>.</w:t>
      </w:r>
      <w:r>
        <w:rPr>
          <w:rFonts w:ascii="Times New Roman" w:eastAsia="MS Mincho" w:hAnsi="Times New Roman" w:cs="Times New Roman"/>
          <w:kern w:val="0"/>
          <w:szCs w:val="21"/>
          <w:lang w:val="de-DE" w:eastAsia="ja-JP"/>
        </w:rPr>
        <w:t xml:space="preserve"> The values obtained were normalized to the negative control as fold change.</w:t>
      </w:r>
    </w:p>
    <w:p w14:paraId="4DC79560" w14:textId="77777777" w:rsidR="00325724" w:rsidRDefault="00325724">
      <w:pPr>
        <w:adjustRightInd w:val="0"/>
        <w:snapToGrid w:val="0"/>
        <w:rPr>
          <w:rFonts w:ascii="Times New Roman" w:hAnsi="Times New Roman" w:cs="Times New Roman"/>
          <w:b/>
          <w:sz w:val="24"/>
          <w:szCs w:val="24"/>
        </w:rPr>
      </w:pPr>
    </w:p>
    <w:p w14:paraId="3593431F" w14:textId="77777777" w:rsidR="00325724" w:rsidRDefault="007426C1">
      <w:pPr>
        <w:adjustRightInd w:val="0"/>
        <w:snapToGrid w:val="0"/>
        <w:rPr>
          <w:rFonts w:ascii="Times New Roman" w:hAnsi="Times New Roman" w:cs="Times New Roman"/>
          <w:b/>
          <w:sz w:val="18"/>
          <w:szCs w:val="18"/>
        </w:rPr>
      </w:pPr>
      <w:r>
        <w:rPr>
          <w:rFonts w:ascii="Times New Roman" w:hAnsi="Times New Roman" w:cs="Times New Roman"/>
          <w:b/>
          <w:sz w:val="18"/>
          <w:szCs w:val="18"/>
        </w:rPr>
        <w:t>Table S1</w:t>
      </w:r>
    </w:p>
    <w:p w14:paraId="7CBA5252" w14:textId="1188BF00" w:rsidR="00325724" w:rsidRDefault="007426C1">
      <w:pPr>
        <w:adjustRightInd w:val="0"/>
        <w:snapToGrid w:val="0"/>
        <w:rPr>
          <w:rFonts w:ascii="Times New Roman" w:hAnsi="Times New Roman" w:cs="Times New Roman"/>
          <w:sz w:val="18"/>
          <w:szCs w:val="18"/>
        </w:rPr>
      </w:pPr>
      <w:r>
        <w:rPr>
          <w:rFonts w:ascii="Times New Roman" w:hAnsi="Times New Roman" w:cs="Times New Roman"/>
          <w:sz w:val="18"/>
          <w:szCs w:val="18"/>
        </w:rPr>
        <w:t>Real-time RT-PCR primer sequences for</w:t>
      </w:r>
      <w:r>
        <w:rPr>
          <w:rFonts w:ascii="Times New Roman" w:hAnsi="Times New Roman" w:cs="Times New Roman"/>
          <w:sz w:val="18"/>
          <w:szCs w:val="18"/>
        </w:rPr>
        <w:t xml:space="preserve"> chondrogenic marker genes</w:t>
      </w:r>
      <w:r>
        <w:rPr>
          <w:rFonts w:ascii="Times New Roman" w:hAnsi="Times New Roman" w:cs="Times New Roman"/>
          <w:sz w:val="18"/>
          <w:szCs w:val="18"/>
        </w:rPr>
        <w:t>.</w:t>
      </w:r>
    </w:p>
    <w:tbl>
      <w:tblPr>
        <w:tblStyle w:val="ad"/>
        <w:tblW w:w="0" w:type="auto"/>
        <w:tblLook w:val="04A0" w:firstRow="1" w:lastRow="0" w:firstColumn="1" w:lastColumn="0" w:noHBand="0" w:noVBand="1"/>
      </w:tblPr>
      <w:tblGrid>
        <w:gridCol w:w="1696"/>
        <w:gridCol w:w="6600"/>
      </w:tblGrid>
      <w:tr w:rsidR="00325724" w14:paraId="3B932919" w14:textId="77777777">
        <w:tc>
          <w:tcPr>
            <w:tcW w:w="1696" w:type="dxa"/>
            <w:tcBorders>
              <w:top w:val="single" w:sz="4" w:space="0" w:color="auto"/>
              <w:left w:val="nil"/>
              <w:bottom w:val="single" w:sz="4" w:space="0" w:color="auto"/>
              <w:right w:val="nil"/>
            </w:tcBorders>
          </w:tcPr>
          <w:p w14:paraId="12F51AD0" w14:textId="77777777" w:rsidR="00325724" w:rsidRDefault="007426C1">
            <w:pPr>
              <w:widowControl/>
              <w:adjustRightInd w:val="0"/>
              <w:snapToGrid w:val="0"/>
              <w:textAlignment w:val="center"/>
              <w:rPr>
                <w:rFonts w:ascii="Times New Roman" w:eastAsia="宋体" w:hAnsi="Times New Roman" w:cs="Times New Roman"/>
                <w:kern w:val="24"/>
                <w:sz w:val="18"/>
                <w:szCs w:val="18"/>
              </w:rPr>
            </w:pPr>
            <w:r>
              <w:rPr>
                <w:rFonts w:ascii="Times New Roman" w:eastAsia="宋体" w:hAnsi="Times New Roman" w:cs="Times New Roman"/>
                <w:kern w:val="24"/>
                <w:sz w:val="18"/>
                <w:szCs w:val="18"/>
              </w:rPr>
              <w:t>Target</w:t>
            </w:r>
          </w:p>
        </w:tc>
        <w:tc>
          <w:tcPr>
            <w:tcW w:w="6600" w:type="dxa"/>
            <w:tcBorders>
              <w:top w:val="single" w:sz="4" w:space="0" w:color="auto"/>
              <w:left w:val="nil"/>
              <w:bottom w:val="single" w:sz="4" w:space="0" w:color="auto"/>
              <w:right w:val="nil"/>
            </w:tcBorders>
          </w:tcPr>
          <w:p w14:paraId="60125D53" w14:textId="77777777" w:rsidR="00325724" w:rsidRDefault="007426C1">
            <w:pPr>
              <w:widowControl/>
              <w:adjustRightInd w:val="0"/>
              <w:snapToGrid w:val="0"/>
              <w:textAlignment w:val="center"/>
              <w:rPr>
                <w:rFonts w:ascii="Times New Roman" w:eastAsia="宋体" w:hAnsi="Times New Roman" w:cs="Times New Roman"/>
                <w:kern w:val="24"/>
                <w:sz w:val="18"/>
                <w:szCs w:val="18"/>
              </w:rPr>
            </w:pPr>
            <w:r>
              <w:rPr>
                <w:rFonts w:ascii="Times New Roman" w:eastAsia="宋体" w:hAnsi="Times New Roman" w:cs="Times New Roman"/>
                <w:kern w:val="24"/>
                <w:sz w:val="18"/>
                <w:szCs w:val="18"/>
              </w:rPr>
              <w:t>Primer sequence forward and reverse (5′–3′)</w:t>
            </w:r>
          </w:p>
        </w:tc>
      </w:tr>
      <w:tr w:rsidR="00325724" w14:paraId="432D7661" w14:textId="77777777">
        <w:tc>
          <w:tcPr>
            <w:tcW w:w="1696" w:type="dxa"/>
            <w:vMerge w:val="restart"/>
            <w:tcBorders>
              <w:top w:val="single" w:sz="4" w:space="0" w:color="auto"/>
              <w:left w:val="nil"/>
              <w:bottom w:val="nil"/>
              <w:right w:val="nil"/>
            </w:tcBorders>
          </w:tcPr>
          <w:p w14:paraId="179C65CC" w14:textId="77777777" w:rsidR="00325724" w:rsidRDefault="007426C1">
            <w:pPr>
              <w:widowControl/>
              <w:adjustRightInd w:val="0"/>
              <w:snapToGrid w:val="0"/>
              <w:textAlignment w:val="center"/>
              <w:rPr>
                <w:rFonts w:ascii="Times New Roman" w:eastAsia="等线" w:hAnsi="Times New Roman" w:cs="Times New Roman"/>
                <w:i/>
                <w:kern w:val="0"/>
                <w:sz w:val="18"/>
                <w:szCs w:val="18"/>
              </w:rPr>
            </w:pPr>
            <w:r>
              <w:rPr>
                <w:rFonts w:ascii="Times New Roman" w:eastAsia="等线" w:hAnsi="Times New Roman" w:cs="Times New Roman"/>
                <w:i/>
                <w:kern w:val="0"/>
                <w:sz w:val="18"/>
                <w:szCs w:val="18"/>
              </w:rPr>
              <w:t>GAPDH</w:t>
            </w:r>
          </w:p>
        </w:tc>
        <w:tc>
          <w:tcPr>
            <w:tcW w:w="6600" w:type="dxa"/>
            <w:tcBorders>
              <w:top w:val="single" w:sz="4" w:space="0" w:color="auto"/>
              <w:left w:val="nil"/>
              <w:bottom w:val="nil"/>
              <w:right w:val="nil"/>
            </w:tcBorders>
          </w:tcPr>
          <w:p w14:paraId="65FA020C"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F</w:t>
            </w:r>
            <w:r>
              <w:rPr>
                <w:rFonts w:ascii="Times New Roman" w:hAnsi="Times New Roman" w:cs="Times New Roman" w:hint="eastAsia"/>
                <w:sz w:val="18"/>
                <w:szCs w:val="18"/>
              </w:rPr>
              <w:t>orward</w:t>
            </w:r>
            <w:r>
              <w:rPr>
                <w:rFonts w:ascii="Times New Roman" w:hAnsi="Times New Roman" w:cs="Times New Roman"/>
                <w:sz w:val="18"/>
                <w:szCs w:val="18"/>
              </w:rPr>
              <w:t>-</w:t>
            </w:r>
            <w:r>
              <w:rPr>
                <w:rFonts w:ascii="Times New Roman" w:eastAsia="等线" w:hAnsi="Times New Roman" w:cs="Times New Roman"/>
                <w:kern w:val="0"/>
                <w:sz w:val="18"/>
                <w:szCs w:val="18"/>
              </w:rPr>
              <w:t>CGTCTTCACCACCATGGAGA</w:t>
            </w:r>
          </w:p>
        </w:tc>
      </w:tr>
      <w:tr w:rsidR="00325724" w14:paraId="177DB09E" w14:textId="77777777">
        <w:tc>
          <w:tcPr>
            <w:tcW w:w="0" w:type="auto"/>
            <w:vMerge/>
            <w:tcBorders>
              <w:top w:val="single" w:sz="4" w:space="0" w:color="auto"/>
              <w:left w:val="nil"/>
              <w:bottom w:val="nil"/>
              <w:right w:val="nil"/>
            </w:tcBorders>
          </w:tcPr>
          <w:p w14:paraId="42232FEB" w14:textId="77777777" w:rsidR="00325724" w:rsidRDefault="00325724">
            <w:pPr>
              <w:widowControl/>
              <w:adjustRightInd w:val="0"/>
              <w:snapToGrid w:val="0"/>
              <w:rPr>
                <w:rFonts w:ascii="Times New Roman" w:eastAsia="等线" w:hAnsi="Times New Roman" w:cs="Times New Roman"/>
                <w:kern w:val="0"/>
                <w:sz w:val="18"/>
                <w:szCs w:val="18"/>
              </w:rPr>
            </w:pPr>
          </w:p>
        </w:tc>
        <w:tc>
          <w:tcPr>
            <w:tcW w:w="6600" w:type="dxa"/>
            <w:tcBorders>
              <w:top w:val="nil"/>
              <w:left w:val="nil"/>
              <w:bottom w:val="nil"/>
              <w:right w:val="nil"/>
            </w:tcBorders>
          </w:tcPr>
          <w:p w14:paraId="5AF22B8D"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R</w:t>
            </w:r>
            <w:r>
              <w:rPr>
                <w:rFonts w:ascii="Times New Roman" w:hAnsi="Times New Roman" w:cs="Times New Roman" w:hint="eastAsia"/>
                <w:sz w:val="18"/>
                <w:szCs w:val="18"/>
              </w:rPr>
              <w:t>everse</w:t>
            </w:r>
            <w:r>
              <w:rPr>
                <w:rFonts w:ascii="Times New Roman" w:hAnsi="Times New Roman" w:cs="Times New Roman"/>
                <w:sz w:val="18"/>
                <w:szCs w:val="18"/>
              </w:rPr>
              <w:t>-</w:t>
            </w:r>
            <w:r>
              <w:rPr>
                <w:rFonts w:ascii="Times New Roman" w:eastAsia="等线" w:hAnsi="Times New Roman" w:cs="Times New Roman"/>
                <w:kern w:val="0"/>
                <w:sz w:val="18"/>
                <w:szCs w:val="18"/>
              </w:rPr>
              <w:t xml:space="preserve"> CGGCCARCACGCCACAGTTT</w:t>
            </w:r>
          </w:p>
        </w:tc>
      </w:tr>
      <w:tr w:rsidR="00325724" w14:paraId="07E80AF3" w14:textId="77777777">
        <w:tc>
          <w:tcPr>
            <w:tcW w:w="1696" w:type="dxa"/>
            <w:vMerge w:val="restart"/>
            <w:tcBorders>
              <w:top w:val="nil"/>
              <w:left w:val="nil"/>
              <w:bottom w:val="nil"/>
              <w:right w:val="nil"/>
            </w:tcBorders>
          </w:tcPr>
          <w:p w14:paraId="4BED628F" w14:textId="77777777" w:rsidR="00325724" w:rsidRDefault="007426C1">
            <w:pPr>
              <w:widowControl/>
              <w:adjustRightInd w:val="0"/>
              <w:snapToGrid w:val="0"/>
              <w:textAlignment w:val="center"/>
              <w:rPr>
                <w:rFonts w:ascii="Times New Roman" w:eastAsia="等线" w:hAnsi="Times New Roman" w:cs="Times New Roman"/>
                <w:i/>
                <w:kern w:val="0"/>
                <w:sz w:val="18"/>
                <w:szCs w:val="18"/>
              </w:rPr>
            </w:pPr>
            <w:r>
              <w:rPr>
                <w:rFonts w:ascii="Times New Roman" w:eastAsia="等线" w:hAnsi="Times New Roman" w:cs="Times New Roman"/>
                <w:i/>
                <w:kern w:val="0"/>
                <w:sz w:val="18"/>
                <w:szCs w:val="18"/>
              </w:rPr>
              <w:t>SOX9</w:t>
            </w:r>
          </w:p>
        </w:tc>
        <w:tc>
          <w:tcPr>
            <w:tcW w:w="6600" w:type="dxa"/>
            <w:tcBorders>
              <w:top w:val="nil"/>
              <w:left w:val="nil"/>
              <w:bottom w:val="nil"/>
              <w:right w:val="nil"/>
            </w:tcBorders>
          </w:tcPr>
          <w:p w14:paraId="6CEAD486"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F</w:t>
            </w:r>
            <w:r>
              <w:rPr>
                <w:rFonts w:ascii="Times New Roman" w:hAnsi="Times New Roman" w:cs="Times New Roman" w:hint="eastAsia"/>
                <w:sz w:val="18"/>
                <w:szCs w:val="18"/>
              </w:rPr>
              <w:t>orward</w:t>
            </w:r>
            <w:r>
              <w:rPr>
                <w:rFonts w:ascii="Times New Roman" w:hAnsi="Times New Roman" w:cs="Times New Roman"/>
                <w:sz w:val="18"/>
                <w:szCs w:val="18"/>
              </w:rPr>
              <w:t>-</w:t>
            </w:r>
            <w:r>
              <w:rPr>
                <w:rFonts w:ascii="Times New Roman" w:eastAsia="等线" w:hAnsi="Times New Roman" w:cs="Times New Roman"/>
                <w:kern w:val="0"/>
                <w:sz w:val="18"/>
                <w:szCs w:val="18"/>
              </w:rPr>
              <w:t>TTCATGAAGATGACCGACGA</w:t>
            </w:r>
          </w:p>
        </w:tc>
      </w:tr>
      <w:tr w:rsidR="00325724" w14:paraId="74406C30" w14:textId="77777777">
        <w:tc>
          <w:tcPr>
            <w:tcW w:w="0" w:type="auto"/>
            <w:vMerge/>
            <w:tcBorders>
              <w:top w:val="nil"/>
              <w:left w:val="nil"/>
              <w:bottom w:val="nil"/>
              <w:right w:val="nil"/>
            </w:tcBorders>
          </w:tcPr>
          <w:p w14:paraId="6BF8BFE7" w14:textId="77777777" w:rsidR="00325724" w:rsidRDefault="00325724">
            <w:pPr>
              <w:widowControl/>
              <w:adjustRightInd w:val="0"/>
              <w:snapToGrid w:val="0"/>
              <w:rPr>
                <w:rFonts w:ascii="Times New Roman" w:eastAsia="等线" w:hAnsi="Times New Roman" w:cs="Times New Roman"/>
                <w:kern w:val="0"/>
                <w:sz w:val="18"/>
                <w:szCs w:val="18"/>
              </w:rPr>
            </w:pPr>
          </w:p>
        </w:tc>
        <w:tc>
          <w:tcPr>
            <w:tcW w:w="6600" w:type="dxa"/>
            <w:tcBorders>
              <w:top w:val="nil"/>
              <w:left w:val="nil"/>
              <w:bottom w:val="nil"/>
              <w:right w:val="nil"/>
            </w:tcBorders>
          </w:tcPr>
          <w:p w14:paraId="40E6E087"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R</w:t>
            </w:r>
            <w:r>
              <w:rPr>
                <w:rFonts w:ascii="Times New Roman" w:hAnsi="Times New Roman" w:cs="Times New Roman" w:hint="eastAsia"/>
                <w:sz w:val="18"/>
                <w:szCs w:val="18"/>
              </w:rPr>
              <w:t>everse</w:t>
            </w:r>
            <w:r>
              <w:rPr>
                <w:rFonts w:ascii="Times New Roman" w:hAnsi="Times New Roman" w:cs="Times New Roman"/>
                <w:sz w:val="18"/>
                <w:szCs w:val="18"/>
              </w:rPr>
              <w:t>-</w:t>
            </w:r>
            <w:r>
              <w:rPr>
                <w:rFonts w:ascii="Times New Roman" w:eastAsia="等线" w:hAnsi="Times New Roman" w:cs="Times New Roman"/>
                <w:kern w:val="0"/>
                <w:sz w:val="18"/>
                <w:szCs w:val="18"/>
              </w:rPr>
              <w:t>GTCCAGTCGTAGCCCTTGAG</w:t>
            </w:r>
          </w:p>
        </w:tc>
      </w:tr>
      <w:tr w:rsidR="00325724" w14:paraId="66777C3C" w14:textId="77777777">
        <w:tc>
          <w:tcPr>
            <w:tcW w:w="1696" w:type="dxa"/>
            <w:vMerge w:val="restart"/>
            <w:tcBorders>
              <w:top w:val="nil"/>
              <w:left w:val="nil"/>
              <w:bottom w:val="nil"/>
              <w:right w:val="nil"/>
            </w:tcBorders>
          </w:tcPr>
          <w:p w14:paraId="668362C6" w14:textId="77777777" w:rsidR="00325724" w:rsidRDefault="007426C1">
            <w:pPr>
              <w:widowControl/>
              <w:adjustRightInd w:val="0"/>
              <w:snapToGrid w:val="0"/>
              <w:textAlignment w:val="center"/>
              <w:rPr>
                <w:rFonts w:ascii="Times New Roman" w:eastAsia="等线" w:hAnsi="Times New Roman" w:cs="Times New Roman"/>
                <w:i/>
                <w:kern w:val="0"/>
                <w:sz w:val="18"/>
                <w:szCs w:val="18"/>
              </w:rPr>
            </w:pPr>
            <w:r>
              <w:rPr>
                <w:rFonts w:ascii="Times New Roman" w:hAnsi="Times New Roman" w:cs="Times New Roman"/>
                <w:i/>
                <w:sz w:val="18"/>
                <w:szCs w:val="18"/>
              </w:rPr>
              <w:t>ACAN</w:t>
            </w:r>
          </w:p>
        </w:tc>
        <w:tc>
          <w:tcPr>
            <w:tcW w:w="6600" w:type="dxa"/>
            <w:tcBorders>
              <w:top w:val="nil"/>
              <w:left w:val="nil"/>
              <w:bottom w:val="nil"/>
              <w:right w:val="nil"/>
            </w:tcBorders>
          </w:tcPr>
          <w:p w14:paraId="59713127"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F</w:t>
            </w:r>
            <w:r>
              <w:rPr>
                <w:rFonts w:ascii="Times New Roman" w:hAnsi="Times New Roman" w:cs="Times New Roman" w:hint="eastAsia"/>
                <w:sz w:val="18"/>
                <w:szCs w:val="18"/>
              </w:rPr>
              <w:t>orward</w:t>
            </w:r>
            <w:r>
              <w:rPr>
                <w:rFonts w:ascii="Times New Roman" w:hAnsi="Times New Roman" w:cs="Times New Roman"/>
                <w:sz w:val="18"/>
                <w:szCs w:val="18"/>
              </w:rPr>
              <w:t>-</w:t>
            </w:r>
            <w:r>
              <w:rPr>
                <w:rFonts w:ascii="Times New Roman" w:eastAsia="等线" w:hAnsi="Times New Roman" w:cs="Times New Roman"/>
                <w:kern w:val="0"/>
                <w:sz w:val="18"/>
                <w:szCs w:val="18"/>
              </w:rPr>
              <w:t>CGAAACATCACCGAGGGT</w:t>
            </w:r>
          </w:p>
        </w:tc>
      </w:tr>
      <w:tr w:rsidR="00325724" w14:paraId="7E5AAF22" w14:textId="77777777">
        <w:tc>
          <w:tcPr>
            <w:tcW w:w="0" w:type="auto"/>
            <w:vMerge/>
            <w:tcBorders>
              <w:top w:val="nil"/>
              <w:left w:val="nil"/>
              <w:bottom w:val="nil"/>
              <w:right w:val="nil"/>
            </w:tcBorders>
          </w:tcPr>
          <w:p w14:paraId="10E5E630" w14:textId="77777777" w:rsidR="00325724" w:rsidRDefault="00325724">
            <w:pPr>
              <w:widowControl/>
              <w:adjustRightInd w:val="0"/>
              <w:snapToGrid w:val="0"/>
              <w:rPr>
                <w:rFonts w:ascii="Times New Roman" w:eastAsia="等线" w:hAnsi="Times New Roman" w:cs="Times New Roman"/>
                <w:kern w:val="0"/>
                <w:sz w:val="18"/>
                <w:szCs w:val="18"/>
              </w:rPr>
            </w:pPr>
          </w:p>
        </w:tc>
        <w:tc>
          <w:tcPr>
            <w:tcW w:w="6600" w:type="dxa"/>
            <w:tcBorders>
              <w:top w:val="nil"/>
              <w:left w:val="nil"/>
              <w:bottom w:val="nil"/>
              <w:right w:val="nil"/>
            </w:tcBorders>
          </w:tcPr>
          <w:p w14:paraId="5EBC717D"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R</w:t>
            </w:r>
            <w:r>
              <w:rPr>
                <w:rFonts w:ascii="Times New Roman" w:hAnsi="Times New Roman" w:cs="Times New Roman" w:hint="eastAsia"/>
                <w:sz w:val="18"/>
                <w:szCs w:val="18"/>
              </w:rPr>
              <w:t>everse</w:t>
            </w:r>
            <w:r>
              <w:rPr>
                <w:rFonts w:ascii="Times New Roman" w:hAnsi="Times New Roman" w:cs="Times New Roman"/>
                <w:sz w:val="18"/>
                <w:szCs w:val="18"/>
              </w:rPr>
              <w:t>-</w:t>
            </w:r>
            <w:r>
              <w:rPr>
                <w:rFonts w:ascii="Times New Roman" w:eastAsia="等线" w:hAnsi="Times New Roman" w:cs="Times New Roman"/>
                <w:kern w:val="0"/>
                <w:sz w:val="18"/>
                <w:szCs w:val="18"/>
              </w:rPr>
              <w:t>GCAAATGTAAAGGGCTCCTC</w:t>
            </w:r>
          </w:p>
        </w:tc>
      </w:tr>
      <w:tr w:rsidR="00325724" w14:paraId="0EC0098C" w14:textId="77777777">
        <w:tc>
          <w:tcPr>
            <w:tcW w:w="1696" w:type="dxa"/>
            <w:vMerge w:val="restart"/>
            <w:tcBorders>
              <w:top w:val="nil"/>
              <w:left w:val="nil"/>
              <w:bottom w:val="nil"/>
              <w:right w:val="nil"/>
            </w:tcBorders>
          </w:tcPr>
          <w:p w14:paraId="77FDACAD" w14:textId="77777777" w:rsidR="00325724" w:rsidRDefault="007426C1">
            <w:pPr>
              <w:widowControl/>
              <w:adjustRightInd w:val="0"/>
              <w:snapToGrid w:val="0"/>
              <w:textAlignment w:val="center"/>
              <w:rPr>
                <w:rFonts w:ascii="Times New Roman" w:eastAsia="等线" w:hAnsi="Times New Roman" w:cs="Times New Roman"/>
                <w:i/>
                <w:kern w:val="0"/>
                <w:sz w:val="18"/>
                <w:szCs w:val="18"/>
              </w:rPr>
            </w:pPr>
            <w:r>
              <w:rPr>
                <w:rFonts w:ascii="Times New Roman" w:eastAsia="等线" w:hAnsi="Times New Roman" w:cs="Times New Roman"/>
                <w:i/>
                <w:kern w:val="0"/>
                <w:sz w:val="18"/>
                <w:szCs w:val="18"/>
              </w:rPr>
              <w:t>COL2A1</w:t>
            </w:r>
          </w:p>
        </w:tc>
        <w:tc>
          <w:tcPr>
            <w:tcW w:w="6600" w:type="dxa"/>
            <w:tcBorders>
              <w:top w:val="nil"/>
              <w:left w:val="nil"/>
              <w:bottom w:val="nil"/>
              <w:right w:val="nil"/>
            </w:tcBorders>
          </w:tcPr>
          <w:p w14:paraId="59D65677"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F</w:t>
            </w:r>
            <w:r>
              <w:rPr>
                <w:rFonts w:ascii="Times New Roman" w:hAnsi="Times New Roman" w:cs="Times New Roman" w:hint="eastAsia"/>
                <w:sz w:val="18"/>
                <w:szCs w:val="18"/>
              </w:rPr>
              <w:t>orward</w:t>
            </w:r>
            <w:r>
              <w:rPr>
                <w:rFonts w:ascii="Times New Roman" w:hAnsi="Times New Roman" w:cs="Times New Roman"/>
                <w:sz w:val="18"/>
                <w:szCs w:val="18"/>
              </w:rPr>
              <w:t>-CGCCGCTGTCCTTCGGTGTC</w:t>
            </w:r>
          </w:p>
        </w:tc>
      </w:tr>
      <w:tr w:rsidR="00325724" w14:paraId="343FFA14" w14:textId="77777777">
        <w:tc>
          <w:tcPr>
            <w:tcW w:w="0" w:type="auto"/>
            <w:vMerge/>
            <w:tcBorders>
              <w:top w:val="nil"/>
              <w:left w:val="nil"/>
              <w:bottom w:val="nil"/>
              <w:right w:val="nil"/>
            </w:tcBorders>
          </w:tcPr>
          <w:p w14:paraId="783AEC10" w14:textId="77777777" w:rsidR="00325724" w:rsidRDefault="00325724">
            <w:pPr>
              <w:widowControl/>
              <w:adjustRightInd w:val="0"/>
              <w:snapToGrid w:val="0"/>
              <w:rPr>
                <w:rFonts w:ascii="Times New Roman" w:eastAsia="等线" w:hAnsi="Times New Roman" w:cs="Times New Roman"/>
                <w:kern w:val="0"/>
                <w:sz w:val="18"/>
                <w:szCs w:val="18"/>
              </w:rPr>
            </w:pPr>
          </w:p>
        </w:tc>
        <w:tc>
          <w:tcPr>
            <w:tcW w:w="6600" w:type="dxa"/>
            <w:tcBorders>
              <w:top w:val="nil"/>
              <w:left w:val="nil"/>
              <w:bottom w:val="nil"/>
              <w:right w:val="nil"/>
            </w:tcBorders>
          </w:tcPr>
          <w:p w14:paraId="077F2876" w14:textId="77777777" w:rsidR="00325724" w:rsidRDefault="007426C1">
            <w:pPr>
              <w:widowControl/>
              <w:adjustRightInd w:val="0"/>
              <w:snapToGrid w:val="0"/>
              <w:textAlignment w:val="center"/>
              <w:rPr>
                <w:rFonts w:ascii="Times New Roman" w:eastAsia="等线" w:hAnsi="Times New Roman" w:cs="Times New Roman"/>
                <w:kern w:val="0"/>
                <w:sz w:val="18"/>
                <w:szCs w:val="18"/>
              </w:rPr>
            </w:pPr>
            <w:r>
              <w:rPr>
                <w:rFonts w:ascii="Times New Roman" w:hAnsi="Times New Roman" w:cs="Times New Roman"/>
                <w:sz w:val="18"/>
                <w:szCs w:val="18"/>
              </w:rPr>
              <w:t>R</w:t>
            </w:r>
            <w:r>
              <w:rPr>
                <w:rFonts w:ascii="Times New Roman" w:hAnsi="Times New Roman" w:cs="Times New Roman" w:hint="eastAsia"/>
                <w:sz w:val="18"/>
                <w:szCs w:val="18"/>
              </w:rPr>
              <w:t>everse</w:t>
            </w:r>
            <w:r>
              <w:rPr>
                <w:rFonts w:ascii="Times New Roman" w:hAnsi="Times New Roman" w:cs="Times New Roman"/>
                <w:sz w:val="18"/>
                <w:szCs w:val="18"/>
              </w:rPr>
              <w:t>-AGGGCTCCGGCTTCCACACAT</w:t>
            </w:r>
          </w:p>
        </w:tc>
      </w:tr>
      <w:tr w:rsidR="00325724" w14:paraId="45A359E6" w14:textId="77777777">
        <w:tc>
          <w:tcPr>
            <w:tcW w:w="1696" w:type="dxa"/>
            <w:vMerge w:val="restart"/>
            <w:tcBorders>
              <w:top w:val="nil"/>
              <w:left w:val="nil"/>
              <w:bottom w:val="single" w:sz="4" w:space="0" w:color="auto"/>
              <w:right w:val="nil"/>
            </w:tcBorders>
          </w:tcPr>
          <w:p w14:paraId="1569A87C" w14:textId="77777777" w:rsidR="00325724" w:rsidRDefault="007426C1">
            <w:pPr>
              <w:widowControl/>
              <w:adjustRightInd w:val="0"/>
              <w:snapToGrid w:val="0"/>
              <w:textAlignment w:val="center"/>
              <w:rPr>
                <w:rFonts w:ascii="Times New Roman" w:hAnsi="Times New Roman" w:cs="Times New Roman"/>
                <w:i/>
                <w:sz w:val="18"/>
                <w:szCs w:val="18"/>
              </w:rPr>
            </w:pPr>
            <w:r>
              <w:rPr>
                <w:rFonts w:ascii="Times New Roman" w:hAnsi="Times New Roman" w:cs="Times New Roman"/>
                <w:i/>
                <w:sz w:val="18"/>
                <w:szCs w:val="18"/>
              </w:rPr>
              <w:t>COMP</w:t>
            </w:r>
          </w:p>
        </w:tc>
        <w:tc>
          <w:tcPr>
            <w:tcW w:w="6600" w:type="dxa"/>
            <w:tcBorders>
              <w:top w:val="nil"/>
              <w:left w:val="nil"/>
              <w:bottom w:val="nil"/>
              <w:right w:val="nil"/>
            </w:tcBorders>
          </w:tcPr>
          <w:p w14:paraId="11716103" w14:textId="77777777" w:rsidR="00325724" w:rsidRDefault="007426C1">
            <w:pPr>
              <w:widowControl/>
              <w:adjustRightInd w:val="0"/>
              <w:snapToGrid w:val="0"/>
              <w:textAlignment w:val="center"/>
              <w:rPr>
                <w:rFonts w:ascii="Times New Roman" w:hAnsi="Times New Roman" w:cs="Times New Roman"/>
                <w:sz w:val="18"/>
                <w:szCs w:val="18"/>
              </w:rPr>
            </w:pPr>
            <w:r>
              <w:rPr>
                <w:rFonts w:ascii="Times New Roman" w:hAnsi="Times New Roman" w:cs="Times New Roman"/>
                <w:sz w:val="18"/>
                <w:szCs w:val="18"/>
              </w:rPr>
              <w:t>F</w:t>
            </w:r>
            <w:r>
              <w:rPr>
                <w:rFonts w:ascii="Times New Roman" w:hAnsi="Times New Roman" w:cs="Times New Roman" w:hint="eastAsia"/>
                <w:sz w:val="18"/>
                <w:szCs w:val="18"/>
              </w:rPr>
              <w:t>orward</w:t>
            </w:r>
            <w:r>
              <w:rPr>
                <w:rFonts w:ascii="Times New Roman" w:hAnsi="Times New Roman" w:cs="Times New Roman"/>
                <w:sz w:val="18"/>
                <w:szCs w:val="18"/>
              </w:rPr>
              <w:t>-TGTAAAACGACGGCCAGT</w:t>
            </w:r>
          </w:p>
        </w:tc>
      </w:tr>
      <w:tr w:rsidR="00325724" w14:paraId="0B360B47" w14:textId="77777777">
        <w:tc>
          <w:tcPr>
            <w:tcW w:w="0" w:type="auto"/>
            <w:vMerge/>
            <w:tcBorders>
              <w:top w:val="nil"/>
              <w:left w:val="nil"/>
              <w:bottom w:val="single" w:sz="4" w:space="0" w:color="auto"/>
              <w:right w:val="nil"/>
            </w:tcBorders>
          </w:tcPr>
          <w:p w14:paraId="26BCB408" w14:textId="77777777" w:rsidR="00325724" w:rsidRDefault="00325724">
            <w:pPr>
              <w:widowControl/>
              <w:adjustRightInd w:val="0"/>
              <w:snapToGrid w:val="0"/>
              <w:rPr>
                <w:rFonts w:ascii="Times New Roman" w:hAnsi="Times New Roman" w:cs="Times New Roman"/>
                <w:sz w:val="18"/>
                <w:szCs w:val="18"/>
              </w:rPr>
            </w:pPr>
          </w:p>
        </w:tc>
        <w:tc>
          <w:tcPr>
            <w:tcW w:w="6600" w:type="dxa"/>
            <w:tcBorders>
              <w:top w:val="nil"/>
              <w:left w:val="nil"/>
              <w:bottom w:val="single" w:sz="4" w:space="0" w:color="auto"/>
              <w:right w:val="nil"/>
            </w:tcBorders>
          </w:tcPr>
          <w:p w14:paraId="30536AD4" w14:textId="77777777" w:rsidR="00325724" w:rsidRDefault="007426C1">
            <w:pPr>
              <w:widowControl/>
              <w:adjustRightInd w:val="0"/>
              <w:snapToGrid w:val="0"/>
              <w:textAlignment w:val="center"/>
              <w:rPr>
                <w:rFonts w:ascii="Times New Roman" w:hAnsi="Times New Roman" w:cs="Times New Roman"/>
                <w:sz w:val="18"/>
                <w:szCs w:val="18"/>
              </w:rPr>
            </w:pPr>
            <w:r>
              <w:rPr>
                <w:rFonts w:ascii="Times New Roman" w:hAnsi="Times New Roman" w:cs="Times New Roman"/>
                <w:sz w:val="18"/>
                <w:szCs w:val="18"/>
              </w:rPr>
              <w:t>R</w:t>
            </w:r>
            <w:r>
              <w:rPr>
                <w:rFonts w:ascii="Times New Roman" w:hAnsi="Times New Roman" w:cs="Times New Roman" w:hint="eastAsia"/>
                <w:sz w:val="18"/>
                <w:szCs w:val="18"/>
              </w:rPr>
              <w:t>everse</w:t>
            </w:r>
            <w:r>
              <w:rPr>
                <w:rFonts w:ascii="Times New Roman" w:hAnsi="Times New Roman" w:cs="Times New Roman"/>
                <w:sz w:val="18"/>
                <w:szCs w:val="18"/>
              </w:rPr>
              <w:t>-TGTAAAACGACGGCCAGT</w:t>
            </w:r>
          </w:p>
        </w:tc>
      </w:tr>
    </w:tbl>
    <w:p w14:paraId="335B687A" w14:textId="77777777" w:rsidR="00325724" w:rsidRDefault="00325724">
      <w:pPr>
        <w:adjustRightInd w:val="0"/>
        <w:snapToGrid w:val="0"/>
        <w:rPr>
          <w:rFonts w:ascii="Times New Roman" w:hAnsi="Times New Roman" w:cs="Times New Roman"/>
          <w:sz w:val="24"/>
          <w:szCs w:val="24"/>
        </w:rPr>
      </w:pPr>
    </w:p>
    <w:p w14:paraId="7A8DBD7A"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bookmarkStart w:id="23" w:name="_Hlk113876377"/>
      <w:bookmarkStart w:id="24" w:name="_Hlk114508218"/>
      <w:bookmarkStart w:id="25" w:name="_Hlk115538810"/>
      <w:bookmarkEnd w:id="21"/>
      <w:r>
        <w:rPr>
          <w:rFonts w:eastAsiaTheme="minorEastAsia"/>
          <w:sz w:val="21"/>
          <w:szCs w:val="21"/>
        </w:rPr>
        <w:t>In vivo</w:t>
      </w:r>
      <w:r>
        <w:rPr>
          <w:rFonts w:eastAsiaTheme="minorEastAsia"/>
          <w:i/>
          <w:sz w:val="21"/>
          <w:szCs w:val="21"/>
        </w:rPr>
        <w:t xml:space="preserve"> degradation and anti-inflammatory effects of the hydrogels</w:t>
      </w:r>
      <w:bookmarkEnd w:id="23"/>
      <w:bookmarkEnd w:id="24"/>
    </w:p>
    <w:p w14:paraId="2AAAF439"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bookmarkStart w:id="26" w:name="OLE_LINK40"/>
      <w:bookmarkEnd w:id="20"/>
      <w:r>
        <w:rPr>
          <w:rFonts w:ascii="Times New Roman" w:eastAsia="MS Mincho" w:hAnsi="Times New Roman" w:cs="Times New Roman"/>
          <w:kern w:val="0"/>
          <w:szCs w:val="21"/>
          <w:lang w:val="de-DE" w:eastAsia="ja-JP"/>
        </w:rPr>
        <w:t xml:space="preserve">All animal experiments were </w:t>
      </w:r>
      <w:r>
        <w:rPr>
          <w:rFonts w:ascii="Times New Roman" w:eastAsia="MS Mincho" w:hAnsi="Times New Roman" w:cs="Times New Roman"/>
          <w:kern w:val="0"/>
          <w:szCs w:val="21"/>
          <w:lang w:val="de-DE" w:eastAsia="ja-JP"/>
        </w:rPr>
        <w:t>reviewed by the Northwest University Laboratory Animal Management and Ethics Committee. The experiments complied with the legal and institutional guidelines related to animal ethics and were approved by the Ethics Committee (NWU-AWC-20210810R). The degrada</w:t>
      </w:r>
      <w:r>
        <w:rPr>
          <w:rFonts w:ascii="Times New Roman" w:eastAsia="MS Mincho" w:hAnsi="Times New Roman" w:cs="Times New Roman"/>
          <w:kern w:val="0"/>
          <w:szCs w:val="21"/>
          <w:lang w:val="de-DE" w:eastAsia="ja-JP"/>
        </w:rPr>
        <w:t>tion of hydrogel samples was studied by implanting the samples under the skin (i.e., subcutaneous) of the backs of rabbits. The degradation of the samples was evaluated on weeks 1, 5, and 10. The rabbits were euthanized, and skin tissues were collected fro</w:t>
      </w:r>
      <w:r>
        <w:rPr>
          <w:rFonts w:ascii="Times New Roman" w:eastAsia="MS Mincho" w:hAnsi="Times New Roman" w:cs="Times New Roman"/>
          <w:kern w:val="0"/>
          <w:szCs w:val="21"/>
          <w:lang w:val="de-DE" w:eastAsia="ja-JP"/>
        </w:rPr>
        <w:t>m the sites at which the hydrogel samples were implanted. The tissues were fixed in 4% neutral paraformaldehyde for histological evaluation. The degraded hydrogel samples were freeze-dried under vacuum conditions, and the structure of the samples was obser</w:t>
      </w:r>
      <w:r>
        <w:rPr>
          <w:rFonts w:ascii="Times New Roman" w:eastAsia="MS Mincho" w:hAnsi="Times New Roman" w:cs="Times New Roman"/>
          <w:kern w:val="0"/>
          <w:szCs w:val="21"/>
          <w:lang w:val="de-DE" w:eastAsia="ja-JP"/>
        </w:rPr>
        <w:t>ved by SEM. The degraded hydrogel samples were freeze-dried under a vacuum and weighed to calculate the degradation rate</w:t>
      </w:r>
      <w:r>
        <w:rPr>
          <w:rFonts w:ascii="Times New Roman" w:hAnsi="Times New Roman" w:cs="Times New Roman"/>
          <w:kern w:val="0"/>
          <w:szCs w:val="21"/>
          <w:lang w:val="de-DE"/>
        </w:rPr>
        <w:t>.</w:t>
      </w:r>
      <w:r>
        <w:rPr>
          <w:rFonts w:ascii="Times New Roman" w:eastAsia="MS Mincho" w:hAnsi="Times New Roman" w:cs="Times New Roman"/>
          <w:kern w:val="0"/>
          <w:szCs w:val="21"/>
          <w:lang w:val="de-DE" w:eastAsia="ja-JP"/>
        </w:rPr>
        <w:t xml:space="preserve"> H&amp;E staining and the immunohistochemical staining for IL-6 (bs-4539R, Bioss) were performed on the skin tissues.</w:t>
      </w:r>
    </w:p>
    <w:bookmarkEnd w:id="25"/>
    <w:p w14:paraId="7B67EEC4"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r>
        <w:rPr>
          <w:rFonts w:eastAsiaTheme="minorEastAsia"/>
          <w:i/>
          <w:sz w:val="21"/>
          <w:szCs w:val="21"/>
        </w:rPr>
        <w:t xml:space="preserve">Establishment of </w:t>
      </w:r>
      <w:bookmarkStart w:id="27" w:name="_Hlk104570448"/>
      <w:r>
        <w:rPr>
          <w:rFonts w:eastAsiaTheme="minorEastAsia"/>
          <w:i/>
          <w:sz w:val="21"/>
          <w:szCs w:val="21"/>
        </w:rPr>
        <w:t>infl</w:t>
      </w:r>
      <w:r>
        <w:rPr>
          <w:rFonts w:eastAsiaTheme="minorEastAsia"/>
          <w:i/>
          <w:sz w:val="21"/>
          <w:szCs w:val="21"/>
        </w:rPr>
        <w:t>ammatory cartilage defects</w:t>
      </w:r>
      <w:bookmarkEnd w:id="27"/>
      <w:r>
        <w:rPr>
          <w:rFonts w:eastAsiaTheme="minorEastAsia"/>
          <w:i/>
          <w:sz w:val="21"/>
          <w:szCs w:val="21"/>
        </w:rPr>
        <w:t xml:space="preserve"> and implantation of hydrogel in rabbit knee joints</w:t>
      </w:r>
    </w:p>
    <w:p w14:paraId="5D3FE105"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bookmarkStart w:id="28" w:name="_Hlk115535296"/>
      <w:bookmarkEnd w:id="26"/>
      <w:r>
        <w:rPr>
          <w:rFonts w:ascii="Times New Roman" w:eastAsia="MS Mincho" w:hAnsi="Times New Roman" w:cs="Times New Roman"/>
          <w:kern w:val="0"/>
          <w:szCs w:val="21"/>
          <w:lang w:val="de-DE" w:eastAsia="ja-JP"/>
        </w:rPr>
        <w:t>The 0.3 mL of 4% papain saline solution was injected into the rabbit</w:t>
      </w:r>
      <w:r>
        <w:rPr>
          <w:rFonts w:ascii="Times New Roman" w:hAnsi="Times New Roman" w:cs="Times New Roman"/>
          <w:szCs w:val="24"/>
        </w:rPr>
        <w:t>’</w:t>
      </w:r>
      <w:r>
        <w:rPr>
          <w:rFonts w:ascii="Times New Roman" w:eastAsia="MS Mincho" w:hAnsi="Times New Roman" w:cs="Times New Roman"/>
          <w:kern w:val="0"/>
          <w:szCs w:val="21"/>
          <w:lang w:val="de-DE" w:eastAsia="ja-JP"/>
        </w:rPr>
        <w:t>s hip joint on days 1, 4 and 7, respectively. After seven days, the rabbits were anesthetized, and their knee</w:t>
      </w:r>
      <w:r>
        <w:rPr>
          <w:rFonts w:ascii="Times New Roman" w:eastAsia="MS Mincho" w:hAnsi="Times New Roman" w:cs="Times New Roman"/>
          <w:kern w:val="0"/>
          <w:szCs w:val="21"/>
          <w:lang w:val="de-DE" w:eastAsia="ja-JP"/>
        </w:rPr>
        <w:t xml:space="preserve"> joints were disinfected with alcohol. The inflammatory cartilage defects (5.0 mm diameter and 2.5 mm thickness) were established on the rabbits</w:t>
      </w:r>
      <w:r>
        <w:rPr>
          <w:rFonts w:ascii="Times New Roman" w:hAnsi="Times New Roman" w:cs="Times New Roman"/>
          <w:szCs w:val="24"/>
        </w:rPr>
        <w:t>’</w:t>
      </w:r>
      <w:r>
        <w:rPr>
          <w:rFonts w:ascii="Times New Roman" w:eastAsia="MS Mincho" w:hAnsi="Times New Roman" w:cs="Times New Roman"/>
          <w:kern w:val="0"/>
          <w:szCs w:val="21"/>
          <w:lang w:val="de-DE" w:eastAsia="ja-JP"/>
        </w:rPr>
        <w:t xml:space="preserve"> hindlimbs using a surgical drill. Twenty-seven rabbits were divided into the control group, HLC–SPNs hydrogel </w:t>
      </w:r>
      <w:r>
        <w:rPr>
          <w:rFonts w:ascii="Times New Roman" w:eastAsia="MS Mincho" w:hAnsi="Times New Roman" w:cs="Times New Roman"/>
          <w:kern w:val="0"/>
          <w:szCs w:val="21"/>
          <w:lang w:val="de-DE" w:eastAsia="ja-JP"/>
        </w:rPr>
        <w:t>group, and HLC(Dex)–SPNs–KGN hydrogel group. The</w:t>
      </w:r>
      <w:r>
        <w:rPr>
          <w:rFonts w:ascii="Times New Roman" w:hAnsi="Times New Roman" w:cs="Times New Roman"/>
          <w:szCs w:val="21"/>
        </w:rPr>
        <w:t xml:space="preserve"> </w:t>
      </w:r>
      <w:r>
        <w:rPr>
          <w:rFonts w:ascii="Times New Roman" w:eastAsia="MS Mincho" w:hAnsi="Times New Roman" w:cs="Times New Roman"/>
          <w:kern w:val="0"/>
          <w:szCs w:val="21"/>
          <w:lang w:val="de-DE" w:eastAsia="ja-JP"/>
        </w:rPr>
        <w:t>cartilage defects on the knee joints that belonged to the control group were untreated. On the other hand, the cartilage defects on the knee joints that belonged to the HLC–SPNs hydrogel group and those on t</w:t>
      </w:r>
      <w:r>
        <w:rPr>
          <w:rFonts w:ascii="Times New Roman" w:eastAsia="MS Mincho" w:hAnsi="Times New Roman" w:cs="Times New Roman"/>
          <w:kern w:val="0"/>
          <w:szCs w:val="21"/>
          <w:lang w:val="de-DE" w:eastAsia="ja-JP"/>
        </w:rPr>
        <w:t>he knee joints that belonged to the HLC(Dex)–SPNs–KGN hydrogel groups were filled with the respective hydrogel samples to the surface of native cartilage,</w:t>
      </w:r>
      <w:bookmarkStart w:id="29" w:name="_Hlk116240200"/>
      <w:r>
        <w:rPr>
          <w:rFonts w:ascii="Times New Roman" w:eastAsia="MS Mincho" w:hAnsi="Times New Roman" w:cs="Times New Roman"/>
          <w:kern w:val="0"/>
          <w:szCs w:val="21"/>
          <w:lang w:val="de-DE" w:eastAsia="ja-JP"/>
        </w:rPr>
        <w:t xml:space="preserve"> which was followed by ligament repositioning and wound closure.</w:t>
      </w:r>
    </w:p>
    <w:bookmarkEnd w:id="28"/>
    <w:bookmarkEnd w:id="29"/>
    <w:p w14:paraId="76A8548E" w14:textId="77777777" w:rsidR="00325724" w:rsidRDefault="007426C1">
      <w:pPr>
        <w:pStyle w:val="hhead1"/>
        <w:autoSpaceDE w:val="0"/>
        <w:autoSpaceDN w:val="0"/>
        <w:adjustRightInd w:val="0"/>
        <w:snapToGrid w:val="0"/>
        <w:spacing w:beforeLines="50" w:before="156" w:afterLines="50" w:after="156"/>
        <w:rPr>
          <w:rFonts w:eastAsiaTheme="minorEastAsia"/>
          <w:i/>
          <w:sz w:val="21"/>
          <w:szCs w:val="21"/>
        </w:rPr>
      </w:pPr>
      <w:r>
        <w:rPr>
          <w:rFonts w:eastAsiaTheme="minorEastAsia"/>
          <w:i/>
          <w:sz w:val="21"/>
          <w:szCs w:val="21"/>
        </w:rPr>
        <w:t>Evaluation of cartilage repair</w:t>
      </w:r>
    </w:p>
    <w:p w14:paraId="32C0C053"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The ra</w:t>
      </w:r>
      <w:r>
        <w:rPr>
          <w:rFonts w:ascii="Times New Roman" w:eastAsia="MS Mincho" w:hAnsi="Times New Roman" w:cs="Times New Roman"/>
          <w:kern w:val="0"/>
          <w:szCs w:val="21"/>
          <w:lang w:val="de-DE" w:eastAsia="ja-JP"/>
        </w:rPr>
        <w:t>bbits were euthanized on the first, second, or third month, and their knee joints were collected for observation and sample analysis. The International Cartilage Repair Society (ICRS) classification system was used to assess the repair status of the surgic</w:t>
      </w:r>
      <w:r>
        <w:rPr>
          <w:rFonts w:ascii="Times New Roman" w:eastAsia="MS Mincho" w:hAnsi="Times New Roman" w:cs="Times New Roman"/>
          <w:kern w:val="0"/>
          <w:szCs w:val="21"/>
          <w:lang w:val="de-DE" w:eastAsia="ja-JP"/>
        </w:rPr>
        <w:t>al sites on the knee joints (</w:t>
      </w:r>
      <w:r>
        <w:rPr>
          <w:rFonts w:ascii="Times New Roman" w:eastAsia="MS Mincho" w:hAnsi="Times New Roman" w:cs="Times New Roman"/>
          <w:bCs/>
          <w:kern w:val="0"/>
          <w:szCs w:val="21"/>
          <w:lang w:val="de-DE" w:eastAsia="ja-JP"/>
        </w:rPr>
        <w:t>Table S2</w:t>
      </w:r>
      <w:r>
        <w:rPr>
          <w:rFonts w:ascii="Times New Roman" w:eastAsia="MS Mincho" w:hAnsi="Times New Roman" w:cs="Times New Roman"/>
          <w:kern w:val="0"/>
          <w:szCs w:val="21"/>
          <w:lang w:val="de-DE" w:eastAsia="ja-JP"/>
        </w:rPr>
        <w:t>) by assessing the appearance of the defects on the surgical sites and connection between the defects and their surrounding areas. A micro-CT scanner (SKYSCAN 1172, Bruker) was used to perform qualitative and quantitati</w:t>
      </w:r>
      <w:r>
        <w:rPr>
          <w:rFonts w:ascii="Times New Roman" w:eastAsia="MS Mincho" w:hAnsi="Times New Roman" w:cs="Times New Roman"/>
          <w:kern w:val="0"/>
          <w:szCs w:val="21"/>
          <w:lang w:val="de-DE" w:eastAsia="ja-JP"/>
        </w:rPr>
        <w:t xml:space="preserve">ve analyses of tissue regeneration on the surgical sites. A 0.5 mm aluminum filter was used to perform the micro-CT scans at the 80 kV voltage and 124 µA current. A circular region of interest (ROI) with the diameter of 3 mm and depth of 5 mm was selected </w:t>
      </w:r>
      <w:r>
        <w:rPr>
          <w:rFonts w:ascii="Times New Roman" w:eastAsia="MS Mincho" w:hAnsi="Times New Roman" w:cs="Times New Roman"/>
          <w:kern w:val="0"/>
          <w:szCs w:val="21"/>
          <w:lang w:val="de-DE" w:eastAsia="ja-JP"/>
        </w:rPr>
        <w:t>from the data set, which corresponded to the areas of the defects. The measurement parameters were bone mineral density (BMD), bone volume/total volume ratio (BV/TV), trabecular thickness (Tb.Th), and trabecular spacing (Tb.Sp). The knee joints of the rabb</w:t>
      </w:r>
      <w:r>
        <w:rPr>
          <w:rFonts w:ascii="Times New Roman" w:eastAsia="MS Mincho" w:hAnsi="Times New Roman" w:cs="Times New Roman"/>
          <w:kern w:val="0"/>
          <w:szCs w:val="21"/>
          <w:lang w:val="de-DE" w:eastAsia="ja-JP"/>
        </w:rPr>
        <w:t>its were fixed in 4% neutral paraformaldehyde for 7 days and decalcified in ethylenediaminetetraacetic acid until an injection needle penetrated the tissues of the joints easily. To perform histological evaluation, H&amp;E staining was used to assess the distr</w:t>
      </w:r>
      <w:r>
        <w:rPr>
          <w:rFonts w:ascii="Times New Roman" w:eastAsia="MS Mincho" w:hAnsi="Times New Roman" w:cs="Times New Roman"/>
          <w:kern w:val="0"/>
          <w:szCs w:val="21"/>
          <w:lang w:val="de-DE" w:eastAsia="ja-JP"/>
        </w:rPr>
        <w:t>ibution of cells and fibrous tissues on the knee joints and safranin green dyeing was used to detect the presence of glycosaminoglycans in the tissues of the knee joints. The images that were obtained by the H&amp;E staining and safranin green dyeing were used</w:t>
      </w:r>
      <w:r>
        <w:rPr>
          <w:rFonts w:ascii="Times New Roman" w:eastAsia="MS Mincho" w:hAnsi="Times New Roman" w:cs="Times New Roman"/>
          <w:kern w:val="0"/>
          <w:szCs w:val="21"/>
          <w:lang w:val="de-DE" w:eastAsia="ja-JP"/>
        </w:rPr>
        <w:t xml:space="preserve"> to perform ICRS visual histological scoring (</w:t>
      </w:r>
      <w:r>
        <w:rPr>
          <w:rFonts w:ascii="Times New Roman" w:eastAsia="MS Mincho" w:hAnsi="Times New Roman" w:cs="Times New Roman"/>
          <w:bCs/>
          <w:kern w:val="0"/>
          <w:szCs w:val="21"/>
          <w:lang w:val="de-DE" w:eastAsia="ja-JP"/>
        </w:rPr>
        <w:t>Table S3</w:t>
      </w:r>
      <w:r>
        <w:rPr>
          <w:rFonts w:ascii="Times New Roman" w:eastAsia="MS Mincho" w:hAnsi="Times New Roman" w:cs="Times New Roman"/>
          <w:kern w:val="0"/>
          <w:szCs w:val="21"/>
          <w:lang w:val="de-DE" w:eastAsia="ja-JP"/>
        </w:rPr>
        <w:t>). Immunohistochemical (IHC) staining was performed for TNF-α (ab1793, Abcam), ADAMTS5 (bs-3537R, Bioss), and IL-6 (bs-4539R, Bioss). On the other hand, immunofluorescence staining was performed for BMP</w:t>
      </w:r>
      <w:r>
        <w:rPr>
          <w:rFonts w:ascii="Times New Roman" w:eastAsia="MS Mincho" w:hAnsi="Times New Roman" w:cs="Times New Roman"/>
          <w:kern w:val="0"/>
          <w:szCs w:val="21"/>
          <w:lang w:val="de-DE" w:eastAsia="ja-JP"/>
        </w:rPr>
        <w:t>2 (bs-6909R, Bioss), TGF</w:t>
      </w:r>
      <w:r>
        <w:rPr>
          <w:rFonts w:ascii="Times New Roman" w:eastAsia="MS Mincho" w:hAnsi="Times New Roman" w:cs="Times New Roman"/>
          <w:kern w:val="0"/>
          <w:szCs w:val="21"/>
          <w:shd w:val="clear" w:color="auto" w:fill="FFFFFF"/>
          <w:lang w:val="de-DE" w:eastAsia="ja-JP"/>
        </w:rPr>
        <w:t>-β1</w:t>
      </w:r>
      <w:r>
        <w:rPr>
          <w:rFonts w:ascii="Times New Roman" w:eastAsia="MS Mincho" w:hAnsi="Times New Roman" w:cs="Times New Roman"/>
          <w:kern w:val="0"/>
          <w:szCs w:val="21"/>
          <w:lang w:val="de-DE" w:eastAsia="ja-JP"/>
        </w:rPr>
        <w:t xml:space="preserve"> (bs-20411R, Bioss), CD68 (GTX34543, GeneTex), CD86 (ab270719, Abcam), CD206 (60143-1, Proteintech), RUNX1 (bs-6101R, Bioss), SOX-9 (bs-4177R, Bioss), Col Ⅱ (bs-10589, Bioss), aggrecan (ab3778, Abcam), and COMP (bs-10286R, Bioss)</w:t>
      </w:r>
      <w:r>
        <w:rPr>
          <w:rFonts w:ascii="Times New Roman" w:eastAsia="MS Mincho" w:hAnsi="Times New Roman" w:cs="Times New Roman"/>
          <w:kern w:val="0"/>
          <w:szCs w:val="21"/>
          <w:lang w:val="de-DE" w:eastAsia="ja-JP"/>
        </w:rPr>
        <w:t xml:space="preserve">. </w:t>
      </w:r>
    </w:p>
    <w:p w14:paraId="279F09FE" w14:textId="77777777" w:rsidR="00325724" w:rsidRDefault="00325724">
      <w:pPr>
        <w:pStyle w:val="Default"/>
        <w:snapToGrid w:val="0"/>
        <w:rPr>
          <w:lang w:val="de-DE"/>
        </w:rPr>
      </w:pPr>
    </w:p>
    <w:p w14:paraId="7AC7AC1E"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b/>
          <w:bCs/>
          <w:sz w:val="18"/>
          <w:szCs w:val="18"/>
        </w:rPr>
        <w:t>Table S2</w:t>
      </w:r>
    </w:p>
    <w:p w14:paraId="1B4F26F3"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 xml:space="preserve">International Cartilage Repair Society (ICRS) cartilage repair assessment tool. </w:t>
      </w:r>
    </w:p>
    <w:tbl>
      <w:tblPr>
        <w:tblW w:w="0" w:type="auto"/>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268"/>
        <w:gridCol w:w="6521"/>
        <w:gridCol w:w="683"/>
      </w:tblGrid>
      <w:tr w:rsidR="00325724" w14:paraId="5B6F6D8C" w14:textId="77777777">
        <w:trPr>
          <w:trHeight w:val="20"/>
        </w:trPr>
        <w:tc>
          <w:tcPr>
            <w:tcW w:w="2268" w:type="dxa"/>
            <w:tcBorders>
              <w:top w:val="single" w:sz="4" w:space="0" w:color="auto"/>
              <w:bottom w:val="single" w:sz="4" w:space="0" w:color="auto"/>
            </w:tcBorders>
          </w:tcPr>
          <w:p w14:paraId="0070DD91" w14:textId="77777777" w:rsidR="00325724" w:rsidRDefault="007426C1">
            <w:pPr>
              <w:adjustRightInd w:val="0"/>
              <w:snapToGrid w:val="0"/>
              <w:rPr>
                <w:rFonts w:ascii="Times New Roman" w:hAnsi="Times New Roman" w:cs="Times New Roman"/>
                <w:sz w:val="18"/>
                <w:szCs w:val="18"/>
              </w:rPr>
            </w:pPr>
            <w:r>
              <w:rPr>
                <w:rFonts w:ascii="Times New Roman" w:hAnsi="Times New Roman" w:cs="Times New Roman" w:hint="eastAsia"/>
                <w:sz w:val="18"/>
                <w:szCs w:val="18"/>
              </w:rPr>
              <w:t>I</w:t>
            </w:r>
            <w:r>
              <w:rPr>
                <w:rFonts w:ascii="Times New Roman" w:hAnsi="Times New Roman" w:cs="Times New Roman"/>
                <w:sz w:val="18"/>
                <w:szCs w:val="18"/>
              </w:rPr>
              <w:t>tem</w:t>
            </w:r>
          </w:p>
        </w:tc>
        <w:tc>
          <w:tcPr>
            <w:tcW w:w="6521" w:type="dxa"/>
            <w:tcBorders>
              <w:top w:val="single" w:sz="4" w:space="0" w:color="auto"/>
              <w:bottom w:val="single" w:sz="4" w:space="0" w:color="auto"/>
            </w:tcBorders>
          </w:tcPr>
          <w:p w14:paraId="04F0A912" w14:textId="77777777" w:rsidR="00325724" w:rsidRDefault="007426C1">
            <w:pPr>
              <w:suppressLineNumbers/>
              <w:adjustRightInd w:val="0"/>
              <w:snapToGrid w:val="0"/>
              <w:rPr>
                <w:rFonts w:ascii="Times New Roman" w:hAnsi="Times New Roman" w:cs="Times New Roman"/>
                <w:bCs/>
                <w:sz w:val="18"/>
                <w:szCs w:val="18"/>
              </w:rPr>
            </w:pPr>
            <w:r>
              <w:rPr>
                <w:rFonts w:ascii="Times New Roman" w:hAnsi="Times New Roman" w:cs="Times New Roman"/>
                <w:bCs/>
                <w:sz w:val="18"/>
                <w:szCs w:val="18"/>
              </w:rPr>
              <w:t>Criteria</w:t>
            </w:r>
          </w:p>
        </w:tc>
        <w:tc>
          <w:tcPr>
            <w:tcW w:w="683" w:type="dxa"/>
            <w:tcBorders>
              <w:top w:val="single" w:sz="4" w:space="0" w:color="auto"/>
              <w:bottom w:val="single" w:sz="4" w:space="0" w:color="auto"/>
            </w:tcBorders>
          </w:tcPr>
          <w:p w14:paraId="1F92BD28" w14:textId="77777777" w:rsidR="00325724" w:rsidRDefault="007426C1">
            <w:pPr>
              <w:suppressLineNumbers/>
              <w:adjustRightInd w:val="0"/>
              <w:snapToGrid w:val="0"/>
              <w:rPr>
                <w:rFonts w:ascii="Times New Roman" w:hAnsi="Times New Roman" w:cs="Times New Roman"/>
                <w:bCs/>
                <w:sz w:val="18"/>
                <w:szCs w:val="18"/>
              </w:rPr>
            </w:pPr>
            <w:r>
              <w:rPr>
                <w:rFonts w:ascii="Times New Roman" w:hAnsi="Times New Roman" w:cs="Times New Roman"/>
                <w:bCs/>
                <w:sz w:val="18"/>
                <w:szCs w:val="18"/>
              </w:rPr>
              <w:t>Points</w:t>
            </w:r>
          </w:p>
        </w:tc>
      </w:tr>
      <w:tr w:rsidR="00325724" w14:paraId="6D700FB6" w14:textId="77777777">
        <w:trPr>
          <w:trHeight w:val="227"/>
        </w:trPr>
        <w:tc>
          <w:tcPr>
            <w:tcW w:w="2268" w:type="dxa"/>
            <w:vMerge w:val="restart"/>
            <w:tcBorders>
              <w:top w:val="single" w:sz="4" w:space="0" w:color="auto"/>
            </w:tcBorders>
          </w:tcPr>
          <w:p w14:paraId="5CCA6F62"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Degree of defect repair</w:t>
            </w:r>
          </w:p>
        </w:tc>
        <w:tc>
          <w:tcPr>
            <w:tcW w:w="6521" w:type="dxa"/>
            <w:tcBorders>
              <w:top w:val="single" w:sz="4" w:space="0" w:color="auto"/>
            </w:tcBorders>
          </w:tcPr>
          <w:p w14:paraId="5D1FEAC0"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Level with surrounding cartilage</w:t>
            </w:r>
          </w:p>
        </w:tc>
        <w:tc>
          <w:tcPr>
            <w:tcW w:w="683" w:type="dxa"/>
            <w:tcBorders>
              <w:top w:val="single" w:sz="4" w:space="0" w:color="auto"/>
            </w:tcBorders>
          </w:tcPr>
          <w:p w14:paraId="2C7DB406"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4</w:t>
            </w:r>
          </w:p>
        </w:tc>
      </w:tr>
      <w:tr w:rsidR="00325724" w14:paraId="7C85068A" w14:textId="77777777">
        <w:trPr>
          <w:trHeight w:val="227"/>
        </w:trPr>
        <w:tc>
          <w:tcPr>
            <w:tcW w:w="2268" w:type="dxa"/>
            <w:vMerge/>
            <w:vAlign w:val="center"/>
          </w:tcPr>
          <w:p w14:paraId="7F17A888"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49A96D81"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75% repair of defect depth</w:t>
            </w:r>
          </w:p>
        </w:tc>
        <w:tc>
          <w:tcPr>
            <w:tcW w:w="683" w:type="dxa"/>
          </w:tcPr>
          <w:p w14:paraId="03DAD0B3"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3</w:t>
            </w:r>
          </w:p>
        </w:tc>
      </w:tr>
      <w:tr w:rsidR="00325724" w14:paraId="681CCD4F" w14:textId="77777777">
        <w:trPr>
          <w:trHeight w:val="227"/>
        </w:trPr>
        <w:tc>
          <w:tcPr>
            <w:tcW w:w="2268" w:type="dxa"/>
            <w:vMerge/>
            <w:vAlign w:val="center"/>
          </w:tcPr>
          <w:p w14:paraId="1658E016" w14:textId="77777777" w:rsidR="00325724" w:rsidRDefault="00325724">
            <w:pPr>
              <w:widowControl/>
              <w:adjustRightInd w:val="0"/>
              <w:snapToGrid w:val="0"/>
              <w:jc w:val="left"/>
              <w:rPr>
                <w:rFonts w:ascii="Times New Roman" w:hAnsi="Times New Roman" w:cs="Times New Roman"/>
                <w:sz w:val="18"/>
                <w:szCs w:val="18"/>
              </w:rPr>
            </w:pPr>
          </w:p>
        </w:tc>
        <w:tc>
          <w:tcPr>
            <w:tcW w:w="6521" w:type="dxa"/>
            <w:vAlign w:val="center"/>
          </w:tcPr>
          <w:p w14:paraId="6A995A85"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50% repair of defect depth</w:t>
            </w:r>
          </w:p>
        </w:tc>
        <w:tc>
          <w:tcPr>
            <w:tcW w:w="683" w:type="dxa"/>
          </w:tcPr>
          <w:p w14:paraId="183298CE"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2</w:t>
            </w:r>
          </w:p>
        </w:tc>
      </w:tr>
      <w:tr w:rsidR="00325724" w14:paraId="305D50C5" w14:textId="77777777">
        <w:trPr>
          <w:trHeight w:val="227"/>
        </w:trPr>
        <w:tc>
          <w:tcPr>
            <w:tcW w:w="2268" w:type="dxa"/>
            <w:vMerge/>
            <w:vAlign w:val="center"/>
          </w:tcPr>
          <w:p w14:paraId="33FD2B90"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127D0151"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 xml:space="preserve">25% repair of </w:t>
            </w:r>
            <w:r>
              <w:rPr>
                <w:rFonts w:ascii="Times New Roman" w:hAnsi="Times New Roman" w:cs="Times New Roman"/>
                <w:sz w:val="18"/>
                <w:szCs w:val="18"/>
              </w:rPr>
              <w:t>defect depth</w:t>
            </w:r>
          </w:p>
        </w:tc>
        <w:tc>
          <w:tcPr>
            <w:tcW w:w="683" w:type="dxa"/>
          </w:tcPr>
          <w:p w14:paraId="60A83746"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1</w:t>
            </w:r>
          </w:p>
        </w:tc>
      </w:tr>
      <w:tr w:rsidR="00325724" w14:paraId="072D68A7" w14:textId="77777777">
        <w:trPr>
          <w:trHeight w:val="283"/>
        </w:trPr>
        <w:tc>
          <w:tcPr>
            <w:tcW w:w="2268" w:type="dxa"/>
            <w:vMerge/>
            <w:vAlign w:val="center"/>
          </w:tcPr>
          <w:p w14:paraId="06F07554"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51D1D03C"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0% repair of defect depth</w:t>
            </w:r>
          </w:p>
        </w:tc>
        <w:tc>
          <w:tcPr>
            <w:tcW w:w="683" w:type="dxa"/>
          </w:tcPr>
          <w:p w14:paraId="792E7AE4"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0</w:t>
            </w:r>
          </w:p>
        </w:tc>
      </w:tr>
      <w:tr w:rsidR="00325724" w14:paraId="32F57754" w14:textId="77777777">
        <w:trPr>
          <w:trHeight w:val="227"/>
        </w:trPr>
        <w:tc>
          <w:tcPr>
            <w:tcW w:w="2268" w:type="dxa"/>
            <w:vMerge w:val="restart"/>
          </w:tcPr>
          <w:p w14:paraId="5E881FA5"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Integration to border zone</w:t>
            </w:r>
          </w:p>
        </w:tc>
        <w:tc>
          <w:tcPr>
            <w:tcW w:w="6521" w:type="dxa"/>
          </w:tcPr>
          <w:p w14:paraId="2732D5CF"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Complete integration with surrounding cartilage</w:t>
            </w:r>
          </w:p>
        </w:tc>
        <w:tc>
          <w:tcPr>
            <w:tcW w:w="683" w:type="dxa"/>
          </w:tcPr>
          <w:p w14:paraId="64412A02"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4</w:t>
            </w:r>
          </w:p>
        </w:tc>
      </w:tr>
      <w:tr w:rsidR="00325724" w14:paraId="0426BFC6" w14:textId="77777777">
        <w:trPr>
          <w:trHeight w:val="227"/>
        </w:trPr>
        <w:tc>
          <w:tcPr>
            <w:tcW w:w="2268" w:type="dxa"/>
            <w:vMerge/>
            <w:vAlign w:val="center"/>
          </w:tcPr>
          <w:p w14:paraId="0DEF9AE0"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3C15302F"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Demarcating border &lt; 1 mm</w:t>
            </w:r>
          </w:p>
        </w:tc>
        <w:tc>
          <w:tcPr>
            <w:tcW w:w="683" w:type="dxa"/>
          </w:tcPr>
          <w:p w14:paraId="13E64661"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3</w:t>
            </w:r>
          </w:p>
        </w:tc>
      </w:tr>
      <w:tr w:rsidR="00325724" w14:paraId="3381B5CA" w14:textId="77777777">
        <w:trPr>
          <w:trHeight w:val="227"/>
        </w:trPr>
        <w:tc>
          <w:tcPr>
            <w:tcW w:w="2268" w:type="dxa"/>
            <w:vMerge/>
            <w:vAlign w:val="center"/>
          </w:tcPr>
          <w:p w14:paraId="5D97BBCF"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210CECD6"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3/4 of graft integrated, 1/4 with a notable border &gt; 1 mm width</w:t>
            </w:r>
          </w:p>
        </w:tc>
        <w:tc>
          <w:tcPr>
            <w:tcW w:w="683" w:type="dxa"/>
          </w:tcPr>
          <w:p w14:paraId="07E69228"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2</w:t>
            </w:r>
          </w:p>
        </w:tc>
      </w:tr>
      <w:tr w:rsidR="00325724" w14:paraId="6AFDC6B4" w14:textId="77777777">
        <w:trPr>
          <w:trHeight w:val="227"/>
        </w:trPr>
        <w:tc>
          <w:tcPr>
            <w:tcW w:w="2268" w:type="dxa"/>
            <w:vMerge/>
            <w:vAlign w:val="center"/>
          </w:tcPr>
          <w:p w14:paraId="1227D523"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1D284F86"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 xml:space="preserve">1/2 of graft integrated with </w:t>
            </w:r>
            <w:r>
              <w:rPr>
                <w:rFonts w:ascii="Times New Roman" w:hAnsi="Times New Roman" w:cs="Times New Roman"/>
                <w:sz w:val="18"/>
                <w:szCs w:val="18"/>
              </w:rPr>
              <w:t>surrounding cartilage, 1/2 with a notable border &gt; 1 mm</w:t>
            </w:r>
          </w:p>
        </w:tc>
        <w:tc>
          <w:tcPr>
            <w:tcW w:w="683" w:type="dxa"/>
          </w:tcPr>
          <w:p w14:paraId="2E7F76D0"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1</w:t>
            </w:r>
          </w:p>
        </w:tc>
      </w:tr>
      <w:tr w:rsidR="00325724" w14:paraId="6C1D9A80" w14:textId="77777777">
        <w:trPr>
          <w:trHeight w:val="283"/>
        </w:trPr>
        <w:tc>
          <w:tcPr>
            <w:tcW w:w="2268" w:type="dxa"/>
            <w:vMerge/>
            <w:vAlign w:val="center"/>
          </w:tcPr>
          <w:p w14:paraId="24BCC9A0"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798FB7B1"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From no contact to 1/4 of graft integrated with surrounding cartilage</w:t>
            </w:r>
          </w:p>
        </w:tc>
        <w:tc>
          <w:tcPr>
            <w:tcW w:w="683" w:type="dxa"/>
          </w:tcPr>
          <w:p w14:paraId="198706D3"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0</w:t>
            </w:r>
          </w:p>
        </w:tc>
      </w:tr>
      <w:tr w:rsidR="00325724" w14:paraId="59BE4093" w14:textId="77777777">
        <w:trPr>
          <w:trHeight w:val="227"/>
        </w:trPr>
        <w:tc>
          <w:tcPr>
            <w:tcW w:w="2268" w:type="dxa"/>
            <w:vMerge w:val="restart"/>
          </w:tcPr>
          <w:p w14:paraId="2F018B5C"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Macroscopic appearance</w:t>
            </w:r>
          </w:p>
        </w:tc>
        <w:tc>
          <w:tcPr>
            <w:tcW w:w="6521" w:type="dxa"/>
          </w:tcPr>
          <w:p w14:paraId="694C264E"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Intact smooth surface</w:t>
            </w:r>
          </w:p>
        </w:tc>
        <w:tc>
          <w:tcPr>
            <w:tcW w:w="683" w:type="dxa"/>
          </w:tcPr>
          <w:p w14:paraId="29666F08"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4</w:t>
            </w:r>
          </w:p>
        </w:tc>
      </w:tr>
      <w:tr w:rsidR="00325724" w14:paraId="774B38FF" w14:textId="77777777">
        <w:trPr>
          <w:trHeight w:val="227"/>
        </w:trPr>
        <w:tc>
          <w:tcPr>
            <w:tcW w:w="2268" w:type="dxa"/>
            <w:vMerge/>
            <w:vAlign w:val="center"/>
          </w:tcPr>
          <w:p w14:paraId="72C029DB"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5112AA52"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Fibrillated surface</w:t>
            </w:r>
          </w:p>
        </w:tc>
        <w:tc>
          <w:tcPr>
            <w:tcW w:w="683" w:type="dxa"/>
          </w:tcPr>
          <w:p w14:paraId="541CFE0E"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3</w:t>
            </w:r>
          </w:p>
        </w:tc>
      </w:tr>
      <w:tr w:rsidR="00325724" w14:paraId="09AC6473" w14:textId="77777777">
        <w:trPr>
          <w:trHeight w:val="227"/>
        </w:trPr>
        <w:tc>
          <w:tcPr>
            <w:tcW w:w="2268" w:type="dxa"/>
            <w:vMerge/>
            <w:vAlign w:val="center"/>
          </w:tcPr>
          <w:p w14:paraId="1BD68DA5"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1104A1ED"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Small, scattered fissures or cracks</w:t>
            </w:r>
          </w:p>
        </w:tc>
        <w:tc>
          <w:tcPr>
            <w:tcW w:w="683" w:type="dxa"/>
          </w:tcPr>
          <w:p w14:paraId="79C4B04D"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2</w:t>
            </w:r>
          </w:p>
        </w:tc>
      </w:tr>
      <w:tr w:rsidR="00325724" w14:paraId="00847FA2" w14:textId="77777777">
        <w:trPr>
          <w:trHeight w:val="227"/>
        </w:trPr>
        <w:tc>
          <w:tcPr>
            <w:tcW w:w="2268" w:type="dxa"/>
            <w:vMerge/>
            <w:vAlign w:val="center"/>
          </w:tcPr>
          <w:p w14:paraId="3596479A"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61459EC8"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 xml:space="preserve">Several, </w:t>
            </w:r>
            <w:r>
              <w:rPr>
                <w:rFonts w:ascii="Times New Roman" w:hAnsi="Times New Roman" w:cs="Times New Roman"/>
                <w:sz w:val="18"/>
                <w:szCs w:val="18"/>
              </w:rPr>
              <w:t>small or few but large fissures</w:t>
            </w:r>
          </w:p>
        </w:tc>
        <w:tc>
          <w:tcPr>
            <w:tcW w:w="683" w:type="dxa"/>
          </w:tcPr>
          <w:p w14:paraId="46E95591"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1</w:t>
            </w:r>
          </w:p>
        </w:tc>
      </w:tr>
      <w:tr w:rsidR="00325724" w14:paraId="2ACC9A70" w14:textId="77777777">
        <w:trPr>
          <w:trHeight w:val="283"/>
        </w:trPr>
        <w:tc>
          <w:tcPr>
            <w:tcW w:w="2268" w:type="dxa"/>
            <w:vMerge/>
            <w:vAlign w:val="center"/>
          </w:tcPr>
          <w:p w14:paraId="7621292A"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71351CC1"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Total degeneration of grafted area</w:t>
            </w:r>
          </w:p>
        </w:tc>
        <w:tc>
          <w:tcPr>
            <w:tcW w:w="683" w:type="dxa"/>
          </w:tcPr>
          <w:p w14:paraId="1D9CFE18"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0</w:t>
            </w:r>
          </w:p>
        </w:tc>
      </w:tr>
      <w:tr w:rsidR="00325724" w14:paraId="3F7A801E" w14:textId="77777777">
        <w:trPr>
          <w:trHeight w:val="227"/>
        </w:trPr>
        <w:tc>
          <w:tcPr>
            <w:tcW w:w="2268" w:type="dxa"/>
            <w:vMerge w:val="restart"/>
          </w:tcPr>
          <w:p w14:paraId="40639CE2"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Overall score</w:t>
            </w:r>
          </w:p>
        </w:tc>
        <w:tc>
          <w:tcPr>
            <w:tcW w:w="6521" w:type="dxa"/>
          </w:tcPr>
          <w:p w14:paraId="4886521C"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Grade I normal</w:t>
            </w:r>
          </w:p>
        </w:tc>
        <w:tc>
          <w:tcPr>
            <w:tcW w:w="683" w:type="dxa"/>
          </w:tcPr>
          <w:p w14:paraId="6408C500"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12</w:t>
            </w:r>
          </w:p>
        </w:tc>
      </w:tr>
      <w:tr w:rsidR="00325724" w14:paraId="7D10F604" w14:textId="77777777">
        <w:trPr>
          <w:trHeight w:val="227"/>
        </w:trPr>
        <w:tc>
          <w:tcPr>
            <w:tcW w:w="2268" w:type="dxa"/>
            <w:vMerge/>
            <w:vAlign w:val="center"/>
          </w:tcPr>
          <w:p w14:paraId="5991E70C"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4D59A3A1"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Grade II nearly normal</w:t>
            </w:r>
          </w:p>
        </w:tc>
        <w:tc>
          <w:tcPr>
            <w:tcW w:w="683" w:type="dxa"/>
          </w:tcPr>
          <w:p w14:paraId="02E74364"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11–8</w:t>
            </w:r>
          </w:p>
        </w:tc>
      </w:tr>
      <w:tr w:rsidR="00325724" w14:paraId="05B2B28D" w14:textId="77777777">
        <w:trPr>
          <w:trHeight w:val="227"/>
        </w:trPr>
        <w:tc>
          <w:tcPr>
            <w:tcW w:w="2268" w:type="dxa"/>
            <w:vMerge/>
            <w:vAlign w:val="center"/>
          </w:tcPr>
          <w:p w14:paraId="0EBAFB7C"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364E6A30"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Grade III abnormal</w:t>
            </w:r>
          </w:p>
        </w:tc>
        <w:tc>
          <w:tcPr>
            <w:tcW w:w="683" w:type="dxa"/>
          </w:tcPr>
          <w:p w14:paraId="794C785E"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7–4</w:t>
            </w:r>
          </w:p>
        </w:tc>
      </w:tr>
      <w:tr w:rsidR="00325724" w14:paraId="0A16490B" w14:textId="77777777">
        <w:trPr>
          <w:trHeight w:val="227"/>
        </w:trPr>
        <w:tc>
          <w:tcPr>
            <w:tcW w:w="2268" w:type="dxa"/>
            <w:vMerge/>
            <w:vAlign w:val="center"/>
          </w:tcPr>
          <w:p w14:paraId="33787D33" w14:textId="77777777" w:rsidR="00325724" w:rsidRDefault="00325724">
            <w:pPr>
              <w:widowControl/>
              <w:adjustRightInd w:val="0"/>
              <w:snapToGrid w:val="0"/>
              <w:jc w:val="left"/>
              <w:rPr>
                <w:rFonts w:ascii="Times New Roman" w:hAnsi="Times New Roman" w:cs="Times New Roman"/>
                <w:sz w:val="18"/>
                <w:szCs w:val="18"/>
              </w:rPr>
            </w:pPr>
          </w:p>
        </w:tc>
        <w:tc>
          <w:tcPr>
            <w:tcW w:w="6521" w:type="dxa"/>
          </w:tcPr>
          <w:p w14:paraId="3067ED49"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Grade IV severely abnormal</w:t>
            </w:r>
          </w:p>
        </w:tc>
        <w:tc>
          <w:tcPr>
            <w:tcW w:w="683" w:type="dxa"/>
          </w:tcPr>
          <w:p w14:paraId="1E06E89B"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3–1</w:t>
            </w:r>
          </w:p>
        </w:tc>
      </w:tr>
    </w:tbl>
    <w:p w14:paraId="117A67D3" w14:textId="77777777" w:rsidR="00325724" w:rsidRDefault="00325724">
      <w:pPr>
        <w:suppressLineNumbers/>
        <w:adjustRightInd w:val="0"/>
        <w:snapToGrid w:val="0"/>
        <w:rPr>
          <w:rFonts w:ascii="Times New Roman" w:hAnsi="Times New Roman" w:cs="Times New Roman"/>
          <w:b/>
          <w:bCs/>
          <w:sz w:val="24"/>
          <w:szCs w:val="24"/>
        </w:rPr>
      </w:pPr>
    </w:p>
    <w:p w14:paraId="77CFE0AB"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b/>
          <w:bCs/>
          <w:sz w:val="18"/>
          <w:szCs w:val="18"/>
        </w:rPr>
        <w:t>Table S3</w:t>
      </w:r>
    </w:p>
    <w:p w14:paraId="69A17A97" w14:textId="77777777" w:rsidR="00325724" w:rsidRDefault="007426C1">
      <w:pPr>
        <w:suppressLineNumbers/>
        <w:adjustRightInd w:val="0"/>
        <w:snapToGrid w:val="0"/>
        <w:rPr>
          <w:rFonts w:ascii="Times New Roman" w:hAnsi="Times New Roman" w:cs="Times New Roman"/>
          <w:sz w:val="18"/>
          <w:szCs w:val="18"/>
        </w:rPr>
      </w:pPr>
      <w:r>
        <w:rPr>
          <w:rFonts w:ascii="Times New Roman" w:hAnsi="Times New Roman" w:cs="Times New Roman"/>
          <w:sz w:val="18"/>
          <w:szCs w:val="18"/>
        </w:rPr>
        <w:t xml:space="preserve">Histology scoring system for the evaluation of </w:t>
      </w:r>
      <w:r>
        <w:rPr>
          <w:rFonts w:ascii="Times New Roman" w:hAnsi="Times New Roman" w:cs="Times New Roman"/>
          <w:sz w:val="18"/>
          <w:szCs w:val="18"/>
        </w:rPr>
        <w:t>overall tissue, subchondral bone, and cartilage in rabbit osteochondral defects.</w:t>
      </w:r>
    </w:p>
    <w:tbl>
      <w:tblPr>
        <w:tblW w:w="10352" w:type="dxa"/>
        <w:tblBorders>
          <w:top w:val="single" w:sz="4" w:space="0" w:color="auto"/>
          <w:bottom w:val="single" w:sz="4" w:space="0" w:color="auto"/>
        </w:tblBorders>
        <w:tblLayout w:type="fixed"/>
        <w:tblLook w:val="04A0" w:firstRow="1" w:lastRow="0" w:firstColumn="1" w:lastColumn="0" w:noHBand="0" w:noVBand="1"/>
      </w:tblPr>
      <w:tblGrid>
        <w:gridCol w:w="4536"/>
        <w:gridCol w:w="5245"/>
        <w:gridCol w:w="571"/>
      </w:tblGrid>
      <w:tr w:rsidR="00325724" w14:paraId="60F38091" w14:textId="77777777">
        <w:trPr>
          <w:trHeight w:val="227"/>
        </w:trPr>
        <w:tc>
          <w:tcPr>
            <w:tcW w:w="4536" w:type="dxa"/>
            <w:tcBorders>
              <w:top w:val="single" w:sz="4" w:space="0" w:color="auto"/>
              <w:bottom w:val="single" w:sz="4" w:space="0" w:color="auto"/>
            </w:tcBorders>
            <w:shd w:val="clear" w:color="auto" w:fill="auto"/>
            <w:tcMar>
              <w:left w:w="57" w:type="dxa"/>
              <w:right w:w="57" w:type="dxa"/>
            </w:tcMar>
          </w:tcPr>
          <w:p w14:paraId="72E8D4A2"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hint="eastAsia"/>
                <w:sz w:val="18"/>
                <w:szCs w:val="18"/>
              </w:rPr>
              <w:t>I</w:t>
            </w:r>
            <w:r>
              <w:rPr>
                <w:rFonts w:ascii="Times New Roman" w:hAnsi="Times New Roman" w:cs="Times New Roman"/>
                <w:sz w:val="18"/>
                <w:szCs w:val="18"/>
              </w:rPr>
              <w:t>tem</w:t>
            </w:r>
          </w:p>
        </w:tc>
        <w:tc>
          <w:tcPr>
            <w:tcW w:w="5245" w:type="dxa"/>
            <w:tcBorders>
              <w:top w:val="single" w:sz="4" w:space="0" w:color="auto"/>
              <w:bottom w:val="single" w:sz="4" w:space="0" w:color="auto"/>
            </w:tcBorders>
            <w:shd w:val="clear" w:color="auto" w:fill="auto"/>
            <w:tcMar>
              <w:left w:w="57" w:type="dxa"/>
              <w:right w:w="57" w:type="dxa"/>
            </w:tcMar>
          </w:tcPr>
          <w:p w14:paraId="69324CA0" w14:textId="77777777" w:rsidR="00325724" w:rsidRDefault="007426C1">
            <w:pPr>
              <w:adjustRightInd w:val="0"/>
              <w:snapToGrid w:val="0"/>
              <w:jc w:val="left"/>
              <w:rPr>
                <w:rFonts w:ascii="Times New Roman" w:hAnsi="Times New Roman" w:cs="Times New Roman"/>
                <w:bCs/>
                <w:kern w:val="0"/>
                <w:sz w:val="18"/>
                <w:szCs w:val="18"/>
              </w:rPr>
            </w:pPr>
            <w:r>
              <w:rPr>
                <w:rFonts w:ascii="Times New Roman" w:hAnsi="Times New Roman" w:cs="Times New Roman"/>
                <w:bCs/>
                <w:kern w:val="0"/>
                <w:sz w:val="18"/>
                <w:szCs w:val="18"/>
              </w:rPr>
              <w:t>Category</w:t>
            </w:r>
          </w:p>
        </w:tc>
        <w:tc>
          <w:tcPr>
            <w:tcW w:w="567" w:type="dxa"/>
            <w:tcBorders>
              <w:top w:val="single" w:sz="4" w:space="0" w:color="auto"/>
              <w:bottom w:val="single" w:sz="4" w:space="0" w:color="auto"/>
            </w:tcBorders>
            <w:shd w:val="clear" w:color="auto" w:fill="auto"/>
            <w:tcMar>
              <w:left w:w="57" w:type="dxa"/>
              <w:right w:w="57" w:type="dxa"/>
            </w:tcMar>
          </w:tcPr>
          <w:p w14:paraId="49B2870B" w14:textId="77777777" w:rsidR="00325724" w:rsidRDefault="007426C1">
            <w:pPr>
              <w:adjustRightInd w:val="0"/>
              <w:snapToGrid w:val="0"/>
              <w:jc w:val="left"/>
              <w:rPr>
                <w:rFonts w:ascii="Times New Roman" w:hAnsi="Times New Roman" w:cs="Times New Roman"/>
                <w:bCs/>
                <w:kern w:val="0"/>
                <w:sz w:val="18"/>
                <w:szCs w:val="18"/>
              </w:rPr>
            </w:pPr>
            <w:r>
              <w:rPr>
                <w:rFonts w:ascii="Times New Roman" w:hAnsi="Times New Roman" w:cs="Times New Roman"/>
                <w:bCs/>
                <w:kern w:val="0"/>
                <w:sz w:val="18"/>
                <w:szCs w:val="18"/>
              </w:rPr>
              <w:t>Score</w:t>
            </w:r>
          </w:p>
        </w:tc>
      </w:tr>
      <w:tr w:rsidR="00325724" w14:paraId="0DB17FDD" w14:textId="77777777">
        <w:trPr>
          <w:trHeight w:val="227"/>
        </w:trPr>
        <w:tc>
          <w:tcPr>
            <w:tcW w:w="10352" w:type="dxa"/>
            <w:gridSpan w:val="3"/>
            <w:tcBorders>
              <w:top w:val="single" w:sz="4" w:space="0" w:color="auto"/>
            </w:tcBorders>
            <w:shd w:val="clear" w:color="auto" w:fill="auto"/>
            <w:tcMar>
              <w:left w:w="57" w:type="dxa"/>
              <w:right w:w="57" w:type="dxa"/>
            </w:tcMar>
          </w:tcPr>
          <w:p w14:paraId="31F13601"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bCs/>
                <w:kern w:val="0"/>
                <w:sz w:val="18"/>
                <w:szCs w:val="18"/>
              </w:rPr>
              <w:t>Overall defect evaluation (throughout the entire defect)</w:t>
            </w:r>
          </w:p>
        </w:tc>
      </w:tr>
      <w:tr w:rsidR="00325724" w14:paraId="7D8FB8D3" w14:textId="77777777">
        <w:trPr>
          <w:trHeight w:val="227"/>
        </w:trPr>
        <w:tc>
          <w:tcPr>
            <w:tcW w:w="4536" w:type="dxa"/>
            <w:vMerge w:val="restart"/>
            <w:shd w:val="clear" w:color="auto" w:fill="auto"/>
            <w:tcMar>
              <w:left w:w="57" w:type="dxa"/>
              <w:right w:w="57" w:type="dxa"/>
            </w:tcMar>
          </w:tcPr>
          <w:p w14:paraId="6D82EDF1" w14:textId="77777777" w:rsidR="00325724" w:rsidRDefault="007426C1">
            <w:pPr>
              <w:adjustRightInd w:val="0"/>
              <w:snapToGrid w:val="0"/>
              <w:jc w:val="left"/>
              <w:rPr>
                <w:rFonts w:ascii="Times New Roman" w:hAnsi="Times New Roman" w:cs="Times New Roman"/>
                <w:kern w:val="0"/>
                <w:sz w:val="18"/>
                <w:szCs w:val="18"/>
              </w:rPr>
            </w:pPr>
            <w:r>
              <w:rPr>
                <w:rFonts w:ascii="Times New Roman" w:hAnsi="Times New Roman" w:cs="Times New Roman"/>
                <w:kern w:val="0"/>
                <w:sz w:val="18"/>
                <w:szCs w:val="18"/>
              </w:rPr>
              <w:t xml:space="preserve">1. Percentage filling with neo-formed tissue </w:t>
            </w:r>
          </w:p>
        </w:tc>
        <w:tc>
          <w:tcPr>
            <w:tcW w:w="5245" w:type="dxa"/>
            <w:shd w:val="clear" w:color="auto" w:fill="auto"/>
            <w:tcMar>
              <w:left w:w="57" w:type="dxa"/>
              <w:right w:w="57" w:type="dxa"/>
            </w:tcMar>
          </w:tcPr>
          <w:p w14:paraId="52EF1A48"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0–25%</w:t>
            </w:r>
          </w:p>
        </w:tc>
        <w:tc>
          <w:tcPr>
            <w:tcW w:w="567" w:type="dxa"/>
            <w:shd w:val="clear" w:color="auto" w:fill="auto"/>
            <w:tcMar>
              <w:left w:w="57" w:type="dxa"/>
              <w:right w:w="57" w:type="dxa"/>
            </w:tcMar>
          </w:tcPr>
          <w:p w14:paraId="39D00D01"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63D0A332" w14:textId="77777777">
        <w:trPr>
          <w:trHeight w:val="227"/>
        </w:trPr>
        <w:tc>
          <w:tcPr>
            <w:tcW w:w="4536" w:type="dxa"/>
            <w:vMerge/>
            <w:shd w:val="clear" w:color="auto" w:fill="auto"/>
            <w:tcMar>
              <w:left w:w="57" w:type="dxa"/>
              <w:right w:w="57" w:type="dxa"/>
            </w:tcMar>
            <w:vAlign w:val="center"/>
          </w:tcPr>
          <w:p w14:paraId="0DB27236" w14:textId="77777777" w:rsidR="00325724" w:rsidRDefault="00325724">
            <w:pPr>
              <w:adjustRightInd w:val="0"/>
              <w:snapToGrid w:val="0"/>
              <w:jc w:val="left"/>
              <w:rPr>
                <w:rFonts w:ascii="Times New Roman" w:hAnsi="Times New Roman" w:cs="Times New Roman"/>
                <w:kern w:val="0"/>
                <w:sz w:val="18"/>
                <w:szCs w:val="18"/>
              </w:rPr>
            </w:pPr>
          </w:p>
        </w:tc>
        <w:tc>
          <w:tcPr>
            <w:tcW w:w="5245" w:type="dxa"/>
            <w:shd w:val="clear" w:color="auto" w:fill="auto"/>
            <w:tcMar>
              <w:left w:w="57" w:type="dxa"/>
              <w:right w:w="57" w:type="dxa"/>
            </w:tcMar>
          </w:tcPr>
          <w:p w14:paraId="11D4495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25%–50%</w:t>
            </w:r>
          </w:p>
        </w:tc>
        <w:tc>
          <w:tcPr>
            <w:tcW w:w="567" w:type="dxa"/>
            <w:shd w:val="clear" w:color="auto" w:fill="auto"/>
            <w:tcMar>
              <w:left w:w="57" w:type="dxa"/>
              <w:right w:w="57" w:type="dxa"/>
            </w:tcMar>
          </w:tcPr>
          <w:p w14:paraId="180DC87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5A0A614B" w14:textId="77777777">
        <w:trPr>
          <w:trHeight w:val="227"/>
        </w:trPr>
        <w:tc>
          <w:tcPr>
            <w:tcW w:w="4536" w:type="dxa"/>
            <w:vMerge/>
            <w:shd w:val="clear" w:color="auto" w:fill="auto"/>
            <w:tcMar>
              <w:left w:w="57" w:type="dxa"/>
              <w:right w:w="57" w:type="dxa"/>
            </w:tcMar>
            <w:vAlign w:val="center"/>
          </w:tcPr>
          <w:p w14:paraId="56119BD1" w14:textId="77777777" w:rsidR="00325724" w:rsidRDefault="00325724">
            <w:pPr>
              <w:adjustRightInd w:val="0"/>
              <w:snapToGrid w:val="0"/>
              <w:jc w:val="left"/>
              <w:rPr>
                <w:rFonts w:ascii="Times New Roman" w:hAnsi="Times New Roman" w:cs="Times New Roman"/>
                <w:kern w:val="0"/>
                <w:sz w:val="18"/>
                <w:szCs w:val="18"/>
              </w:rPr>
            </w:pPr>
          </w:p>
        </w:tc>
        <w:tc>
          <w:tcPr>
            <w:tcW w:w="5245" w:type="dxa"/>
            <w:shd w:val="clear" w:color="auto" w:fill="auto"/>
            <w:tcMar>
              <w:left w:w="57" w:type="dxa"/>
              <w:right w:w="57" w:type="dxa"/>
            </w:tcMar>
          </w:tcPr>
          <w:p w14:paraId="7C9374E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50%–75%</w:t>
            </w:r>
          </w:p>
        </w:tc>
        <w:tc>
          <w:tcPr>
            <w:tcW w:w="567" w:type="dxa"/>
            <w:shd w:val="clear" w:color="auto" w:fill="auto"/>
            <w:tcMar>
              <w:left w:w="57" w:type="dxa"/>
              <w:right w:w="57" w:type="dxa"/>
            </w:tcMar>
          </w:tcPr>
          <w:p w14:paraId="3FF94CF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217AB957" w14:textId="77777777">
        <w:trPr>
          <w:trHeight w:val="283"/>
        </w:trPr>
        <w:tc>
          <w:tcPr>
            <w:tcW w:w="4536" w:type="dxa"/>
            <w:vMerge/>
            <w:shd w:val="clear" w:color="auto" w:fill="auto"/>
            <w:tcMar>
              <w:left w:w="57" w:type="dxa"/>
              <w:right w:w="57" w:type="dxa"/>
            </w:tcMar>
            <w:vAlign w:val="center"/>
          </w:tcPr>
          <w:p w14:paraId="5B43519C" w14:textId="77777777" w:rsidR="00325724" w:rsidRDefault="00325724">
            <w:pPr>
              <w:adjustRightInd w:val="0"/>
              <w:snapToGrid w:val="0"/>
              <w:jc w:val="left"/>
              <w:rPr>
                <w:rFonts w:ascii="Times New Roman" w:hAnsi="Times New Roman" w:cs="Times New Roman"/>
                <w:kern w:val="0"/>
                <w:sz w:val="18"/>
                <w:szCs w:val="18"/>
              </w:rPr>
            </w:pPr>
          </w:p>
        </w:tc>
        <w:tc>
          <w:tcPr>
            <w:tcW w:w="5245" w:type="dxa"/>
            <w:shd w:val="clear" w:color="auto" w:fill="auto"/>
            <w:tcMar>
              <w:left w:w="57" w:type="dxa"/>
              <w:right w:w="57" w:type="dxa"/>
            </w:tcMar>
          </w:tcPr>
          <w:p w14:paraId="409EC5E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75%–100%</w:t>
            </w:r>
          </w:p>
        </w:tc>
        <w:tc>
          <w:tcPr>
            <w:tcW w:w="567" w:type="dxa"/>
            <w:shd w:val="clear" w:color="auto" w:fill="auto"/>
            <w:tcMar>
              <w:left w:w="57" w:type="dxa"/>
              <w:right w:w="57" w:type="dxa"/>
            </w:tcMar>
          </w:tcPr>
          <w:p w14:paraId="261C29C2"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0166729F" w14:textId="77777777">
        <w:trPr>
          <w:trHeight w:val="227"/>
        </w:trPr>
        <w:tc>
          <w:tcPr>
            <w:tcW w:w="4536" w:type="dxa"/>
            <w:vMerge w:val="restart"/>
            <w:shd w:val="clear" w:color="auto" w:fill="auto"/>
            <w:tcMar>
              <w:left w:w="57" w:type="dxa"/>
              <w:right w:w="57" w:type="dxa"/>
            </w:tcMar>
          </w:tcPr>
          <w:p w14:paraId="7C250B7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r>
              <w:rPr>
                <w:rFonts w:ascii="Times New Roman" w:hAnsi="Times New Roman" w:cs="Times New Roman"/>
                <w:kern w:val="0"/>
                <w:sz w:val="18"/>
                <w:szCs w:val="18"/>
              </w:rPr>
              <w:t xml:space="preserve"> </w:t>
            </w:r>
            <w:r>
              <w:rPr>
                <w:rFonts w:ascii="Times New Roman" w:hAnsi="Times New Roman" w:cs="Times New Roman"/>
                <w:sz w:val="18"/>
                <w:szCs w:val="18"/>
              </w:rPr>
              <w:t>Percentage degradation of scaffold</w:t>
            </w:r>
          </w:p>
        </w:tc>
        <w:tc>
          <w:tcPr>
            <w:tcW w:w="5245" w:type="dxa"/>
            <w:shd w:val="clear" w:color="auto" w:fill="auto"/>
            <w:tcMar>
              <w:left w:w="57" w:type="dxa"/>
              <w:right w:w="57" w:type="dxa"/>
            </w:tcMar>
          </w:tcPr>
          <w:p w14:paraId="3436557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0–25%</w:t>
            </w:r>
          </w:p>
        </w:tc>
        <w:tc>
          <w:tcPr>
            <w:tcW w:w="567" w:type="dxa"/>
            <w:shd w:val="clear" w:color="auto" w:fill="auto"/>
            <w:tcMar>
              <w:left w:w="57" w:type="dxa"/>
              <w:right w:w="57" w:type="dxa"/>
            </w:tcMar>
          </w:tcPr>
          <w:p w14:paraId="2379596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070C902F" w14:textId="77777777">
        <w:trPr>
          <w:trHeight w:val="227"/>
        </w:trPr>
        <w:tc>
          <w:tcPr>
            <w:tcW w:w="4536" w:type="dxa"/>
            <w:vMerge/>
            <w:shd w:val="clear" w:color="auto" w:fill="auto"/>
            <w:tcMar>
              <w:left w:w="57" w:type="dxa"/>
              <w:right w:w="57" w:type="dxa"/>
            </w:tcMar>
            <w:vAlign w:val="center"/>
          </w:tcPr>
          <w:p w14:paraId="524800D2"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2F5467E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25%–50%</w:t>
            </w:r>
          </w:p>
        </w:tc>
        <w:tc>
          <w:tcPr>
            <w:tcW w:w="567" w:type="dxa"/>
            <w:shd w:val="clear" w:color="auto" w:fill="auto"/>
            <w:tcMar>
              <w:left w:w="57" w:type="dxa"/>
              <w:right w:w="57" w:type="dxa"/>
            </w:tcMar>
          </w:tcPr>
          <w:p w14:paraId="5424137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72A34719" w14:textId="77777777">
        <w:trPr>
          <w:trHeight w:val="227"/>
        </w:trPr>
        <w:tc>
          <w:tcPr>
            <w:tcW w:w="4536" w:type="dxa"/>
            <w:vMerge/>
            <w:shd w:val="clear" w:color="auto" w:fill="auto"/>
            <w:tcMar>
              <w:left w:w="57" w:type="dxa"/>
              <w:right w:w="57" w:type="dxa"/>
            </w:tcMar>
            <w:vAlign w:val="center"/>
          </w:tcPr>
          <w:p w14:paraId="08041286"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1F47620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50%–75%</w:t>
            </w:r>
          </w:p>
        </w:tc>
        <w:tc>
          <w:tcPr>
            <w:tcW w:w="567" w:type="dxa"/>
            <w:shd w:val="clear" w:color="auto" w:fill="auto"/>
            <w:tcMar>
              <w:left w:w="57" w:type="dxa"/>
              <w:right w:w="57" w:type="dxa"/>
            </w:tcMar>
          </w:tcPr>
          <w:p w14:paraId="1088FEC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28848ED8" w14:textId="77777777">
        <w:trPr>
          <w:trHeight w:val="283"/>
        </w:trPr>
        <w:tc>
          <w:tcPr>
            <w:tcW w:w="4536" w:type="dxa"/>
            <w:vMerge/>
            <w:shd w:val="clear" w:color="auto" w:fill="auto"/>
            <w:tcMar>
              <w:left w:w="57" w:type="dxa"/>
              <w:right w:w="57" w:type="dxa"/>
            </w:tcMar>
            <w:vAlign w:val="center"/>
          </w:tcPr>
          <w:p w14:paraId="7CEB815D"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71CED39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75%–100%</w:t>
            </w:r>
          </w:p>
        </w:tc>
        <w:tc>
          <w:tcPr>
            <w:tcW w:w="567" w:type="dxa"/>
            <w:shd w:val="clear" w:color="auto" w:fill="auto"/>
            <w:tcMar>
              <w:left w:w="57" w:type="dxa"/>
              <w:right w:w="57" w:type="dxa"/>
            </w:tcMar>
          </w:tcPr>
          <w:p w14:paraId="2697CC47"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092CD336" w14:textId="77777777">
        <w:tc>
          <w:tcPr>
            <w:tcW w:w="10352" w:type="dxa"/>
            <w:gridSpan w:val="3"/>
            <w:shd w:val="clear" w:color="auto" w:fill="auto"/>
            <w:tcMar>
              <w:left w:w="57" w:type="dxa"/>
              <w:right w:w="57" w:type="dxa"/>
            </w:tcMar>
          </w:tcPr>
          <w:p w14:paraId="1663AE92"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b/>
                <w:bCs/>
                <w:kern w:val="0"/>
                <w:sz w:val="18"/>
                <w:szCs w:val="18"/>
              </w:rPr>
              <w:t>Subchondral bone evaluation (within the bottom of defect)</w:t>
            </w:r>
          </w:p>
        </w:tc>
      </w:tr>
      <w:tr w:rsidR="00325724" w14:paraId="16C25745" w14:textId="77777777">
        <w:trPr>
          <w:trHeight w:val="227"/>
        </w:trPr>
        <w:tc>
          <w:tcPr>
            <w:tcW w:w="4536" w:type="dxa"/>
            <w:vMerge w:val="restart"/>
            <w:shd w:val="clear" w:color="auto" w:fill="auto"/>
            <w:tcMar>
              <w:left w:w="57" w:type="dxa"/>
              <w:right w:w="57" w:type="dxa"/>
            </w:tcMar>
          </w:tcPr>
          <w:p w14:paraId="17AF6CA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r>
              <w:rPr>
                <w:rFonts w:ascii="Times New Roman" w:hAnsi="Times New Roman" w:cs="Times New Roman"/>
                <w:kern w:val="0"/>
                <w:sz w:val="18"/>
                <w:szCs w:val="18"/>
              </w:rPr>
              <w:t xml:space="preserve"> </w:t>
            </w:r>
            <w:r>
              <w:rPr>
                <w:rFonts w:ascii="Times New Roman" w:hAnsi="Times New Roman" w:cs="Times New Roman"/>
                <w:sz w:val="18"/>
                <w:szCs w:val="18"/>
              </w:rPr>
              <w:t>Percentage filling with neo-formed tissue in sub-chondral bone</w:t>
            </w:r>
          </w:p>
        </w:tc>
        <w:tc>
          <w:tcPr>
            <w:tcW w:w="5245" w:type="dxa"/>
            <w:shd w:val="clear" w:color="auto" w:fill="auto"/>
            <w:tcMar>
              <w:left w:w="57" w:type="dxa"/>
              <w:right w:w="57" w:type="dxa"/>
            </w:tcMar>
          </w:tcPr>
          <w:p w14:paraId="3FE6FDD5"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0–25%</w:t>
            </w:r>
          </w:p>
        </w:tc>
        <w:tc>
          <w:tcPr>
            <w:tcW w:w="567" w:type="dxa"/>
            <w:shd w:val="clear" w:color="auto" w:fill="auto"/>
            <w:tcMar>
              <w:left w:w="57" w:type="dxa"/>
              <w:right w:w="57" w:type="dxa"/>
            </w:tcMar>
          </w:tcPr>
          <w:p w14:paraId="1BA4A7B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6C11A1FC" w14:textId="77777777">
        <w:trPr>
          <w:trHeight w:val="227"/>
        </w:trPr>
        <w:tc>
          <w:tcPr>
            <w:tcW w:w="4536" w:type="dxa"/>
            <w:vMerge/>
            <w:shd w:val="clear" w:color="auto" w:fill="auto"/>
            <w:tcMar>
              <w:left w:w="57" w:type="dxa"/>
              <w:right w:w="57" w:type="dxa"/>
            </w:tcMar>
            <w:vAlign w:val="center"/>
          </w:tcPr>
          <w:p w14:paraId="389AB25B"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21B9210E"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25%–50%</w:t>
            </w:r>
          </w:p>
        </w:tc>
        <w:tc>
          <w:tcPr>
            <w:tcW w:w="567" w:type="dxa"/>
            <w:shd w:val="clear" w:color="auto" w:fill="auto"/>
            <w:tcMar>
              <w:left w:w="57" w:type="dxa"/>
              <w:right w:w="57" w:type="dxa"/>
            </w:tcMar>
          </w:tcPr>
          <w:p w14:paraId="5635E15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403DDC50" w14:textId="77777777">
        <w:trPr>
          <w:trHeight w:val="227"/>
        </w:trPr>
        <w:tc>
          <w:tcPr>
            <w:tcW w:w="4536" w:type="dxa"/>
            <w:vMerge/>
            <w:shd w:val="clear" w:color="auto" w:fill="auto"/>
            <w:tcMar>
              <w:left w:w="57" w:type="dxa"/>
              <w:right w:w="57" w:type="dxa"/>
            </w:tcMar>
            <w:vAlign w:val="center"/>
          </w:tcPr>
          <w:p w14:paraId="7B803E46"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01E1FBD8"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50%–75%</w:t>
            </w:r>
          </w:p>
        </w:tc>
        <w:tc>
          <w:tcPr>
            <w:tcW w:w="567" w:type="dxa"/>
            <w:shd w:val="clear" w:color="auto" w:fill="auto"/>
            <w:tcMar>
              <w:left w:w="57" w:type="dxa"/>
              <w:right w:w="57" w:type="dxa"/>
            </w:tcMar>
          </w:tcPr>
          <w:p w14:paraId="55873D0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357F6429" w14:textId="77777777">
        <w:trPr>
          <w:trHeight w:val="283"/>
        </w:trPr>
        <w:tc>
          <w:tcPr>
            <w:tcW w:w="4536" w:type="dxa"/>
            <w:vMerge/>
            <w:shd w:val="clear" w:color="auto" w:fill="auto"/>
            <w:tcMar>
              <w:left w:w="57" w:type="dxa"/>
              <w:right w:w="57" w:type="dxa"/>
            </w:tcMar>
            <w:vAlign w:val="center"/>
          </w:tcPr>
          <w:p w14:paraId="2039C993"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63F6BE1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75%–100%</w:t>
            </w:r>
          </w:p>
        </w:tc>
        <w:tc>
          <w:tcPr>
            <w:tcW w:w="567" w:type="dxa"/>
            <w:shd w:val="clear" w:color="auto" w:fill="auto"/>
            <w:tcMar>
              <w:left w:w="57" w:type="dxa"/>
              <w:right w:w="57" w:type="dxa"/>
            </w:tcMar>
          </w:tcPr>
          <w:p w14:paraId="0BE6EF8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5CC87161" w14:textId="77777777">
        <w:trPr>
          <w:trHeight w:val="227"/>
        </w:trPr>
        <w:tc>
          <w:tcPr>
            <w:tcW w:w="4536" w:type="dxa"/>
            <w:vMerge w:val="restart"/>
            <w:shd w:val="clear" w:color="auto" w:fill="auto"/>
            <w:tcMar>
              <w:left w:w="57" w:type="dxa"/>
              <w:right w:w="57" w:type="dxa"/>
            </w:tcMar>
          </w:tcPr>
          <w:p w14:paraId="73323E2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4.</w:t>
            </w:r>
            <w:r>
              <w:rPr>
                <w:rFonts w:ascii="Times New Roman" w:hAnsi="Times New Roman" w:cs="Times New Roman"/>
                <w:kern w:val="0"/>
                <w:sz w:val="18"/>
                <w:szCs w:val="18"/>
              </w:rPr>
              <w:t xml:space="preserve"> </w:t>
            </w:r>
            <w:r>
              <w:rPr>
                <w:rFonts w:ascii="Times New Roman" w:hAnsi="Times New Roman" w:cs="Times New Roman"/>
                <w:sz w:val="18"/>
                <w:szCs w:val="18"/>
              </w:rPr>
              <w:t>Subchondral bone morphology</w:t>
            </w:r>
          </w:p>
        </w:tc>
        <w:tc>
          <w:tcPr>
            <w:tcW w:w="5245" w:type="dxa"/>
            <w:shd w:val="clear" w:color="auto" w:fill="auto"/>
            <w:tcMar>
              <w:left w:w="57" w:type="dxa"/>
              <w:right w:w="57" w:type="dxa"/>
            </w:tcMar>
          </w:tcPr>
          <w:p w14:paraId="69864B88"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Only fibrous tissue or no tissue</w:t>
            </w:r>
          </w:p>
        </w:tc>
        <w:tc>
          <w:tcPr>
            <w:tcW w:w="567" w:type="dxa"/>
            <w:shd w:val="clear" w:color="auto" w:fill="auto"/>
            <w:tcMar>
              <w:left w:w="57" w:type="dxa"/>
              <w:right w:w="57" w:type="dxa"/>
            </w:tcMar>
          </w:tcPr>
          <w:p w14:paraId="600C8EA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75287BE1" w14:textId="77777777">
        <w:trPr>
          <w:trHeight w:val="227"/>
        </w:trPr>
        <w:tc>
          <w:tcPr>
            <w:tcW w:w="4536" w:type="dxa"/>
            <w:vMerge/>
            <w:shd w:val="clear" w:color="auto" w:fill="auto"/>
            <w:tcMar>
              <w:left w:w="57" w:type="dxa"/>
              <w:right w:w="57" w:type="dxa"/>
            </w:tcMar>
            <w:vAlign w:val="center"/>
          </w:tcPr>
          <w:p w14:paraId="10B28D9A"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2CEF0DF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Compact bone and fibrous tissue</w:t>
            </w:r>
          </w:p>
        </w:tc>
        <w:tc>
          <w:tcPr>
            <w:tcW w:w="567" w:type="dxa"/>
            <w:shd w:val="clear" w:color="auto" w:fill="auto"/>
            <w:tcMar>
              <w:left w:w="57" w:type="dxa"/>
              <w:right w:w="57" w:type="dxa"/>
            </w:tcMar>
          </w:tcPr>
          <w:p w14:paraId="69F8497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7B9018A3" w14:textId="77777777">
        <w:trPr>
          <w:trHeight w:val="227"/>
        </w:trPr>
        <w:tc>
          <w:tcPr>
            <w:tcW w:w="4536" w:type="dxa"/>
            <w:vMerge/>
            <w:shd w:val="clear" w:color="auto" w:fill="auto"/>
            <w:tcMar>
              <w:left w:w="57" w:type="dxa"/>
              <w:right w:w="57" w:type="dxa"/>
            </w:tcMar>
            <w:vAlign w:val="center"/>
          </w:tcPr>
          <w:p w14:paraId="2D255269"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0BD760B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Compact bone</w:t>
            </w:r>
          </w:p>
        </w:tc>
        <w:tc>
          <w:tcPr>
            <w:tcW w:w="567" w:type="dxa"/>
            <w:shd w:val="clear" w:color="auto" w:fill="auto"/>
            <w:tcMar>
              <w:left w:w="57" w:type="dxa"/>
              <w:right w:w="57" w:type="dxa"/>
            </w:tcMar>
          </w:tcPr>
          <w:p w14:paraId="60A6D6E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2B207D2F" w14:textId="77777777">
        <w:trPr>
          <w:trHeight w:val="227"/>
        </w:trPr>
        <w:tc>
          <w:tcPr>
            <w:tcW w:w="4536" w:type="dxa"/>
            <w:vMerge/>
            <w:shd w:val="clear" w:color="auto" w:fill="auto"/>
            <w:tcMar>
              <w:left w:w="57" w:type="dxa"/>
              <w:right w:w="57" w:type="dxa"/>
            </w:tcMar>
            <w:vAlign w:val="center"/>
          </w:tcPr>
          <w:p w14:paraId="620E1D8C"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52907945"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Trabecular, with some compact bone</w:t>
            </w:r>
          </w:p>
        </w:tc>
        <w:tc>
          <w:tcPr>
            <w:tcW w:w="567" w:type="dxa"/>
            <w:shd w:val="clear" w:color="auto" w:fill="auto"/>
            <w:tcMar>
              <w:left w:w="57" w:type="dxa"/>
              <w:right w:w="57" w:type="dxa"/>
            </w:tcMar>
          </w:tcPr>
          <w:p w14:paraId="0B893E1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47E0D7B7" w14:textId="77777777">
        <w:trPr>
          <w:trHeight w:val="283"/>
        </w:trPr>
        <w:tc>
          <w:tcPr>
            <w:tcW w:w="4536" w:type="dxa"/>
            <w:vMerge/>
            <w:shd w:val="clear" w:color="auto" w:fill="auto"/>
            <w:tcMar>
              <w:left w:w="57" w:type="dxa"/>
              <w:right w:w="57" w:type="dxa"/>
            </w:tcMar>
            <w:vAlign w:val="center"/>
          </w:tcPr>
          <w:p w14:paraId="186F32B8"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7CF96A9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Normal, trabecular bone</w:t>
            </w:r>
          </w:p>
        </w:tc>
        <w:tc>
          <w:tcPr>
            <w:tcW w:w="567" w:type="dxa"/>
            <w:shd w:val="clear" w:color="auto" w:fill="auto"/>
            <w:tcMar>
              <w:left w:w="57" w:type="dxa"/>
              <w:right w:w="57" w:type="dxa"/>
            </w:tcMar>
          </w:tcPr>
          <w:p w14:paraId="077C554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4</w:t>
            </w:r>
          </w:p>
        </w:tc>
      </w:tr>
      <w:tr w:rsidR="00325724" w14:paraId="41244341" w14:textId="77777777">
        <w:trPr>
          <w:trHeight w:val="227"/>
        </w:trPr>
        <w:tc>
          <w:tcPr>
            <w:tcW w:w="4536" w:type="dxa"/>
            <w:vMerge w:val="restart"/>
            <w:shd w:val="clear" w:color="auto" w:fill="auto"/>
            <w:tcMar>
              <w:left w:w="57" w:type="dxa"/>
              <w:right w:w="57" w:type="dxa"/>
            </w:tcMar>
          </w:tcPr>
          <w:p w14:paraId="17C06D89"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5.</w:t>
            </w:r>
            <w:r>
              <w:rPr>
                <w:rFonts w:ascii="Times New Roman" w:hAnsi="Times New Roman" w:cs="Times New Roman"/>
                <w:kern w:val="0"/>
                <w:sz w:val="18"/>
                <w:szCs w:val="18"/>
              </w:rPr>
              <w:t xml:space="preserve"> </w:t>
            </w:r>
            <w:r>
              <w:rPr>
                <w:rFonts w:ascii="Times New Roman" w:hAnsi="Times New Roman" w:cs="Times New Roman"/>
                <w:sz w:val="18"/>
                <w:szCs w:val="18"/>
              </w:rPr>
              <w:t>Extent of neo-tissue bonding with adjacent tissue</w:t>
            </w:r>
          </w:p>
        </w:tc>
        <w:tc>
          <w:tcPr>
            <w:tcW w:w="5245" w:type="dxa"/>
            <w:shd w:val="clear" w:color="auto" w:fill="auto"/>
            <w:tcMar>
              <w:left w:w="57" w:type="dxa"/>
              <w:right w:w="57" w:type="dxa"/>
            </w:tcMar>
          </w:tcPr>
          <w:p w14:paraId="4C36E361"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 xml:space="preserve">Without continuity </w:t>
            </w:r>
            <w:r>
              <w:rPr>
                <w:rFonts w:ascii="Times New Roman" w:hAnsi="Times New Roman" w:cs="Times New Roman"/>
                <w:sz w:val="18"/>
                <w:szCs w:val="18"/>
              </w:rPr>
              <w:t>on either edge</w:t>
            </w:r>
          </w:p>
        </w:tc>
        <w:tc>
          <w:tcPr>
            <w:tcW w:w="567" w:type="dxa"/>
            <w:shd w:val="clear" w:color="auto" w:fill="auto"/>
            <w:tcMar>
              <w:left w:w="57" w:type="dxa"/>
              <w:right w:w="57" w:type="dxa"/>
            </w:tcMar>
          </w:tcPr>
          <w:p w14:paraId="70BDEC6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4407E1CD" w14:textId="77777777">
        <w:trPr>
          <w:trHeight w:val="227"/>
        </w:trPr>
        <w:tc>
          <w:tcPr>
            <w:tcW w:w="4536" w:type="dxa"/>
            <w:vMerge/>
            <w:shd w:val="clear" w:color="auto" w:fill="auto"/>
            <w:tcMar>
              <w:left w:w="57" w:type="dxa"/>
              <w:right w:w="57" w:type="dxa"/>
            </w:tcMar>
            <w:vAlign w:val="center"/>
          </w:tcPr>
          <w:p w14:paraId="2734E1DE"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32C9BF8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Partial on both edges</w:t>
            </w:r>
          </w:p>
        </w:tc>
        <w:tc>
          <w:tcPr>
            <w:tcW w:w="567" w:type="dxa"/>
            <w:shd w:val="clear" w:color="auto" w:fill="auto"/>
            <w:tcMar>
              <w:left w:w="57" w:type="dxa"/>
              <w:right w:w="57" w:type="dxa"/>
            </w:tcMar>
          </w:tcPr>
          <w:p w14:paraId="00C5EC53"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5AAC36FB" w14:textId="77777777">
        <w:trPr>
          <w:trHeight w:val="227"/>
        </w:trPr>
        <w:tc>
          <w:tcPr>
            <w:tcW w:w="4536" w:type="dxa"/>
            <w:vMerge/>
            <w:shd w:val="clear" w:color="auto" w:fill="auto"/>
            <w:tcMar>
              <w:left w:w="57" w:type="dxa"/>
              <w:right w:w="57" w:type="dxa"/>
            </w:tcMar>
            <w:vAlign w:val="center"/>
          </w:tcPr>
          <w:p w14:paraId="7D6E5168"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0C360995"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Complete on one edge</w:t>
            </w:r>
          </w:p>
        </w:tc>
        <w:tc>
          <w:tcPr>
            <w:tcW w:w="567" w:type="dxa"/>
            <w:shd w:val="clear" w:color="auto" w:fill="auto"/>
            <w:tcMar>
              <w:left w:w="57" w:type="dxa"/>
              <w:right w:w="57" w:type="dxa"/>
            </w:tcMar>
          </w:tcPr>
          <w:p w14:paraId="101A43E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33FA635B" w14:textId="77777777">
        <w:trPr>
          <w:trHeight w:val="283"/>
        </w:trPr>
        <w:tc>
          <w:tcPr>
            <w:tcW w:w="4536" w:type="dxa"/>
            <w:vMerge/>
            <w:shd w:val="clear" w:color="auto" w:fill="auto"/>
            <w:tcMar>
              <w:left w:w="57" w:type="dxa"/>
              <w:right w:w="57" w:type="dxa"/>
            </w:tcMar>
            <w:vAlign w:val="center"/>
          </w:tcPr>
          <w:p w14:paraId="1BC62642"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1BB67B1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Complete on both edges</w:t>
            </w:r>
          </w:p>
        </w:tc>
        <w:tc>
          <w:tcPr>
            <w:tcW w:w="567" w:type="dxa"/>
            <w:shd w:val="clear" w:color="auto" w:fill="auto"/>
            <w:tcMar>
              <w:left w:w="57" w:type="dxa"/>
              <w:right w:w="57" w:type="dxa"/>
            </w:tcMar>
          </w:tcPr>
          <w:p w14:paraId="429D9F7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2AC21D37" w14:textId="77777777">
        <w:tc>
          <w:tcPr>
            <w:tcW w:w="10352" w:type="dxa"/>
            <w:gridSpan w:val="3"/>
            <w:shd w:val="clear" w:color="auto" w:fill="auto"/>
            <w:tcMar>
              <w:left w:w="57" w:type="dxa"/>
              <w:right w:w="57" w:type="dxa"/>
            </w:tcMar>
          </w:tcPr>
          <w:p w14:paraId="1C02995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bCs/>
                <w:sz w:val="18"/>
                <w:szCs w:val="18"/>
              </w:rPr>
              <w:t>Cartilage evaluation (within the upper layer of defect)</w:t>
            </w:r>
          </w:p>
        </w:tc>
      </w:tr>
      <w:tr w:rsidR="00325724" w14:paraId="46977E31" w14:textId="77777777">
        <w:trPr>
          <w:trHeight w:val="227"/>
        </w:trPr>
        <w:tc>
          <w:tcPr>
            <w:tcW w:w="4536" w:type="dxa"/>
            <w:vMerge w:val="restart"/>
            <w:shd w:val="clear" w:color="auto" w:fill="auto"/>
            <w:tcMar>
              <w:left w:w="57" w:type="dxa"/>
              <w:right w:w="57" w:type="dxa"/>
            </w:tcMar>
          </w:tcPr>
          <w:p w14:paraId="73E782B2"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6. Morphology of neo-formed surface tissue</w:t>
            </w:r>
          </w:p>
        </w:tc>
        <w:tc>
          <w:tcPr>
            <w:tcW w:w="5245" w:type="dxa"/>
            <w:shd w:val="clear" w:color="auto" w:fill="auto"/>
            <w:tcMar>
              <w:left w:w="57" w:type="dxa"/>
              <w:right w:w="57" w:type="dxa"/>
            </w:tcMar>
          </w:tcPr>
          <w:p w14:paraId="138DDDF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 tissue</w:t>
            </w:r>
          </w:p>
        </w:tc>
        <w:tc>
          <w:tcPr>
            <w:tcW w:w="567" w:type="dxa"/>
            <w:shd w:val="clear" w:color="auto" w:fill="auto"/>
            <w:tcMar>
              <w:left w:w="57" w:type="dxa"/>
              <w:right w:w="57" w:type="dxa"/>
            </w:tcMar>
          </w:tcPr>
          <w:p w14:paraId="448893B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02F3A18D" w14:textId="77777777">
        <w:trPr>
          <w:trHeight w:val="227"/>
        </w:trPr>
        <w:tc>
          <w:tcPr>
            <w:tcW w:w="4536" w:type="dxa"/>
            <w:vMerge/>
            <w:shd w:val="clear" w:color="auto" w:fill="auto"/>
            <w:tcMar>
              <w:left w:w="57" w:type="dxa"/>
              <w:right w:w="57" w:type="dxa"/>
            </w:tcMar>
            <w:vAlign w:val="center"/>
          </w:tcPr>
          <w:p w14:paraId="3CD0E5CF"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350CFF08"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Only fibrous tissue (spherical cell morphology</w:t>
            </w:r>
            <w:r>
              <w:rPr>
                <w:rFonts w:ascii="Times New Roman" w:hAnsi="Times New Roman" w:cs="Times New Roman"/>
                <w:sz w:val="18"/>
                <w:szCs w:val="18"/>
              </w:rPr>
              <w:t xml:space="preserve"> less than 75% of cells)</w:t>
            </w:r>
          </w:p>
        </w:tc>
        <w:tc>
          <w:tcPr>
            <w:tcW w:w="567" w:type="dxa"/>
            <w:shd w:val="clear" w:color="auto" w:fill="auto"/>
            <w:tcMar>
              <w:left w:w="57" w:type="dxa"/>
              <w:right w:w="57" w:type="dxa"/>
            </w:tcMar>
          </w:tcPr>
          <w:p w14:paraId="4EA09EA9"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245FCE76" w14:textId="77777777">
        <w:trPr>
          <w:trHeight w:val="227"/>
        </w:trPr>
        <w:tc>
          <w:tcPr>
            <w:tcW w:w="4536" w:type="dxa"/>
            <w:vMerge/>
            <w:shd w:val="clear" w:color="auto" w:fill="auto"/>
            <w:tcMar>
              <w:left w:w="57" w:type="dxa"/>
              <w:right w:w="57" w:type="dxa"/>
            </w:tcMar>
            <w:vAlign w:val="center"/>
          </w:tcPr>
          <w:p w14:paraId="57893DC4"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4713741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Fibrocartilage (spherical cell morphology greater than 75% of cells)</w:t>
            </w:r>
          </w:p>
        </w:tc>
        <w:tc>
          <w:tcPr>
            <w:tcW w:w="567" w:type="dxa"/>
            <w:shd w:val="clear" w:color="auto" w:fill="auto"/>
            <w:tcMar>
              <w:left w:w="57" w:type="dxa"/>
              <w:right w:w="57" w:type="dxa"/>
            </w:tcMar>
          </w:tcPr>
          <w:p w14:paraId="5059E981"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4</w:t>
            </w:r>
          </w:p>
        </w:tc>
      </w:tr>
      <w:tr w:rsidR="00325724" w14:paraId="4142ACF9" w14:textId="77777777">
        <w:trPr>
          <w:trHeight w:val="283"/>
        </w:trPr>
        <w:tc>
          <w:tcPr>
            <w:tcW w:w="4536" w:type="dxa"/>
            <w:vMerge/>
            <w:shd w:val="clear" w:color="auto" w:fill="auto"/>
            <w:tcMar>
              <w:left w:w="57" w:type="dxa"/>
              <w:right w:w="57" w:type="dxa"/>
            </w:tcMar>
            <w:vAlign w:val="center"/>
          </w:tcPr>
          <w:p w14:paraId="0A803B1E"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7468B4D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Mainly hyaline cartilage</w:t>
            </w:r>
          </w:p>
        </w:tc>
        <w:tc>
          <w:tcPr>
            <w:tcW w:w="567" w:type="dxa"/>
            <w:shd w:val="clear" w:color="auto" w:fill="auto"/>
            <w:tcMar>
              <w:left w:w="57" w:type="dxa"/>
              <w:right w:w="57" w:type="dxa"/>
            </w:tcMar>
          </w:tcPr>
          <w:p w14:paraId="6FEF0FE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6</w:t>
            </w:r>
          </w:p>
        </w:tc>
      </w:tr>
      <w:tr w:rsidR="00325724" w14:paraId="75A9F1B8" w14:textId="77777777">
        <w:trPr>
          <w:trHeight w:val="227"/>
        </w:trPr>
        <w:tc>
          <w:tcPr>
            <w:tcW w:w="4536" w:type="dxa"/>
            <w:vMerge w:val="restart"/>
            <w:shd w:val="clear" w:color="auto" w:fill="auto"/>
            <w:tcMar>
              <w:left w:w="57" w:type="dxa"/>
              <w:right w:w="57" w:type="dxa"/>
            </w:tcMar>
          </w:tcPr>
          <w:p w14:paraId="35F29703"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7. Thickness of neo-formed cartilage</w:t>
            </w:r>
          </w:p>
        </w:tc>
        <w:tc>
          <w:tcPr>
            <w:tcW w:w="5245" w:type="dxa"/>
            <w:shd w:val="clear" w:color="auto" w:fill="auto"/>
            <w:tcMar>
              <w:left w:w="57" w:type="dxa"/>
              <w:right w:w="57" w:type="dxa"/>
            </w:tcMar>
          </w:tcPr>
          <w:p w14:paraId="36981DA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 cartilage</w:t>
            </w:r>
          </w:p>
        </w:tc>
        <w:tc>
          <w:tcPr>
            <w:tcW w:w="567" w:type="dxa"/>
            <w:shd w:val="clear" w:color="auto" w:fill="auto"/>
            <w:tcMar>
              <w:left w:w="57" w:type="dxa"/>
              <w:right w:w="57" w:type="dxa"/>
            </w:tcMar>
          </w:tcPr>
          <w:p w14:paraId="04B6D8D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17F1E338" w14:textId="77777777">
        <w:trPr>
          <w:trHeight w:val="227"/>
        </w:trPr>
        <w:tc>
          <w:tcPr>
            <w:tcW w:w="4536" w:type="dxa"/>
            <w:vMerge/>
            <w:shd w:val="clear" w:color="auto" w:fill="auto"/>
            <w:tcMar>
              <w:left w:w="57" w:type="dxa"/>
              <w:right w:w="57" w:type="dxa"/>
            </w:tcMar>
            <w:vAlign w:val="center"/>
          </w:tcPr>
          <w:p w14:paraId="13AB0779"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234A6887"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Less than the surrounding cartilage</w:t>
            </w:r>
          </w:p>
        </w:tc>
        <w:tc>
          <w:tcPr>
            <w:tcW w:w="567" w:type="dxa"/>
            <w:shd w:val="clear" w:color="auto" w:fill="auto"/>
            <w:tcMar>
              <w:left w:w="57" w:type="dxa"/>
              <w:right w:w="57" w:type="dxa"/>
            </w:tcMar>
          </w:tcPr>
          <w:p w14:paraId="7898C607"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0A2903F9" w14:textId="77777777">
        <w:trPr>
          <w:trHeight w:val="227"/>
        </w:trPr>
        <w:tc>
          <w:tcPr>
            <w:tcW w:w="4536" w:type="dxa"/>
            <w:vMerge/>
            <w:shd w:val="clear" w:color="auto" w:fill="auto"/>
            <w:tcMar>
              <w:left w:w="57" w:type="dxa"/>
              <w:right w:w="57" w:type="dxa"/>
            </w:tcMar>
            <w:vAlign w:val="center"/>
          </w:tcPr>
          <w:p w14:paraId="35A6ABBE"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56176E0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 xml:space="preserve">Greater than surrounding </w:t>
            </w:r>
            <w:r>
              <w:rPr>
                <w:rFonts w:ascii="Times New Roman" w:hAnsi="Times New Roman" w:cs="Times New Roman"/>
                <w:sz w:val="18"/>
                <w:szCs w:val="18"/>
              </w:rPr>
              <w:t>cartilage</w:t>
            </w:r>
          </w:p>
        </w:tc>
        <w:tc>
          <w:tcPr>
            <w:tcW w:w="567" w:type="dxa"/>
            <w:shd w:val="clear" w:color="auto" w:fill="auto"/>
            <w:tcMar>
              <w:left w:w="57" w:type="dxa"/>
              <w:right w:w="57" w:type="dxa"/>
            </w:tcMar>
          </w:tcPr>
          <w:p w14:paraId="5BE5638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5F4F6EF3" w14:textId="77777777">
        <w:trPr>
          <w:trHeight w:val="283"/>
        </w:trPr>
        <w:tc>
          <w:tcPr>
            <w:tcW w:w="4536" w:type="dxa"/>
            <w:vMerge/>
            <w:shd w:val="clear" w:color="auto" w:fill="auto"/>
            <w:tcMar>
              <w:left w:w="57" w:type="dxa"/>
              <w:right w:w="57" w:type="dxa"/>
            </w:tcMar>
            <w:vAlign w:val="center"/>
          </w:tcPr>
          <w:p w14:paraId="628A2293"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685D474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Similar to the surrounding cartilage</w:t>
            </w:r>
          </w:p>
        </w:tc>
        <w:tc>
          <w:tcPr>
            <w:tcW w:w="567" w:type="dxa"/>
            <w:shd w:val="clear" w:color="auto" w:fill="auto"/>
            <w:tcMar>
              <w:left w:w="57" w:type="dxa"/>
              <w:right w:w="57" w:type="dxa"/>
            </w:tcMar>
          </w:tcPr>
          <w:p w14:paraId="5D85565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34530A2B" w14:textId="77777777">
        <w:trPr>
          <w:trHeight w:val="227"/>
        </w:trPr>
        <w:tc>
          <w:tcPr>
            <w:tcW w:w="4536" w:type="dxa"/>
            <w:vMerge w:val="restart"/>
            <w:shd w:val="clear" w:color="auto" w:fill="auto"/>
            <w:tcMar>
              <w:left w:w="57" w:type="dxa"/>
              <w:right w:w="57" w:type="dxa"/>
            </w:tcMar>
          </w:tcPr>
          <w:p w14:paraId="0560447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8. Joint surface regularity</w:t>
            </w:r>
          </w:p>
        </w:tc>
        <w:tc>
          <w:tcPr>
            <w:tcW w:w="5245" w:type="dxa"/>
            <w:shd w:val="clear" w:color="auto" w:fill="auto"/>
            <w:tcMar>
              <w:left w:w="57" w:type="dxa"/>
              <w:right w:w="57" w:type="dxa"/>
            </w:tcMar>
          </w:tcPr>
          <w:p w14:paraId="592F10B9"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Complete disruption of the neo-surface</w:t>
            </w:r>
          </w:p>
        </w:tc>
        <w:tc>
          <w:tcPr>
            <w:tcW w:w="567" w:type="dxa"/>
            <w:shd w:val="clear" w:color="auto" w:fill="auto"/>
            <w:tcMar>
              <w:left w:w="57" w:type="dxa"/>
              <w:right w:w="57" w:type="dxa"/>
            </w:tcMar>
          </w:tcPr>
          <w:p w14:paraId="7DA1695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56D5CB67" w14:textId="77777777">
        <w:trPr>
          <w:trHeight w:val="227"/>
        </w:trPr>
        <w:tc>
          <w:tcPr>
            <w:tcW w:w="4536" w:type="dxa"/>
            <w:vMerge/>
            <w:shd w:val="clear" w:color="auto" w:fill="auto"/>
            <w:tcMar>
              <w:left w:w="57" w:type="dxa"/>
              <w:right w:w="57" w:type="dxa"/>
            </w:tcMar>
            <w:vAlign w:val="center"/>
          </w:tcPr>
          <w:p w14:paraId="70B9EC42"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27A99B9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Complete disruption of the neo-surface</w:t>
            </w:r>
          </w:p>
        </w:tc>
        <w:tc>
          <w:tcPr>
            <w:tcW w:w="567" w:type="dxa"/>
            <w:shd w:val="clear" w:color="auto" w:fill="auto"/>
            <w:tcMar>
              <w:left w:w="57" w:type="dxa"/>
              <w:right w:w="57" w:type="dxa"/>
            </w:tcMar>
          </w:tcPr>
          <w:p w14:paraId="30C37E6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7A49C920" w14:textId="77777777">
        <w:trPr>
          <w:trHeight w:val="227"/>
        </w:trPr>
        <w:tc>
          <w:tcPr>
            <w:tcW w:w="4536" w:type="dxa"/>
            <w:vMerge/>
            <w:shd w:val="clear" w:color="auto" w:fill="auto"/>
            <w:tcMar>
              <w:left w:w="57" w:type="dxa"/>
              <w:right w:w="57" w:type="dxa"/>
            </w:tcMar>
            <w:vAlign w:val="center"/>
          </w:tcPr>
          <w:p w14:paraId="62E903E9"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2047E527"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Surface fissures (&lt; 25% neo-surface thickness)</w:t>
            </w:r>
          </w:p>
        </w:tc>
        <w:tc>
          <w:tcPr>
            <w:tcW w:w="567" w:type="dxa"/>
            <w:shd w:val="clear" w:color="auto" w:fill="auto"/>
            <w:tcMar>
              <w:left w:w="57" w:type="dxa"/>
              <w:right w:w="57" w:type="dxa"/>
            </w:tcMar>
          </w:tcPr>
          <w:p w14:paraId="012EC50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56B20834" w14:textId="77777777">
        <w:trPr>
          <w:trHeight w:val="283"/>
        </w:trPr>
        <w:tc>
          <w:tcPr>
            <w:tcW w:w="4536" w:type="dxa"/>
            <w:vMerge/>
            <w:shd w:val="clear" w:color="auto" w:fill="auto"/>
            <w:tcMar>
              <w:left w:w="57" w:type="dxa"/>
              <w:right w:w="57" w:type="dxa"/>
            </w:tcMar>
            <w:vAlign w:val="center"/>
          </w:tcPr>
          <w:p w14:paraId="7BB5CF2D"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08D9F52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Smooth, intact surface</w:t>
            </w:r>
          </w:p>
        </w:tc>
        <w:tc>
          <w:tcPr>
            <w:tcW w:w="567" w:type="dxa"/>
            <w:shd w:val="clear" w:color="auto" w:fill="auto"/>
            <w:tcMar>
              <w:left w:w="57" w:type="dxa"/>
              <w:right w:w="57" w:type="dxa"/>
            </w:tcMar>
          </w:tcPr>
          <w:p w14:paraId="2C9E79C3"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53E97969" w14:textId="77777777">
        <w:trPr>
          <w:trHeight w:val="227"/>
        </w:trPr>
        <w:tc>
          <w:tcPr>
            <w:tcW w:w="4536" w:type="dxa"/>
            <w:vMerge w:val="restart"/>
            <w:shd w:val="clear" w:color="auto" w:fill="auto"/>
            <w:tcMar>
              <w:left w:w="57" w:type="dxa"/>
              <w:right w:w="57" w:type="dxa"/>
            </w:tcMar>
          </w:tcPr>
          <w:p w14:paraId="06F18EF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 xml:space="preserve">9. </w:t>
            </w:r>
            <w:r>
              <w:rPr>
                <w:rFonts w:ascii="Times New Roman" w:hAnsi="Times New Roman" w:cs="Times New Roman"/>
                <w:sz w:val="18"/>
                <w:szCs w:val="18"/>
              </w:rPr>
              <w:t>Chondrocyte clustering</w:t>
            </w:r>
          </w:p>
        </w:tc>
        <w:tc>
          <w:tcPr>
            <w:tcW w:w="5245" w:type="dxa"/>
            <w:shd w:val="clear" w:color="auto" w:fill="auto"/>
            <w:tcMar>
              <w:left w:w="57" w:type="dxa"/>
              <w:right w:w="57" w:type="dxa"/>
            </w:tcMar>
          </w:tcPr>
          <w:p w14:paraId="7C06EFB9"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 chondrocytes present (no cartilage)</w:t>
            </w:r>
          </w:p>
        </w:tc>
        <w:tc>
          <w:tcPr>
            <w:tcW w:w="567" w:type="dxa"/>
            <w:shd w:val="clear" w:color="auto" w:fill="auto"/>
            <w:tcMar>
              <w:left w:w="57" w:type="dxa"/>
              <w:right w:w="57" w:type="dxa"/>
            </w:tcMar>
          </w:tcPr>
          <w:p w14:paraId="3127836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192588CF" w14:textId="77777777">
        <w:trPr>
          <w:trHeight w:val="227"/>
        </w:trPr>
        <w:tc>
          <w:tcPr>
            <w:tcW w:w="4536" w:type="dxa"/>
            <w:vMerge/>
            <w:shd w:val="clear" w:color="auto" w:fill="auto"/>
            <w:tcMar>
              <w:left w:w="57" w:type="dxa"/>
              <w:right w:w="57" w:type="dxa"/>
            </w:tcMar>
            <w:vAlign w:val="center"/>
          </w:tcPr>
          <w:p w14:paraId="3EE38D4F"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3AB0D33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25%–100% chondrocytes</w:t>
            </w:r>
          </w:p>
        </w:tc>
        <w:tc>
          <w:tcPr>
            <w:tcW w:w="567" w:type="dxa"/>
            <w:shd w:val="clear" w:color="auto" w:fill="auto"/>
            <w:tcMar>
              <w:left w:w="57" w:type="dxa"/>
              <w:right w:w="57" w:type="dxa"/>
            </w:tcMar>
          </w:tcPr>
          <w:p w14:paraId="2CA38B58"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2B6448B2" w14:textId="77777777">
        <w:trPr>
          <w:trHeight w:val="227"/>
        </w:trPr>
        <w:tc>
          <w:tcPr>
            <w:tcW w:w="4536" w:type="dxa"/>
            <w:vMerge/>
            <w:shd w:val="clear" w:color="auto" w:fill="auto"/>
            <w:tcMar>
              <w:left w:w="57" w:type="dxa"/>
              <w:right w:w="57" w:type="dxa"/>
            </w:tcMar>
            <w:vAlign w:val="center"/>
          </w:tcPr>
          <w:p w14:paraId="4FFE3EDF"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67BECA6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Less than 25% of chondrocytes</w:t>
            </w:r>
          </w:p>
        </w:tc>
        <w:tc>
          <w:tcPr>
            <w:tcW w:w="567" w:type="dxa"/>
            <w:shd w:val="clear" w:color="auto" w:fill="auto"/>
            <w:tcMar>
              <w:left w:w="57" w:type="dxa"/>
              <w:right w:w="57" w:type="dxa"/>
            </w:tcMar>
          </w:tcPr>
          <w:p w14:paraId="1D679FA5"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0B0B769D" w14:textId="77777777">
        <w:trPr>
          <w:trHeight w:val="283"/>
        </w:trPr>
        <w:tc>
          <w:tcPr>
            <w:tcW w:w="4536" w:type="dxa"/>
            <w:vMerge/>
            <w:shd w:val="clear" w:color="auto" w:fill="auto"/>
            <w:tcMar>
              <w:left w:w="57" w:type="dxa"/>
              <w:right w:w="57" w:type="dxa"/>
            </w:tcMar>
            <w:vAlign w:val="center"/>
          </w:tcPr>
          <w:p w14:paraId="4145A0A4"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2730947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None at all</w:t>
            </w:r>
          </w:p>
        </w:tc>
        <w:tc>
          <w:tcPr>
            <w:tcW w:w="567" w:type="dxa"/>
            <w:shd w:val="clear" w:color="auto" w:fill="auto"/>
            <w:tcMar>
              <w:left w:w="57" w:type="dxa"/>
              <w:right w:w="57" w:type="dxa"/>
            </w:tcMar>
          </w:tcPr>
          <w:p w14:paraId="0DBC476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60AD5637" w14:textId="77777777">
        <w:trPr>
          <w:trHeight w:val="227"/>
        </w:trPr>
        <w:tc>
          <w:tcPr>
            <w:tcW w:w="4536" w:type="dxa"/>
            <w:vMerge w:val="restart"/>
            <w:shd w:val="clear" w:color="auto" w:fill="auto"/>
            <w:tcMar>
              <w:left w:w="57" w:type="dxa"/>
              <w:right w:w="57" w:type="dxa"/>
            </w:tcMar>
          </w:tcPr>
          <w:p w14:paraId="51D209C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10. Chondrocyte and GAG content of new cartilage</w:t>
            </w:r>
          </w:p>
        </w:tc>
        <w:tc>
          <w:tcPr>
            <w:tcW w:w="5245" w:type="dxa"/>
            <w:shd w:val="clear" w:color="auto" w:fill="auto"/>
            <w:tcMar>
              <w:left w:w="57" w:type="dxa"/>
              <w:right w:w="57" w:type="dxa"/>
            </w:tcMar>
          </w:tcPr>
          <w:p w14:paraId="01CCE4BE"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Few cells with no or little Safranin O staining or no cartilage</w:t>
            </w:r>
          </w:p>
        </w:tc>
        <w:tc>
          <w:tcPr>
            <w:tcW w:w="567" w:type="dxa"/>
            <w:shd w:val="clear" w:color="auto" w:fill="auto"/>
            <w:tcMar>
              <w:left w:w="57" w:type="dxa"/>
              <w:right w:w="57" w:type="dxa"/>
            </w:tcMar>
          </w:tcPr>
          <w:p w14:paraId="2C700645"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53B0B98D" w14:textId="77777777">
        <w:trPr>
          <w:trHeight w:val="227"/>
        </w:trPr>
        <w:tc>
          <w:tcPr>
            <w:tcW w:w="4536" w:type="dxa"/>
            <w:vMerge/>
            <w:shd w:val="clear" w:color="auto" w:fill="auto"/>
            <w:tcMar>
              <w:left w:w="57" w:type="dxa"/>
              <w:right w:w="57" w:type="dxa"/>
            </w:tcMar>
            <w:vAlign w:val="center"/>
          </w:tcPr>
          <w:p w14:paraId="74D161F4"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1FA7D603"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Obviously less cells with poor Safranin O staining</w:t>
            </w:r>
          </w:p>
        </w:tc>
        <w:tc>
          <w:tcPr>
            <w:tcW w:w="567" w:type="dxa"/>
            <w:shd w:val="clear" w:color="auto" w:fill="auto"/>
            <w:tcMar>
              <w:left w:w="57" w:type="dxa"/>
              <w:right w:w="57" w:type="dxa"/>
            </w:tcMar>
          </w:tcPr>
          <w:p w14:paraId="04C9FB0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1383732E" w14:textId="77777777">
        <w:trPr>
          <w:trHeight w:val="227"/>
        </w:trPr>
        <w:tc>
          <w:tcPr>
            <w:tcW w:w="4536" w:type="dxa"/>
            <w:vMerge/>
            <w:shd w:val="clear" w:color="auto" w:fill="auto"/>
            <w:tcMar>
              <w:left w:w="57" w:type="dxa"/>
              <w:right w:w="57" w:type="dxa"/>
            </w:tcMar>
            <w:vAlign w:val="center"/>
          </w:tcPr>
          <w:p w14:paraId="3DCB26EC"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35A0F743"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Normal cellularity with moderate Safranin O staining</w:t>
            </w:r>
          </w:p>
        </w:tc>
        <w:tc>
          <w:tcPr>
            <w:tcW w:w="567" w:type="dxa"/>
            <w:shd w:val="clear" w:color="auto" w:fill="auto"/>
            <w:tcMar>
              <w:left w:w="57" w:type="dxa"/>
              <w:right w:w="57" w:type="dxa"/>
            </w:tcMar>
          </w:tcPr>
          <w:p w14:paraId="7B3AA2C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78904681" w14:textId="77777777">
        <w:trPr>
          <w:trHeight w:val="283"/>
        </w:trPr>
        <w:tc>
          <w:tcPr>
            <w:tcW w:w="4536" w:type="dxa"/>
            <w:vMerge/>
            <w:shd w:val="clear" w:color="auto" w:fill="auto"/>
            <w:tcMar>
              <w:left w:w="57" w:type="dxa"/>
              <w:right w:w="57" w:type="dxa"/>
            </w:tcMar>
            <w:vAlign w:val="center"/>
          </w:tcPr>
          <w:p w14:paraId="34E658E5"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03ED10F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Normal cellularity with normal Safranin O staining</w:t>
            </w:r>
          </w:p>
        </w:tc>
        <w:tc>
          <w:tcPr>
            <w:tcW w:w="567" w:type="dxa"/>
            <w:shd w:val="clear" w:color="auto" w:fill="auto"/>
            <w:tcMar>
              <w:left w:w="57" w:type="dxa"/>
              <w:right w:w="57" w:type="dxa"/>
            </w:tcMar>
          </w:tcPr>
          <w:p w14:paraId="38B0FAB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r w:rsidR="00325724" w14:paraId="5D5778B1" w14:textId="77777777">
        <w:trPr>
          <w:trHeight w:val="227"/>
        </w:trPr>
        <w:tc>
          <w:tcPr>
            <w:tcW w:w="4536" w:type="dxa"/>
            <w:vMerge w:val="restart"/>
            <w:shd w:val="clear" w:color="auto" w:fill="auto"/>
            <w:tcMar>
              <w:left w:w="57" w:type="dxa"/>
              <w:right w:w="57" w:type="dxa"/>
            </w:tcMar>
          </w:tcPr>
          <w:p w14:paraId="51EDA9E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11. Chondrocyte and GAG content of adjacent cartilage</w:t>
            </w:r>
          </w:p>
        </w:tc>
        <w:tc>
          <w:tcPr>
            <w:tcW w:w="5245" w:type="dxa"/>
            <w:shd w:val="clear" w:color="auto" w:fill="auto"/>
            <w:tcMar>
              <w:left w:w="57" w:type="dxa"/>
              <w:right w:w="57" w:type="dxa"/>
            </w:tcMar>
          </w:tcPr>
          <w:p w14:paraId="259B6061"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 xml:space="preserve">Few cells with no or little </w:t>
            </w:r>
            <w:r>
              <w:rPr>
                <w:rFonts w:ascii="Times New Roman" w:hAnsi="Times New Roman" w:cs="Times New Roman"/>
                <w:sz w:val="18"/>
                <w:szCs w:val="18"/>
              </w:rPr>
              <w:t>Safranin O staining or no cartilage</w:t>
            </w:r>
          </w:p>
        </w:tc>
        <w:tc>
          <w:tcPr>
            <w:tcW w:w="567" w:type="dxa"/>
            <w:shd w:val="clear" w:color="auto" w:fill="auto"/>
            <w:tcMar>
              <w:left w:w="57" w:type="dxa"/>
              <w:right w:w="57" w:type="dxa"/>
            </w:tcMar>
          </w:tcPr>
          <w:p w14:paraId="54CD26D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w:t>
            </w:r>
          </w:p>
        </w:tc>
      </w:tr>
      <w:tr w:rsidR="00325724" w14:paraId="29A816AA" w14:textId="77777777">
        <w:trPr>
          <w:trHeight w:val="227"/>
        </w:trPr>
        <w:tc>
          <w:tcPr>
            <w:tcW w:w="4536" w:type="dxa"/>
            <w:vMerge/>
            <w:shd w:val="clear" w:color="auto" w:fill="auto"/>
            <w:tcMar>
              <w:left w:w="57" w:type="dxa"/>
              <w:right w:w="57" w:type="dxa"/>
            </w:tcMar>
            <w:vAlign w:val="center"/>
          </w:tcPr>
          <w:p w14:paraId="7FBE0ACB"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38B10E8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Obviously less cells with poor Safranin O staining</w:t>
            </w:r>
          </w:p>
        </w:tc>
        <w:tc>
          <w:tcPr>
            <w:tcW w:w="567" w:type="dxa"/>
            <w:shd w:val="clear" w:color="auto" w:fill="auto"/>
            <w:tcMar>
              <w:left w:w="57" w:type="dxa"/>
              <w:right w:w="57" w:type="dxa"/>
            </w:tcMar>
          </w:tcPr>
          <w:p w14:paraId="7B87F3FC"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w:t>
            </w:r>
          </w:p>
        </w:tc>
      </w:tr>
      <w:tr w:rsidR="00325724" w14:paraId="1B56B987" w14:textId="77777777">
        <w:trPr>
          <w:trHeight w:val="227"/>
        </w:trPr>
        <w:tc>
          <w:tcPr>
            <w:tcW w:w="4536" w:type="dxa"/>
            <w:vMerge/>
            <w:shd w:val="clear" w:color="auto" w:fill="auto"/>
            <w:tcMar>
              <w:left w:w="57" w:type="dxa"/>
              <w:right w:w="57" w:type="dxa"/>
            </w:tcMar>
            <w:vAlign w:val="center"/>
          </w:tcPr>
          <w:p w14:paraId="307A4503"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5DB641FB"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Normal cellularity with moderate Safranin O staining</w:t>
            </w:r>
          </w:p>
        </w:tc>
        <w:tc>
          <w:tcPr>
            <w:tcW w:w="567" w:type="dxa"/>
            <w:shd w:val="clear" w:color="auto" w:fill="auto"/>
            <w:tcMar>
              <w:left w:w="57" w:type="dxa"/>
              <w:right w:w="57" w:type="dxa"/>
            </w:tcMar>
          </w:tcPr>
          <w:p w14:paraId="340E155F"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w:t>
            </w:r>
          </w:p>
        </w:tc>
      </w:tr>
      <w:tr w:rsidR="00325724" w14:paraId="1E5D9AE1" w14:textId="77777777">
        <w:trPr>
          <w:trHeight w:val="227"/>
        </w:trPr>
        <w:tc>
          <w:tcPr>
            <w:tcW w:w="4536" w:type="dxa"/>
            <w:vMerge/>
            <w:shd w:val="clear" w:color="auto" w:fill="auto"/>
            <w:tcMar>
              <w:left w:w="57" w:type="dxa"/>
              <w:right w:w="57" w:type="dxa"/>
            </w:tcMar>
            <w:vAlign w:val="center"/>
          </w:tcPr>
          <w:p w14:paraId="6918259D" w14:textId="77777777" w:rsidR="00325724" w:rsidRDefault="00325724">
            <w:pPr>
              <w:adjustRightInd w:val="0"/>
              <w:snapToGrid w:val="0"/>
              <w:jc w:val="left"/>
              <w:rPr>
                <w:rFonts w:ascii="Times New Roman" w:hAnsi="Times New Roman" w:cs="Times New Roman"/>
                <w:sz w:val="18"/>
                <w:szCs w:val="18"/>
              </w:rPr>
            </w:pPr>
          </w:p>
        </w:tc>
        <w:tc>
          <w:tcPr>
            <w:tcW w:w="5245" w:type="dxa"/>
            <w:shd w:val="clear" w:color="auto" w:fill="auto"/>
            <w:tcMar>
              <w:left w:w="57" w:type="dxa"/>
              <w:right w:w="57" w:type="dxa"/>
            </w:tcMar>
          </w:tcPr>
          <w:p w14:paraId="5E67F35E"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Normal cellularity with normal Safranin O staining</w:t>
            </w:r>
          </w:p>
        </w:tc>
        <w:tc>
          <w:tcPr>
            <w:tcW w:w="567" w:type="dxa"/>
            <w:shd w:val="clear" w:color="auto" w:fill="auto"/>
            <w:tcMar>
              <w:left w:w="57" w:type="dxa"/>
              <w:right w:w="57" w:type="dxa"/>
            </w:tcMar>
          </w:tcPr>
          <w:p w14:paraId="54F0363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w:t>
            </w:r>
          </w:p>
        </w:tc>
      </w:tr>
    </w:tbl>
    <w:p w14:paraId="375FD484" w14:textId="77777777" w:rsidR="00325724" w:rsidRDefault="00325724">
      <w:pPr>
        <w:adjustRightInd w:val="0"/>
        <w:snapToGrid w:val="0"/>
      </w:pPr>
    </w:p>
    <w:p w14:paraId="7268948E" w14:textId="77777777" w:rsidR="00325724" w:rsidRDefault="007426C1">
      <w:pPr>
        <w:pStyle w:val="hhead1"/>
        <w:autoSpaceDE w:val="0"/>
        <w:autoSpaceDN w:val="0"/>
        <w:adjustRightInd w:val="0"/>
        <w:snapToGrid w:val="0"/>
        <w:spacing w:beforeLines="50" w:before="156" w:afterLines="50" w:after="156"/>
        <w:rPr>
          <w:rFonts w:eastAsiaTheme="minorEastAsia"/>
          <w:b/>
          <w:sz w:val="21"/>
          <w:szCs w:val="21"/>
        </w:rPr>
      </w:pPr>
      <w:r>
        <w:rPr>
          <w:rFonts w:eastAsiaTheme="minorEastAsia"/>
          <w:b/>
          <w:sz w:val="21"/>
          <w:szCs w:val="21"/>
        </w:rPr>
        <w:t>Statistical Analysis</w:t>
      </w:r>
    </w:p>
    <w:p w14:paraId="31180C2A" w14:textId="77777777" w:rsidR="00325724" w:rsidRDefault="007426C1">
      <w:pPr>
        <w:adjustRightInd w:val="0"/>
        <w:snapToGrid w:val="0"/>
        <w:ind w:firstLineChars="100" w:firstLine="210"/>
        <w:rPr>
          <w:rFonts w:ascii="Times New Roman" w:eastAsia="MS Mincho" w:hAnsi="Times New Roman" w:cs="Times New Roman"/>
          <w:kern w:val="0"/>
          <w:szCs w:val="21"/>
          <w:lang w:val="de-DE" w:eastAsia="ja-JP"/>
        </w:rPr>
      </w:pPr>
      <w:r>
        <w:rPr>
          <w:rFonts w:ascii="Times New Roman" w:eastAsia="MS Mincho" w:hAnsi="Times New Roman" w:cs="Times New Roman"/>
          <w:kern w:val="0"/>
          <w:szCs w:val="21"/>
          <w:lang w:val="de-DE" w:eastAsia="ja-JP"/>
        </w:rPr>
        <w:t xml:space="preserve">Data are presented as means </w:t>
      </w:r>
      <w:r>
        <w:rPr>
          <w:rFonts w:ascii="Times New Roman" w:eastAsia="MS Mincho" w:hAnsi="Times New Roman" w:cs="Times New Roman"/>
          <w:kern w:val="0"/>
          <w:szCs w:val="21"/>
          <w:lang w:val="de-DE" w:eastAsia="ja-JP"/>
        </w:rPr>
        <w:t>±</w:t>
      </w:r>
      <w:r>
        <w:rPr>
          <w:rFonts w:ascii="Times New Roman" w:eastAsia="MS Mincho" w:hAnsi="Times New Roman" w:cs="Times New Roman" w:hint="eastAsia"/>
          <w:kern w:val="0"/>
          <w:szCs w:val="21"/>
          <w:lang w:val="de-DE" w:eastAsia="ja-JP"/>
        </w:rPr>
        <w:t xml:space="preserve"> </w:t>
      </w:r>
      <w:r>
        <w:rPr>
          <w:rFonts w:ascii="Times New Roman" w:eastAsia="MS Mincho" w:hAnsi="Times New Roman" w:cs="Times New Roman"/>
          <w:kern w:val="0"/>
          <w:szCs w:val="21"/>
          <w:lang w:val="de-DE" w:eastAsia="ja-JP"/>
        </w:rPr>
        <w:t xml:space="preserve">standard deviations. Statistical analysis was performed using SPSS </w:t>
      </w:r>
      <w:r>
        <w:rPr>
          <w:rFonts w:ascii="Times New Roman" w:eastAsia="MS Mincho" w:hAnsi="Times New Roman" w:cs="Times New Roman" w:hint="eastAsia"/>
          <w:kern w:val="0"/>
          <w:szCs w:val="21"/>
          <w:lang w:val="de-DE" w:eastAsia="ja-JP"/>
        </w:rPr>
        <w:t>s</w:t>
      </w:r>
      <w:r>
        <w:rPr>
          <w:rFonts w:ascii="Times New Roman" w:eastAsia="MS Mincho" w:hAnsi="Times New Roman" w:cs="Times New Roman"/>
          <w:kern w:val="0"/>
          <w:szCs w:val="21"/>
          <w:lang w:val="de-DE" w:eastAsia="ja-JP"/>
        </w:rPr>
        <w:t>oftware. One-way or two-way ANOVA was used to analyze significant differences at different thresholds: *</w:t>
      </w:r>
      <w:r>
        <w:rPr>
          <w:rFonts w:ascii="Times New Roman" w:eastAsia="MS Mincho" w:hAnsi="Times New Roman" w:cs="Times New Roman"/>
          <w:i/>
          <w:iCs/>
          <w:kern w:val="0"/>
          <w:szCs w:val="21"/>
          <w:lang w:val="de-DE" w:eastAsia="ja-JP"/>
        </w:rPr>
        <w:t>p</w:t>
      </w:r>
      <w:r>
        <w:rPr>
          <w:rFonts w:ascii="Times New Roman" w:eastAsia="MS Mincho" w:hAnsi="Times New Roman" w:cs="Times New Roman"/>
          <w:kern w:val="0"/>
          <w:szCs w:val="21"/>
          <w:lang w:val="de-DE" w:eastAsia="ja-JP"/>
        </w:rPr>
        <w:t xml:space="preserve"> &lt; 0.05, **</w:t>
      </w:r>
      <w:r>
        <w:rPr>
          <w:rFonts w:ascii="Times New Roman" w:eastAsia="MS Mincho" w:hAnsi="Times New Roman" w:cs="Times New Roman"/>
          <w:i/>
          <w:iCs/>
          <w:kern w:val="0"/>
          <w:szCs w:val="21"/>
          <w:lang w:val="de-DE" w:eastAsia="ja-JP"/>
        </w:rPr>
        <w:t>p</w:t>
      </w:r>
      <w:r>
        <w:rPr>
          <w:rFonts w:ascii="Times New Roman" w:eastAsia="MS Mincho" w:hAnsi="Times New Roman" w:cs="Times New Roman"/>
          <w:kern w:val="0"/>
          <w:szCs w:val="21"/>
          <w:lang w:val="de-DE" w:eastAsia="ja-JP"/>
        </w:rPr>
        <w:t xml:space="preserve"> &lt; 0.01, and ***</w:t>
      </w:r>
      <w:r>
        <w:rPr>
          <w:rFonts w:ascii="Times New Roman" w:eastAsia="MS Mincho" w:hAnsi="Times New Roman" w:cs="Times New Roman"/>
          <w:i/>
          <w:iCs/>
          <w:kern w:val="0"/>
          <w:szCs w:val="21"/>
          <w:lang w:val="de-DE" w:eastAsia="ja-JP"/>
        </w:rPr>
        <w:t>p</w:t>
      </w:r>
      <w:r>
        <w:rPr>
          <w:rFonts w:ascii="Times New Roman" w:eastAsia="MS Mincho" w:hAnsi="Times New Roman" w:cs="Times New Roman"/>
          <w:kern w:val="0"/>
          <w:szCs w:val="21"/>
          <w:lang w:val="de-DE" w:eastAsia="ja-JP"/>
        </w:rPr>
        <w:t xml:space="preserve"> &lt; 0.001.</w:t>
      </w:r>
    </w:p>
    <w:bookmarkEnd w:id="0"/>
    <w:p w14:paraId="3404A1D5" w14:textId="77777777" w:rsidR="00325724" w:rsidRDefault="007426C1">
      <w:pPr>
        <w:pStyle w:val="hhead1"/>
        <w:autoSpaceDE w:val="0"/>
        <w:autoSpaceDN w:val="0"/>
        <w:adjustRightInd w:val="0"/>
        <w:snapToGrid w:val="0"/>
        <w:spacing w:beforeLines="50" w:before="156" w:afterLines="50" w:after="156"/>
        <w:rPr>
          <w:rFonts w:eastAsiaTheme="minorEastAsia"/>
          <w:b/>
          <w:sz w:val="21"/>
          <w:szCs w:val="21"/>
        </w:rPr>
      </w:pPr>
      <w:r>
        <w:rPr>
          <w:rFonts w:eastAsiaTheme="minorEastAsia"/>
          <w:b/>
          <w:sz w:val="21"/>
          <w:szCs w:val="21"/>
        </w:rPr>
        <w:t xml:space="preserve">Results </w:t>
      </w:r>
    </w:p>
    <w:p w14:paraId="5F8F0D62" w14:textId="77777777" w:rsidR="00325724" w:rsidRDefault="007426C1">
      <w:pPr>
        <w:adjustRightInd w:val="0"/>
        <w:snapToGrid w:val="0"/>
        <w:rPr>
          <w:rFonts w:ascii="Times New Roman" w:hAnsi="Times New Roman" w:cs="Times New Roman"/>
          <w:b/>
          <w:bCs/>
          <w:sz w:val="18"/>
          <w:szCs w:val="18"/>
        </w:rPr>
      </w:pPr>
      <w:r>
        <w:rPr>
          <w:rFonts w:ascii="Times New Roman" w:hAnsi="Times New Roman" w:cs="Times New Roman"/>
          <w:b/>
          <w:bCs/>
          <w:sz w:val="18"/>
          <w:szCs w:val="18"/>
        </w:rPr>
        <w:t>Table S4</w:t>
      </w:r>
    </w:p>
    <w:p w14:paraId="30C12AFE" w14:textId="77777777" w:rsidR="00325724" w:rsidRDefault="007426C1">
      <w:pPr>
        <w:adjustRightInd w:val="0"/>
        <w:snapToGrid w:val="0"/>
        <w:rPr>
          <w:rFonts w:ascii="Times New Roman" w:eastAsia="Yu Mincho" w:hAnsi="Times New Roman" w:cs="Times New Roman"/>
          <w:bCs/>
          <w:kern w:val="0"/>
          <w:sz w:val="18"/>
          <w:szCs w:val="18"/>
          <w:lang w:val="de-DE" w:eastAsia="ja-JP"/>
        </w:rPr>
      </w:pPr>
      <w:r>
        <w:rPr>
          <w:rFonts w:ascii="Times New Roman" w:eastAsia="Times New Roman" w:hAnsi="Times New Roman" w:cs="Times New Roman"/>
          <w:bCs/>
          <w:kern w:val="0"/>
          <w:sz w:val="18"/>
          <w:szCs w:val="18"/>
          <w:lang w:val="de-DE" w:eastAsia="ja-JP"/>
        </w:rPr>
        <w:t xml:space="preserve">The effect of the concentrations of silk protein and KGN on the drug loading and encapsulation efficiency of KGN. </w:t>
      </w:r>
    </w:p>
    <w:tbl>
      <w:tblPr>
        <w:tblW w:w="8921"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117"/>
        <w:gridCol w:w="2103"/>
        <w:gridCol w:w="2007"/>
        <w:gridCol w:w="2694"/>
      </w:tblGrid>
      <w:tr w:rsidR="00325724" w14:paraId="52649D68" w14:textId="77777777">
        <w:trPr>
          <w:trHeight w:val="454"/>
        </w:trPr>
        <w:tc>
          <w:tcPr>
            <w:tcW w:w="2117" w:type="dxa"/>
            <w:tcBorders>
              <w:top w:val="single" w:sz="4" w:space="0" w:color="auto"/>
              <w:bottom w:val="single" w:sz="4" w:space="0" w:color="auto"/>
            </w:tcBorders>
            <w:shd w:val="clear" w:color="auto" w:fill="auto"/>
            <w:tcMar>
              <w:top w:w="0" w:type="dxa"/>
              <w:left w:w="0" w:type="dxa"/>
              <w:bottom w:w="0" w:type="dxa"/>
              <w:right w:w="0" w:type="dxa"/>
            </w:tcMar>
          </w:tcPr>
          <w:p w14:paraId="41F8A8BD" w14:textId="77777777" w:rsidR="00325724" w:rsidRDefault="007426C1">
            <w:pPr>
              <w:adjustRightInd w:val="0"/>
              <w:snapToGrid w:val="0"/>
              <w:jc w:val="left"/>
              <w:rPr>
                <w:rFonts w:ascii="Times New Roman" w:hAnsi="Times New Roman" w:cs="Times New Roman"/>
                <w:sz w:val="18"/>
                <w:szCs w:val="18"/>
                <w:lang w:val="fr-FR"/>
              </w:rPr>
            </w:pPr>
            <w:r>
              <w:rPr>
                <w:rFonts w:ascii="Times New Roman" w:hAnsi="Times New Roman" w:cs="Times New Roman"/>
                <w:bCs/>
                <w:sz w:val="18"/>
                <w:szCs w:val="18"/>
                <w:lang w:val="it-IT"/>
              </w:rPr>
              <w:t xml:space="preserve">Silk </w:t>
            </w:r>
            <w:r>
              <w:rPr>
                <w:rFonts w:ascii="Times New Roman" w:hAnsi="Times New Roman" w:cs="Times New Roman"/>
                <w:bCs/>
                <w:sz w:val="18"/>
                <w:szCs w:val="18"/>
                <w:lang w:val="fr-FR"/>
              </w:rPr>
              <w:t>protein c</w:t>
            </w:r>
            <w:r>
              <w:rPr>
                <w:rFonts w:ascii="Times New Roman" w:hAnsi="Times New Roman" w:cs="Times New Roman"/>
                <w:bCs/>
                <w:sz w:val="18"/>
                <w:szCs w:val="18"/>
                <w:lang w:val="it-IT"/>
              </w:rPr>
              <w:t xml:space="preserve">oncentration </w:t>
            </w:r>
            <w:r>
              <w:rPr>
                <w:rFonts w:ascii="Times New Roman" w:hAnsi="Times New Roman" w:cs="Times New Roman" w:hint="eastAsia"/>
                <w:bCs/>
                <w:sz w:val="18"/>
                <w:szCs w:val="18"/>
                <w:lang w:val="fr-FR"/>
              </w:rPr>
              <w:t>(</w:t>
            </w:r>
            <w:r>
              <w:rPr>
                <w:rFonts w:ascii="Times New Roman" w:hAnsi="Times New Roman" w:cs="Times New Roman"/>
                <w:bCs/>
                <w:sz w:val="18"/>
                <w:szCs w:val="18"/>
                <w:lang w:val="fr-FR"/>
              </w:rPr>
              <w:t>mg∙mL</w:t>
            </w:r>
            <w:r>
              <w:rPr>
                <w:rFonts w:ascii="Times New Roman" w:hAnsi="Times New Roman" w:cs="Times New Roman"/>
                <w:bCs/>
                <w:sz w:val="18"/>
                <w:szCs w:val="18"/>
                <w:vertAlign w:val="superscript"/>
                <w:lang w:val="fr-FR"/>
              </w:rPr>
              <w:t>−</w:t>
            </w:r>
            <w:r>
              <w:rPr>
                <w:rFonts w:ascii="Times New Roman" w:hAnsi="Times New Roman" w:cs="Times New Roman"/>
                <w:bCs/>
                <w:sz w:val="18"/>
                <w:szCs w:val="18"/>
                <w:vertAlign w:val="superscript"/>
                <w:lang w:val="fr-FR"/>
              </w:rPr>
              <w:t>1</w:t>
            </w:r>
            <w:r>
              <w:rPr>
                <w:rFonts w:ascii="Times New Roman" w:hAnsi="Times New Roman" w:cs="Times New Roman" w:hint="eastAsia"/>
                <w:bCs/>
                <w:sz w:val="18"/>
                <w:szCs w:val="18"/>
                <w:lang w:val="fr-FR"/>
              </w:rPr>
              <w:t>)</w:t>
            </w:r>
          </w:p>
        </w:tc>
        <w:tc>
          <w:tcPr>
            <w:tcW w:w="2103" w:type="dxa"/>
            <w:tcBorders>
              <w:top w:val="single" w:sz="4" w:space="0" w:color="auto"/>
              <w:bottom w:val="single" w:sz="4" w:space="0" w:color="auto"/>
            </w:tcBorders>
            <w:shd w:val="clear" w:color="auto" w:fill="auto"/>
            <w:tcMar>
              <w:top w:w="0" w:type="dxa"/>
              <w:left w:w="0" w:type="dxa"/>
              <w:bottom w:w="0" w:type="dxa"/>
              <w:right w:w="0" w:type="dxa"/>
            </w:tcMar>
          </w:tcPr>
          <w:p w14:paraId="4BFDF9E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bCs/>
                <w:sz w:val="18"/>
                <w:szCs w:val="18"/>
              </w:rPr>
              <w:t>KGN c</w:t>
            </w:r>
            <w:r>
              <w:rPr>
                <w:rFonts w:ascii="Times New Roman" w:hAnsi="Times New Roman" w:cs="Times New Roman"/>
                <w:bCs/>
                <w:sz w:val="18"/>
                <w:szCs w:val="18"/>
                <w:lang w:val="it-IT"/>
              </w:rPr>
              <w:t xml:space="preserve">oncentration </w:t>
            </w:r>
            <w:r>
              <w:rPr>
                <w:rFonts w:ascii="Times New Roman" w:hAnsi="Times New Roman" w:cs="Times New Roman" w:hint="eastAsia"/>
                <w:bCs/>
                <w:sz w:val="18"/>
                <w:szCs w:val="18"/>
              </w:rPr>
              <w:t>(</w:t>
            </w:r>
            <w:r>
              <w:rPr>
                <w:rFonts w:ascii="Times New Roman" w:hAnsi="Times New Roman" w:cs="Times New Roman"/>
                <w:bCs/>
                <w:sz w:val="18"/>
                <w:szCs w:val="18"/>
              </w:rPr>
              <w:t>mg</w:t>
            </w:r>
            <w:r>
              <w:rPr>
                <w:rFonts w:ascii="Times New Roman" w:hAnsi="Times New Roman" w:cs="Times New Roman"/>
                <w:bCs/>
                <w:sz w:val="18"/>
                <w:szCs w:val="18"/>
                <w:lang w:val="fr-FR"/>
              </w:rPr>
              <w:t>∙</w:t>
            </w:r>
            <w:r>
              <w:rPr>
                <w:rFonts w:ascii="Times New Roman" w:hAnsi="Times New Roman" w:cs="Times New Roman"/>
                <w:bCs/>
                <w:sz w:val="18"/>
                <w:szCs w:val="18"/>
                <w:lang w:val="fr-FR"/>
              </w:rPr>
              <w:t>mL</w:t>
            </w:r>
            <w:r>
              <w:rPr>
                <w:rFonts w:ascii="Times New Roman" w:hAnsi="Times New Roman" w:cs="Times New Roman"/>
                <w:bCs/>
                <w:sz w:val="18"/>
                <w:szCs w:val="18"/>
                <w:vertAlign w:val="superscript"/>
                <w:lang w:val="fr-FR"/>
              </w:rPr>
              <w:t>−</w:t>
            </w:r>
            <w:r>
              <w:rPr>
                <w:rFonts w:ascii="Times New Roman" w:hAnsi="Times New Roman" w:cs="Times New Roman"/>
                <w:bCs/>
                <w:sz w:val="18"/>
                <w:szCs w:val="18"/>
                <w:vertAlign w:val="superscript"/>
                <w:lang w:val="fr-FR"/>
              </w:rPr>
              <w:t>1</w:t>
            </w:r>
            <w:r>
              <w:rPr>
                <w:rFonts w:ascii="Times New Roman" w:hAnsi="Times New Roman" w:cs="Times New Roman" w:hint="eastAsia"/>
                <w:bCs/>
                <w:sz w:val="18"/>
                <w:szCs w:val="18"/>
              </w:rPr>
              <w:t>)</w:t>
            </w:r>
          </w:p>
        </w:tc>
        <w:tc>
          <w:tcPr>
            <w:tcW w:w="2007" w:type="dxa"/>
            <w:tcBorders>
              <w:top w:val="single" w:sz="4" w:space="0" w:color="auto"/>
              <w:bottom w:val="single" w:sz="4" w:space="0" w:color="auto"/>
            </w:tcBorders>
            <w:shd w:val="clear" w:color="auto" w:fill="auto"/>
            <w:tcMar>
              <w:top w:w="0" w:type="dxa"/>
              <w:left w:w="0" w:type="dxa"/>
              <w:bottom w:w="0" w:type="dxa"/>
              <w:right w:w="0" w:type="dxa"/>
            </w:tcMar>
          </w:tcPr>
          <w:p w14:paraId="73C95FC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bCs/>
                <w:sz w:val="18"/>
                <w:szCs w:val="18"/>
              </w:rPr>
              <w:t>Drug loading (% w/w)</w:t>
            </w:r>
          </w:p>
        </w:tc>
        <w:tc>
          <w:tcPr>
            <w:tcW w:w="2694" w:type="dxa"/>
            <w:tcBorders>
              <w:top w:val="single" w:sz="4" w:space="0" w:color="auto"/>
              <w:bottom w:val="single" w:sz="4" w:space="0" w:color="auto"/>
            </w:tcBorders>
            <w:shd w:val="clear" w:color="auto" w:fill="auto"/>
            <w:tcMar>
              <w:top w:w="0" w:type="dxa"/>
              <w:left w:w="0" w:type="dxa"/>
              <w:bottom w:w="0" w:type="dxa"/>
              <w:right w:w="0" w:type="dxa"/>
            </w:tcMar>
          </w:tcPr>
          <w:p w14:paraId="436D47B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bCs/>
                <w:sz w:val="18"/>
                <w:szCs w:val="18"/>
              </w:rPr>
              <w:t>Encapsulation efficiency (% w/w)</w:t>
            </w:r>
          </w:p>
        </w:tc>
      </w:tr>
      <w:tr w:rsidR="00325724" w14:paraId="4FF7B970" w14:textId="77777777">
        <w:trPr>
          <w:trHeight w:val="227"/>
        </w:trPr>
        <w:tc>
          <w:tcPr>
            <w:tcW w:w="2117" w:type="dxa"/>
            <w:tcBorders>
              <w:top w:val="single" w:sz="4" w:space="0" w:color="auto"/>
            </w:tcBorders>
            <w:shd w:val="clear" w:color="auto" w:fill="auto"/>
            <w:tcMar>
              <w:top w:w="0" w:type="dxa"/>
              <w:left w:w="0" w:type="dxa"/>
              <w:bottom w:w="0" w:type="dxa"/>
              <w:right w:w="0" w:type="dxa"/>
            </w:tcMar>
          </w:tcPr>
          <w:p w14:paraId="78F7708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4</w:t>
            </w:r>
          </w:p>
        </w:tc>
        <w:tc>
          <w:tcPr>
            <w:tcW w:w="2103" w:type="dxa"/>
            <w:tcBorders>
              <w:top w:val="single" w:sz="4" w:space="0" w:color="auto"/>
            </w:tcBorders>
            <w:shd w:val="clear" w:color="auto" w:fill="auto"/>
            <w:tcMar>
              <w:top w:w="0" w:type="dxa"/>
              <w:left w:w="0" w:type="dxa"/>
              <w:bottom w:w="0" w:type="dxa"/>
              <w:right w:w="0" w:type="dxa"/>
            </w:tcMar>
          </w:tcPr>
          <w:p w14:paraId="47A4CB67"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0.2</w:t>
            </w:r>
          </w:p>
        </w:tc>
        <w:tc>
          <w:tcPr>
            <w:tcW w:w="2007" w:type="dxa"/>
            <w:tcBorders>
              <w:top w:val="single" w:sz="4" w:space="0" w:color="auto"/>
            </w:tcBorders>
            <w:shd w:val="clear" w:color="auto" w:fill="auto"/>
            <w:tcMar>
              <w:top w:w="0" w:type="dxa"/>
              <w:left w:w="0" w:type="dxa"/>
              <w:bottom w:w="0" w:type="dxa"/>
              <w:right w:w="0" w:type="dxa"/>
            </w:tcMar>
          </w:tcPr>
          <w:p w14:paraId="181BF8A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1.24% ± 0.56%</w:t>
            </w:r>
          </w:p>
        </w:tc>
        <w:tc>
          <w:tcPr>
            <w:tcW w:w="2694" w:type="dxa"/>
            <w:tcBorders>
              <w:top w:val="single" w:sz="4" w:space="0" w:color="auto"/>
            </w:tcBorders>
            <w:shd w:val="clear" w:color="auto" w:fill="auto"/>
            <w:tcMar>
              <w:top w:w="0" w:type="dxa"/>
              <w:left w:w="0" w:type="dxa"/>
              <w:bottom w:w="0" w:type="dxa"/>
              <w:right w:w="0" w:type="dxa"/>
            </w:tcMar>
          </w:tcPr>
          <w:p w14:paraId="041FB88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24.8% ± 3.54%</w:t>
            </w:r>
          </w:p>
        </w:tc>
      </w:tr>
      <w:tr w:rsidR="00325724" w14:paraId="1F5322B5" w14:textId="77777777">
        <w:trPr>
          <w:trHeight w:val="227"/>
        </w:trPr>
        <w:tc>
          <w:tcPr>
            <w:tcW w:w="2117" w:type="dxa"/>
            <w:shd w:val="clear" w:color="auto" w:fill="auto"/>
            <w:tcMar>
              <w:top w:w="0" w:type="dxa"/>
              <w:left w:w="0" w:type="dxa"/>
              <w:bottom w:w="0" w:type="dxa"/>
              <w:right w:w="0" w:type="dxa"/>
            </w:tcMar>
          </w:tcPr>
          <w:p w14:paraId="6D91CAB6"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4</w:t>
            </w:r>
          </w:p>
        </w:tc>
        <w:tc>
          <w:tcPr>
            <w:tcW w:w="2103" w:type="dxa"/>
            <w:shd w:val="clear" w:color="auto" w:fill="auto"/>
            <w:tcMar>
              <w:top w:w="0" w:type="dxa"/>
              <w:left w:w="0" w:type="dxa"/>
              <w:bottom w:w="0" w:type="dxa"/>
              <w:right w:w="0" w:type="dxa"/>
            </w:tcMar>
          </w:tcPr>
          <w:p w14:paraId="0D1A9DD5"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0.4</w:t>
            </w:r>
          </w:p>
        </w:tc>
        <w:tc>
          <w:tcPr>
            <w:tcW w:w="2007" w:type="dxa"/>
            <w:shd w:val="clear" w:color="auto" w:fill="auto"/>
            <w:tcMar>
              <w:top w:w="0" w:type="dxa"/>
              <w:left w:w="0" w:type="dxa"/>
              <w:bottom w:w="0" w:type="dxa"/>
              <w:right w:w="0" w:type="dxa"/>
            </w:tcMar>
          </w:tcPr>
          <w:p w14:paraId="5125B5A4"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2.05% ± 0.32%</w:t>
            </w:r>
          </w:p>
        </w:tc>
        <w:tc>
          <w:tcPr>
            <w:tcW w:w="2694" w:type="dxa"/>
            <w:shd w:val="clear" w:color="auto" w:fill="auto"/>
            <w:tcMar>
              <w:top w:w="0" w:type="dxa"/>
              <w:left w:w="0" w:type="dxa"/>
              <w:bottom w:w="0" w:type="dxa"/>
              <w:right w:w="0" w:type="dxa"/>
            </w:tcMar>
          </w:tcPr>
          <w:p w14:paraId="2EB6367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20.3% ± 4.76%</w:t>
            </w:r>
          </w:p>
        </w:tc>
      </w:tr>
      <w:tr w:rsidR="00325724" w14:paraId="1497D13A" w14:textId="77777777">
        <w:trPr>
          <w:trHeight w:val="227"/>
        </w:trPr>
        <w:tc>
          <w:tcPr>
            <w:tcW w:w="2117" w:type="dxa"/>
            <w:shd w:val="clear" w:color="auto" w:fill="auto"/>
            <w:tcMar>
              <w:top w:w="0" w:type="dxa"/>
              <w:left w:w="0" w:type="dxa"/>
              <w:bottom w:w="0" w:type="dxa"/>
              <w:right w:w="0" w:type="dxa"/>
            </w:tcMar>
          </w:tcPr>
          <w:p w14:paraId="53674030"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8</w:t>
            </w:r>
          </w:p>
        </w:tc>
        <w:tc>
          <w:tcPr>
            <w:tcW w:w="2103" w:type="dxa"/>
            <w:shd w:val="clear" w:color="auto" w:fill="auto"/>
            <w:tcMar>
              <w:top w:w="0" w:type="dxa"/>
              <w:left w:w="0" w:type="dxa"/>
              <w:bottom w:w="0" w:type="dxa"/>
              <w:right w:w="0" w:type="dxa"/>
            </w:tcMar>
          </w:tcPr>
          <w:p w14:paraId="3B164163"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0.4</w:t>
            </w:r>
          </w:p>
        </w:tc>
        <w:tc>
          <w:tcPr>
            <w:tcW w:w="2007" w:type="dxa"/>
            <w:shd w:val="clear" w:color="auto" w:fill="auto"/>
            <w:tcMar>
              <w:top w:w="0" w:type="dxa"/>
              <w:left w:w="0" w:type="dxa"/>
              <w:bottom w:w="0" w:type="dxa"/>
              <w:right w:w="0" w:type="dxa"/>
            </w:tcMar>
          </w:tcPr>
          <w:p w14:paraId="5FD74589"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1.87% ± 0.68%</w:t>
            </w:r>
          </w:p>
        </w:tc>
        <w:tc>
          <w:tcPr>
            <w:tcW w:w="2694" w:type="dxa"/>
            <w:shd w:val="clear" w:color="auto" w:fill="auto"/>
            <w:tcMar>
              <w:top w:w="0" w:type="dxa"/>
              <w:left w:w="0" w:type="dxa"/>
              <w:bottom w:w="0" w:type="dxa"/>
              <w:right w:w="0" w:type="dxa"/>
            </w:tcMar>
          </w:tcPr>
          <w:p w14:paraId="6093790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37.5% ± 4.92%</w:t>
            </w:r>
          </w:p>
        </w:tc>
      </w:tr>
    </w:tbl>
    <w:p w14:paraId="1F4247F5" w14:textId="77777777" w:rsidR="00325724" w:rsidRDefault="00325724">
      <w:pPr>
        <w:adjustRightInd w:val="0"/>
        <w:snapToGrid w:val="0"/>
        <w:rPr>
          <w:rFonts w:ascii="Times New Roman" w:hAnsi="Times New Roman" w:cs="Times New Roman"/>
          <w:b/>
          <w:bCs/>
          <w:sz w:val="18"/>
          <w:szCs w:val="18"/>
        </w:rPr>
      </w:pPr>
    </w:p>
    <w:p w14:paraId="6DDA1434" w14:textId="77777777" w:rsidR="00325724" w:rsidRDefault="007426C1">
      <w:pPr>
        <w:adjustRightInd w:val="0"/>
        <w:snapToGrid w:val="0"/>
        <w:rPr>
          <w:rFonts w:ascii="Times New Roman" w:hAnsi="Times New Roman" w:cs="Times New Roman"/>
          <w:b/>
          <w:bCs/>
          <w:sz w:val="18"/>
          <w:szCs w:val="18"/>
        </w:rPr>
      </w:pPr>
      <w:r>
        <w:rPr>
          <w:rFonts w:ascii="Times New Roman" w:hAnsi="Times New Roman" w:cs="Times New Roman"/>
          <w:b/>
          <w:bCs/>
          <w:sz w:val="18"/>
          <w:szCs w:val="18"/>
        </w:rPr>
        <w:t>Table S5</w:t>
      </w:r>
    </w:p>
    <w:p w14:paraId="4CCF4A16" w14:textId="77777777" w:rsidR="00325724" w:rsidRDefault="007426C1">
      <w:pPr>
        <w:adjustRightInd w:val="0"/>
        <w:snapToGrid w:val="0"/>
        <w:rPr>
          <w:rFonts w:ascii="Times New Roman" w:eastAsia="Yu Mincho" w:hAnsi="Times New Roman" w:cs="Times New Roman"/>
          <w:bCs/>
          <w:kern w:val="0"/>
          <w:sz w:val="18"/>
          <w:szCs w:val="18"/>
          <w:lang w:val="de-DE" w:eastAsia="ja-JP"/>
        </w:rPr>
      </w:pPr>
      <w:r>
        <w:rPr>
          <w:rFonts w:ascii="Times New Roman" w:eastAsia="Times New Roman" w:hAnsi="Times New Roman" w:cs="Times New Roman"/>
          <w:bCs/>
          <w:kern w:val="0"/>
          <w:sz w:val="18"/>
          <w:szCs w:val="18"/>
          <w:lang w:val="de-DE" w:eastAsia="ja-JP"/>
        </w:rPr>
        <w:t xml:space="preserve">The size, dispersion, and surface charge of the SPNs–KGN nanoparticles were determined on the basis of the dynamic light scattering and zeta potential of the </w:t>
      </w:r>
      <w:r>
        <w:rPr>
          <w:rFonts w:ascii="Times New Roman" w:eastAsia="Times New Roman" w:hAnsi="Times New Roman" w:cs="Times New Roman"/>
          <w:bCs/>
          <w:kern w:val="0"/>
          <w:sz w:val="18"/>
          <w:szCs w:val="18"/>
          <w:lang w:val="de-DE" w:eastAsia="ja-JP"/>
        </w:rPr>
        <w:t>nanoparticles.</w:t>
      </w:r>
    </w:p>
    <w:tbl>
      <w:tblPr>
        <w:tblW w:w="6305"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295"/>
        <w:gridCol w:w="1387"/>
        <w:gridCol w:w="2623"/>
      </w:tblGrid>
      <w:tr w:rsidR="00325724" w14:paraId="47AACF97" w14:textId="77777777">
        <w:trPr>
          <w:trHeight w:val="227"/>
        </w:trPr>
        <w:tc>
          <w:tcPr>
            <w:tcW w:w="2295" w:type="dxa"/>
            <w:tcBorders>
              <w:top w:val="single" w:sz="4" w:space="0" w:color="auto"/>
              <w:bottom w:val="single" w:sz="4" w:space="0" w:color="auto"/>
            </w:tcBorders>
            <w:shd w:val="clear" w:color="auto" w:fill="auto"/>
            <w:tcMar>
              <w:top w:w="15" w:type="dxa"/>
              <w:left w:w="108" w:type="dxa"/>
              <w:bottom w:w="0" w:type="dxa"/>
              <w:right w:w="108" w:type="dxa"/>
            </w:tcMar>
          </w:tcPr>
          <w:p w14:paraId="4759FDC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bCs/>
                <w:sz w:val="18"/>
                <w:szCs w:val="18"/>
              </w:rPr>
              <w:t xml:space="preserve">Particle size </w:t>
            </w:r>
            <w:r>
              <w:rPr>
                <w:rFonts w:ascii="Times New Roman" w:hAnsi="Times New Roman" w:cs="Times New Roman" w:hint="eastAsia"/>
                <w:bCs/>
                <w:sz w:val="18"/>
                <w:szCs w:val="18"/>
              </w:rPr>
              <w:t>(</w:t>
            </w:r>
            <w:r>
              <w:rPr>
                <w:rFonts w:ascii="Times New Roman" w:hAnsi="Times New Roman" w:cs="Times New Roman"/>
                <w:bCs/>
                <w:sz w:val="18"/>
                <w:szCs w:val="18"/>
              </w:rPr>
              <w:t>nm</w:t>
            </w:r>
            <w:r>
              <w:rPr>
                <w:rFonts w:ascii="Times New Roman" w:hAnsi="Times New Roman" w:cs="Times New Roman" w:hint="eastAsia"/>
                <w:bCs/>
                <w:sz w:val="18"/>
                <w:szCs w:val="18"/>
              </w:rPr>
              <w:t>)</w:t>
            </w:r>
          </w:p>
        </w:tc>
        <w:tc>
          <w:tcPr>
            <w:tcW w:w="1387" w:type="dxa"/>
            <w:tcBorders>
              <w:top w:val="single" w:sz="4" w:space="0" w:color="auto"/>
              <w:bottom w:val="single" w:sz="4" w:space="0" w:color="auto"/>
            </w:tcBorders>
          </w:tcPr>
          <w:p w14:paraId="626A1961" w14:textId="77777777" w:rsidR="00325724" w:rsidRDefault="007426C1">
            <w:pPr>
              <w:adjustRightInd w:val="0"/>
              <w:snapToGrid w:val="0"/>
              <w:jc w:val="left"/>
              <w:rPr>
                <w:rFonts w:ascii="Times New Roman" w:hAnsi="Times New Roman" w:cs="Times New Roman"/>
                <w:bCs/>
                <w:sz w:val="18"/>
                <w:szCs w:val="18"/>
              </w:rPr>
            </w:pPr>
            <w:r>
              <w:rPr>
                <w:rFonts w:ascii="Times New Roman" w:hAnsi="Times New Roman" w:cs="Times New Roman"/>
                <w:bCs/>
                <w:sz w:val="18"/>
                <w:szCs w:val="18"/>
              </w:rPr>
              <w:t>Polydispersity</w:t>
            </w:r>
          </w:p>
        </w:tc>
        <w:tc>
          <w:tcPr>
            <w:tcW w:w="2623" w:type="dxa"/>
            <w:tcBorders>
              <w:top w:val="single" w:sz="4" w:space="0" w:color="auto"/>
              <w:bottom w:val="single" w:sz="4" w:space="0" w:color="auto"/>
            </w:tcBorders>
          </w:tcPr>
          <w:p w14:paraId="1B5C86C4" w14:textId="77777777" w:rsidR="00325724" w:rsidRDefault="007426C1">
            <w:pPr>
              <w:adjustRightInd w:val="0"/>
              <w:snapToGrid w:val="0"/>
              <w:jc w:val="left"/>
              <w:rPr>
                <w:rFonts w:ascii="Times New Roman" w:hAnsi="Times New Roman" w:cs="Times New Roman"/>
                <w:bCs/>
                <w:sz w:val="18"/>
                <w:szCs w:val="18"/>
              </w:rPr>
            </w:pPr>
            <w:r>
              <w:rPr>
                <w:rFonts w:ascii="Times New Roman" w:hAnsi="Times New Roman" w:cs="Times New Roman"/>
                <w:bCs/>
                <w:sz w:val="18"/>
                <w:szCs w:val="18"/>
              </w:rPr>
              <w:t xml:space="preserve">Zeta-potential </w:t>
            </w:r>
            <w:r>
              <w:rPr>
                <w:rFonts w:ascii="Times New Roman" w:hAnsi="Times New Roman" w:cs="Times New Roman" w:hint="eastAsia"/>
                <w:bCs/>
                <w:sz w:val="18"/>
                <w:szCs w:val="18"/>
              </w:rPr>
              <w:t>(</w:t>
            </w:r>
            <w:r>
              <w:rPr>
                <w:rFonts w:ascii="Times New Roman" w:hAnsi="Times New Roman" w:cs="Times New Roman"/>
                <w:bCs/>
                <w:sz w:val="18"/>
                <w:szCs w:val="18"/>
              </w:rPr>
              <w:t>mV</w:t>
            </w:r>
            <w:r>
              <w:rPr>
                <w:rFonts w:ascii="Times New Roman" w:hAnsi="Times New Roman" w:cs="Times New Roman" w:hint="eastAsia"/>
                <w:bCs/>
                <w:sz w:val="18"/>
                <w:szCs w:val="18"/>
              </w:rPr>
              <w:t>)</w:t>
            </w:r>
          </w:p>
        </w:tc>
      </w:tr>
      <w:tr w:rsidR="00325724" w14:paraId="3A09092F" w14:textId="77777777">
        <w:trPr>
          <w:trHeight w:val="227"/>
        </w:trPr>
        <w:tc>
          <w:tcPr>
            <w:tcW w:w="2295" w:type="dxa"/>
            <w:tcBorders>
              <w:top w:val="single" w:sz="4" w:space="0" w:color="auto"/>
            </w:tcBorders>
            <w:shd w:val="clear" w:color="auto" w:fill="auto"/>
            <w:tcMar>
              <w:top w:w="15" w:type="dxa"/>
              <w:left w:w="108" w:type="dxa"/>
              <w:bottom w:w="0" w:type="dxa"/>
              <w:right w:w="108" w:type="dxa"/>
            </w:tcMar>
          </w:tcPr>
          <w:p w14:paraId="7EEAAB25"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211.8 ± 8.23</w:t>
            </w:r>
          </w:p>
        </w:tc>
        <w:tc>
          <w:tcPr>
            <w:tcW w:w="1387" w:type="dxa"/>
            <w:tcBorders>
              <w:top w:val="single" w:sz="4" w:space="0" w:color="auto"/>
            </w:tcBorders>
            <w:vAlign w:val="center"/>
          </w:tcPr>
          <w:p w14:paraId="0BB49BBD"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0.326 ± 0.018</w:t>
            </w:r>
          </w:p>
        </w:tc>
        <w:tc>
          <w:tcPr>
            <w:tcW w:w="2623" w:type="dxa"/>
            <w:tcBorders>
              <w:top w:val="single" w:sz="4" w:space="0" w:color="auto"/>
            </w:tcBorders>
            <w:vAlign w:val="center"/>
          </w:tcPr>
          <w:p w14:paraId="2AC7475A" w14:textId="77777777" w:rsidR="00325724" w:rsidRDefault="007426C1">
            <w:pPr>
              <w:adjustRightInd w:val="0"/>
              <w:snapToGrid w:val="0"/>
              <w:jc w:val="left"/>
              <w:rPr>
                <w:rFonts w:ascii="Times New Roman" w:hAnsi="Times New Roman" w:cs="Times New Roman"/>
                <w:sz w:val="18"/>
                <w:szCs w:val="18"/>
              </w:rPr>
            </w:pPr>
            <w:r>
              <w:rPr>
                <w:rFonts w:ascii="Times New Roman" w:hAnsi="Times New Roman" w:cs="Times New Roman"/>
                <w:sz w:val="18"/>
                <w:szCs w:val="18"/>
              </w:rPr>
              <w:t>6.25 ± 0.36</w:t>
            </w:r>
          </w:p>
        </w:tc>
      </w:tr>
    </w:tbl>
    <w:p w14:paraId="07B2207A" w14:textId="77777777" w:rsidR="00325724" w:rsidRDefault="00325724">
      <w:pPr>
        <w:adjustRightInd w:val="0"/>
        <w:snapToGrid w:val="0"/>
        <w:rPr>
          <w:rFonts w:ascii="Times New Roman" w:eastAsia="等线" w:hAnsi="Times New Roman" w:cs="Times New Roman"/>
          <w:b/>
          <w:bCs/>
          <w:kern w:val="44"/>
          <w:sz w:val="28"/>
          <w:szCs w:val="44"/>
          <w:lang w:eastAsia="ja-JP"/>
        </w:rPr>
      </w:pPr>
    </w:p>
    <w:p w14:paraId="579497F9" w14:textId="77777777" w:rsidR="00325724" w:rsidRDefault="007426C1">
      <w:pPr>
        <w:adjustRightInd w:val="0"/>
        <w:snapToGrid w:val="0"/>
        <w:jc w:val="center"/>
        <w:rPr>
          <w:rFonts w:ascii="Times New Roman" w:hAnsi="Times New Roman" w:cs="Times New Roman"/>
          <w:sz w:val="18"/>
          <w:szCs w:val="18"/>
        </w:rPr>
      </w:pPr>
      <w:r>
        <w:rPr>
          <w:noProof/>
          <w:sz w:val="18"/>
          <w:szCs w:val="18"/>
        </w:rPr>
        <w:drawing>
          <wp:inline distT="0" distB="0" distL="0" distR="0">
            <wp:extent cx="3870960" cy="414147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875718" cy="4146355"/>
                    </a:xfrm>
                    <a:prstGeom prst="rect">
                      <a:avLst/>
                    </a:prstGeom>
                    <a:noFill/>
                    <a:ln>
                      <a:noFill/>
                    </a:ln>
                  </pic:spPr>
                </pic:pic>
              </a:graphicData>
            </a:graphic>
          </wp:inline>
        </w:drawing>
      </w:r>
    </w:p>
    <w:p w14:paraId="7A971960" w14:textId="77777777" w:rsidR="00325724" w:rsidRDefault="007426C1">
      <w:pPr>
        <w:adjustRightInd w:val="0"/>
        <w:snapToGrid w:val="0"/>
        <w:jc w:val="center"/>
        <w:rPr>
          <w:rFonts w:ascii="Times New Roman" w:hAnsi="Times New Roman" w:cs="Times New Roman"/>
          <w:sz w:val="18"/>
          <w:szCs w:val="18"/>
        </w:rPr>
      </w:pPr>
      <w:r>
        <w:rPr>
          <w:rFonts w:ascii="Times New Roman" w:hAnsi="Times New Roman" w:cs="Times New Roman" w:hint="eastAsia"/>
          <w:b/>
          <w:sz w:val="18"/>
          <w:szCs w:val="18"/>
        </w:rPr>
        <w:t>Fig</w:t>
      </w:r>
      <w:r>
        <w:rPr>
          <w:rFonts w:ascii="Times New Roman" w:hAnsi="Times New Roman" w:cs="Times New Roman"/>
          <w:b/>
          <w:sz w:val="18"/>
          <w:szCs w:val="18"/>
        </w:rPr>
        <w:t>. S3.</w:t>
      </w:r>
      <w:r>
        <w:rPr>
          <w:rFonts w:ascii="Times New Roman" w:hAnsi="Times New Roman" w:cs="Times New Roman"/>
          <w:sz w:val="18"/>
          <w:szCs w:val="18"/>
        </w:rPr>
        <w:t xml:space="preserve"> </w:t>
      </w:r>
      <w:r>
        <w:rPr>
          <w:rFonts w:ascii="Times New Roman" w:hAnsi="Times New Roman" w:cs="Times New Roman"/>
          <w:sz w:val="18"/>
          <w:szCs w:val="18"/>
          <w:vertAlign w:val="superscript"/>
        </w:rPr>
        <w:t>1</w:t>
      </w:r>
      <w:r>
        <w:rPr>
          <w:rFonts w:ascii="Times New Roman" w:hAnsi="Times New Roman" w:cs="Times New Roman"/>
          <w:sz w:val="18"/>
          <w:szCs w:val="18"/>
        </w:rPr>
        <w:t>H NMR spectra of the HLC(D</w:t>
      </w:r>
      <w:r>
        <w:rPr>
          <w:rFonts w:ascii="Times New Roman" w:hAnsi="Times New Roman" w:cs="Times New Roman" w:hint="eastAsia"/>
          <w:sz w:val="18"/>
          <w:szCs w:val="18"/>
        </w:rPr>
        <w:t>ex</w:t>
      </w:r>
      <w:r>
        <w:rPr>
          <w:rFonts w:ascii="Times New Roman" w:hAnsi="Times New Roman" w:cs="Times New Roman"/>
          <w:sz w:val="18"/>
          <w:szCs w:val="18"/>
        </w:rPr>
        <w:t>) compounds.</w:t>
      </w:r>
    </w:p>
    <w:p w14:paraId="0239B239" w14:textId="77777777" w:rsidR="00325724" w:rsidRDefault="00325724">
      <w:pPr>
        <w:adjustRightInd w:val="0"/>
        <w:snapToGrid w:val="0"/>
        <w:jc w:val="center"/>
        <w:rPr>
          <w:rFonts w:ascii="Times New Roman" w:hAnsi="Times New Roman" w:cs="Times New Roman"/>
          <w:sz w:val="18"/>
          <w:szCs w:val="18"/>
        </w:rPr>
      </w:pPr>
    </w:p>
    <w:p w14:paraId="11B563A0" w14:textId="77777777" w:rsidR="00325724" w:rsidRDefault="007426C1">
      <w:pPr>
        <w:adjustRightInd w:val="0"/>
        <w:snapToGrid w:val="0"/>
        <w:jc w:val="center"/>
        <w:rPr>
          <w:rFonts w:ascii="Times New Roman" w:eastAsia="Yu Mincho" w:hAnsi="Times New Roman" w:cs="Times New Roman"/>
          <w:b/>
          <w:bCs/>
          <w:kern w:val="44"/>
          <w:sz w:val="18"/>
          <w:szCs w:val="18"/>
          <w:lang w:eastAsia="ja-JP"/>
        </w:rPr>
      </w:pPr>
      <w:r>
        <w:rPr>
          <w:noProof/>
          <w:sz w:val="18"/>
          <w:szCs w:val="18"/>
        </w:rPr>
        <w:drawing>
          <wp:inline distT="0" distB="0" distL="0" distR="0">
            <wp:extent cx="6827520" cy="289750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842881" cy="2904064"/>
                    </a:xfrm>
                    <a:prstGeom prst="rect">
                      <a:avLst/>
                    </a:prstGeom>
                    <a:noFill/>
                    <a:ln>
                      <a:noFill/>
                    </a:ln>
                  </pic:spPr>
                </pic:pic>
              </a:graphicData>
            </a:graphic>
          </wp:inline>
        </w:drawing>
      </w:r>
    </w:p>
    <w:p w14:paraId="76BBAC64" w14:textId="77777777" w:rsidR="00325724" w:rsidRDefault="007426C1">
      <w:pPr>
        <w:adjustRightInd w:val="0"/>
        <w:snapToGrid w:val="0"/>
        <w:rPr>
          <w:rFonts w:ascii="Times New Roman" w:eastAsia="Yu Mincho" w:hAnsi="Times New Roman" w:cs="Times New Roman"/>
          <w:b/>
          <w:bCs/>
          <w:kern w:val="44"/>
          <w:sz w:val="18"/>
          <w:szCs w:val="18"/>
          <w:lang w:eastAsia="ja-JP"/>
        </w:rPr>
      </w:pPr>
      <w:r>
        <w:rPr>
          <w:rFonts w:ascii="Times New Roman" w:hAnsi="Times New Roman" w:cs="Times New Roman" w:hint="eastAsia"/>
          <w:b/>
          <w:sz w:val="18"/>
          <w:szCs w:val="18"/>
        </w:rPr>
        <w:t>Fig</w:t>
      </w:r>
      <w:r>
        <w:rPr>
          <w:rFonts w:ascii="Times New Roman" w:hAnsi="Times New Roman" w:cs="Times New Roman"/>
          <w:b/>
          <w:sz w:val="18"/>
          <w:szCs w:val="18"/>
        </w:rPr>
        <w:t>. S4.</w:t>
      </w:r>
      <w:r>
        <w:rPr>
          <w:rFonts w:ascii="Times New Roman" w:hAnsi="Times New Roman" w:cs="Times New Roman"/>
          <w:sz w:val="18"/>
          <w:szCs w:val="18"/>
        </w:rPr>
        <w:t xml:space="preserve"> The anti-inflammatory effect of the hydrogel on the RAW264.7 cells that were induced by LPS. The confocal microscopy images of the immunofluorescence staining of the cells for TNF-α (red), IL-10 (green), and DAPI (blue). The scale bars indicate 50-µm scal</w:t>
      </w:r>
      <w:r>
        <w:rPr>
          <w:rFonts w:ascii="Times New Roman" w:hAnsi="Times New Roman" w:cs="Times New Roman"/>
          <w:sz w:val="18"/>
          <w:szCs w:val="18"/>
        </w:rPr>
        <w:t>es.</w:t>
      </w:r>
    </w:p>
    <w:p w14:paraId="18D16C2C" w14:textId="77777777" w:rsidR="00325724" w:rsidRDefault="007426C1">
      <w:pPr>
        <w:adjustRightInd w:val="0"/>
        <w:snapToGrid w:val="0"/>
        <w:jc w:val="center"/>
        <w:rPr>
          <w:sz w:val="18"/>
          <w:szCs w:val="18"/>
        </w:rPr>
      </w:pPr>
      <w:bookmarkStart w:id="30" w:name="_Hlk103200355"/>
      <w:r>
        <w:rPr>
          <w:noProof/>
          <w:sz w:val="18"/>
          <w:szCs w:val="18"/>
        </w:rPr>
        <w:drawing>
          <wp:inline distT="0" distB="0" distL="0" distR="0">
            <wp:extent cx="3794125" cy="36880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rcRect t="2967" b="3992"/>
                    <a:stretch>
                      <a:fillRect/>
                    </a:stretch>
                  </pic:blipFill>
                  <pic:spPr>
                    <a:xfrm>
                      <a:off x="0" y="0"/>
                      <a:ext cx="3813760" cy="3707301"/>
                    </a:xfrm>
                    <a:prstGeom prst="rect">
                      <a:avLst/>
                    </a:prstGeom>
                    <a:ln>
                      <a:noFill/>
                    </a:ln>
                  </pic:spPr>
                </pic:pic>
              </a:graphicData>
            </a:graphic>
          </wp:inline>
        </w:drawing>
      </w:r>
    </w:p>
    <w:p w14:paraId="352F8091" w14:textId="77777777" w:rsidR="00325724" w:rsidRDefault="007426C1">
      <w:pPr>
        <w:adjustRightInd w:val="0"/>
        <w:snapToGrid w:val="0"/>
        <w:rPr>
          <w:rFonts w:ascii="Times New Roman" w:hAnsi="Times New Roman" w:cs="Times New Roman"/>
          <w:sz w:val="18"/>
          <w:szCs w:val="18"/>
        </w:rPr>
      </w:pPr>
      <w:r>
        <w:rPr>
          <w:rFonts w:ascii="Times New Roman" w:hAnsi="Times New Roman" w:cs="Times New Roman"/>
          <w:b/>
          <w:sz w:val="18"/>
          <w:szCs w:val="18"/>
        </w:rPr>
        <w:t>Fig. S5.</w:t>
      </w:r>
      <w:r>
        <w:rPr>
          <w:sz w:val="18"/>
          <w:szCs w:val="18"/>
        </w:rPr>
        <w:t xml:space="preserve"> </w:t>
      </w:r>
      <w:r>
        <w:rPr>
          <w:rFonts w:ascii="Times New Roman" w:hAnsi="Times New Roman" w:cs="Times New Roman"/>
          <w:sz w:val="18"/>
          <w:szCs w:val="18"/>
        </w:rPr>
        <w:t>Enzyme-linked immunosorbent assay (ELISA) was performed to assess the concentration of COMP, Col II, aggrecan, and SOX-9 secreted by the cells.</w:t>
      </w:r>
    </w:p>
    <w:p w14:paraId="7A64176F" w14:textId="77777777" w:rsidR="00325724" w:rsidRDefault="00325724">
      <w:pPr>
        <w:adjustRightInd w:val="0"/>
        <w:snapToGrid w:val="0"/>
        <w:jc w:val="center"/>
        <w:rPr>
          <w:rFonts w:ascii="Times New Roman" w:hAnsi="Times New Roman" w:cs="Times New Roman"/>
          <w:sz w:val="18"/>
          <w:szCs w:val="18"/>
        </w:rPr>
      </w:pPr>
    </w:p>
    <w:p w14:paraId="6CE3F894" w14:textId="77777777" w:rsidR="00325724" w:rsidRDefault="007426C1">
      <w:pPr>
        <w:adjustRightInd w:val="0"/>
        <w:snapToGrid w:val="0"/>
        <w:jc w:val="center"/>
        <w:rPr>
          <w:rFonts w:ascii="Times New Roman" w:eastAsia="宋体" w:hAnsi="Times New Roman" w:cs="Times New Roman"/>
          <w:color w:val="000000"/>
          <w:kern w:val="0"/>
          <w:sz w:val="18"/>
          <w:szCs w:val="18"/>
          <w:lang w:val="de-DE"/>
        </w:rPr>
      </w:pPr>
      <w:r>
        <w:rPr>
          <w:rFonts w:ascii="Times New Roman" w:eastAsia="宋体" w:hAnsi="Times New Roman" w:cs="Times New Roman" w:hint="eastAsia"/>
          <w:noProof/>
          <w:color w:val="000000"/>
          <w:kern w:val="0"/>
          <w:sz w:val="18"/>
          <w:szCs w:val="18"/>
        </w:rPr>
        <w:drawing>
          <wp:inline distT="0" distB="0" distL="114300" distR="114300">
            <wp:extent cx="5266055" cy="5545455"/>
            <wp:effectExtent l="0" t="0" r="0" b="0"/>
            <wp:docPr id="8" name="图片 8" descr="未标题-2 拷贝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未标题-2 拷贝 - 副本"/>
                    <pic:cNvPicPr>
                      <a:picLocks noChangeAspect="1"/>
                    </pic:cNvPicPr>
                  </pic:nvPicPr>
                  <pic:blipFill>
                    <a:blip r:embed="rId10"/>
                    <a:srcRect t="1862" b="1520"/>
                    <a:stretch>
                      <a:fillRect/>
                    </a:stretch>
                  </pic:blipFill>
                  <pic:spPr>
                    <a:xfrm>
                      <a:off x="0" y="0"/>
                      <a:ext cx="5266690" cy="5546206"/>
                    </a:xfrm>
                    <a:prstGeom prst="rect">
                      <a:avLst/>
                    </a:prstGeom>
                    <a:ln>
                      <a:noFill/>
                    </a:ln>
                  </pic:spPr>
                </pic:pic>
              </a:graphicData>
            </a:graphic>
          </wp:inline>
        </w:drawing>
      </w:r>
    </w:p>
    <w:p w14:paraId="00C43E54" w14:textId="77777777" w:rsidR="00325724" w:rsidRDefault="007426C1">
      <w:pPr>
        <w:adjustRightInd w:val="0"/>
        <w:snapToGrid w:val="0"/>
        <w:rPr>
          <w:rFonts w:ascii="Times New Roman" w:eastAsia="等线" w:hAnsi="Times New Roman" w:cs="Times New Roman"/>
          <w:kern w:val="0"/>
          <w:sz w:val="18"/>
          <w:szCs w:val="18"/>
          <w:lang w:val="de-DE"/>
        </w:rPr>
      </w:pPr>
      <w:r>
        <w:rPr>
          <w:rFonts w:ascii="Times New Roman" w:hAnsi="Times New Roman" w:cs="Times New Roman"/>
          <w:b/>
          <w:sz w:val="18"/>
          <w:szCs w:val="18"/>
        </w:rPr>
        <w:t>Fig. S6.</w:t>
      </w:r>
      <w:r>
        <w:rPr>
          <w:sz w:val="18"/>
          <w:szCs w:val="18"/>
        </w:rPr>
        <w:t xml:space="preserve"> </w:t>
      </w:r>
      <w:r>
        <w:rPr>
          <w:rFonts w:ascii="Times New Roman" w:eastAsia="等线" w:hAnsi="Times New Roman" w:cs="Times New Roman"/>
          <w:i/>
          <w:kern w:val="0"/>
          <w:sz w:val="18"/>
          <w:szCs w:val="18"/>
          <w:lang w:val="de-DE"/>
        </w:rPr>
        <w:t>In vivo</w:t>
      </w:r>
      <w:r>
        <w:rPr>
          <w:rFonts w:ascii="Times New Roman" w:eastAsia="等线" w:hAnsi="Times New Roman" w:cs="Times New Roman"/>
          <w:kern w:val="0"/>
          <w:sz w:val="18"/>
          <w:szCs w:val="18"/>
          <w:lang w:val="de-DE"/>
        </w:rPr>
        <w:t xml:space="preserve"> degradation and anti-inflammatory properties. </w:t>
      </w:r>
      <w:r>
        <w:rPr>
          <w:rFonts w:ascii="Times New Roman" w:eastAsia="等线" w:hAnsi="Times New Roman" w:cs="Times New Roman" w:hint="eastAsia"/>
          <w:kern w:val="0"/>
          <w:sz w:val="18"/>
          <w:szCs w:val="18"/>
        </w:rPr>
        <w:t xml:space="preserve">(a) </w:t>
      </w:r>
      <w:r>
        <w:rPr>
          <w:rFonts w:ascii="Times New Roman" w:eastAsia="等线" w:hAnsi="Times New Roman" w:cs="Times New Roman"/>
          <w:kern w:val="0"/>
          <w:sz w:val="18"/>
          <w:szCs w:val="18"/>
          <w:lang w:val="de-DE"/>
        </w:rPr>
        <w:t xml:space="preserve">The subcutaneous degradation of hydrogel samples on weeks 1, 5, and 10. </w:t>
      </w:r>
      <w:r>
        <w:rPr>
          <w:rFonts w:ascii="Times New Roman" w:eastAsia="等线" w:hAnsi="Times New Roman" w:cs="Times New Roman" w:hint="eastAsia"/>
          <w:kern w:val="0"/>
          <w:sz w:val="18"/>
          <w:szCs w:val="18"/>
        </w:rPr>
        <w:t>(b)</w:t>
      </w:r>
      <w:r>
        <w:rPr>
          <w:rFonts w:ascii="Times New Roman" w:eastAsia="Times New Roman" w:hAnsi="Times New Roman" w:cs="Times New Roman"/>
          <w:kern w:val="0"/>
          <w:sz w:val="18"/>
          <w:szCs w:val="18"/>
          <w:lang w:val="de-DE" w:eastAsia="ja-JP"/>
        </w:rPr>
        <w:t xml:space="preserve"> The </w:t>
      </w:r>
      <w:r>
        <w:rPr>
          <w:rFonts w:ascii="Times New Roman" w:eastAsia="等线" w:hAnsi="Times New Roman" w:cs="Times New Roman"/>
          <w:kern w:val="0"/>
          <w:sz w:val="18"/>
          <w:szCs w:val="18"/>
          <w:lang w:val="de-DE"/>
        </w:rPr>
        <w:t xml:space="preserve">SEM images of the hydrogels after the subcutaneous degradation. </w:t>
      </w:r>
      <w:r>
        <w:rPr>
          <w:rFonts w:ascii="Times New Roman" w:eastAsia="等线" w:hAnsi="Times New Roman" w:cs="Times New Roman" w:hint="eastAsia"/>
          <w:kern w:val="0"/>
          <w:sz w:val="18"/>
          <w:szCs w:val="18"/>
        </w:rPr>
        <w:t xml:space="preserve">(c) </w:t>
      </w:r>
      <w:r>
        <w:rPr>
          <w:rFonts w:ascii="Times New Roman" w:eastAsia="等线" w:hAnsi="Times New Roman" w:cs="Times New Roman"/>
          <w:kern w:val="0"/>
          <w:sz w:val="18"/>
          <w:szCs w:val="18"/>
          <w:lang w:val="de-DE"/>
        </w:rPr>
        <w:t>The H&amp;E staining of the skin specimens after the subcutaneous implantation of the hydrogel samples. Yellow a</w:t>
      </w:r>
      <w:r>
        <w:rPr>
          <w:rFonts w:ascii="Times New Roman" w:eastAsia="等线" w:hAnsi="Times New Roman" w:cs="Times New Roman"/>
          <w:kern w:val="0"/>
          <w:sz w:val="18"/>
          <w:szCs w:val="18"/>
          <w:lang w:val="de-DE"/>
        </w:rPr>
        <w:t>rrows point to inflammatory cells</w:t>
      </w:r>
      <w:r>
        <w:rPr>
          <w:rFonts w:ascii="Times New Roman" w:eastAsia="等线" w:hAnsi="Times New Roman" w:cs="Times New Roman" w:hint="eastAsia"/>
          <w:kern w:val="0"/>
          <w:sz w:val="18"/>
          <w:szCs w:val="18"/>
          <w:lang w:val="de-DE"/>
        </w:rPr>
        <w:t>.</w:t>
      </w:r>
      <w:r>
        <w:rPr>
          <w:rFonts w:ascii="Times New Roman" w:eastAsia="等线" w:hAnsi="Times New Roman" w:cs="Times New Roman"/>
          <w:kern w:val="0"/>
          <w:sz w:val="18"/>
          <w:szCs w:val="18"/>
          <w:lang w:val="de-DE"/>
        </w:rPr>
        <w:t xml:space="preserve"> The scale bars indicate 100-µm. </w:t>
      </w:r>
      <w:r>
        <w:rPr>
          <w:rFonts w:ascii="Times New Roman" w:eastAsia="等线" w:hAnsi="Times New Roman" w:cs="Times New Roman" w:hint="eastAsia"/>
          <w:kern w:val="0"/>
          <w:sz w:val="18"/>
          <w:szCs w:val="18"/>
        </w:rPr>
        <w:t xml:space="preserve">(d) </w:t>
      </w:r>
      <w:r>
        <w:rPr>
          <w:rFonts w:ascii="Times New Roman" w:eastAsia="等线" w:hAnsi="Times New Roman" w:cs="Times New Roman"/>
          <w:kern w:val="0"/>
          <w:sz w:val="18"/>
          <w:szCs w:val="18"/>
          <w:lang w:val="de-DE"/>
        </w:rPr>
        <w:t>The immunohistochemical staining for pro-inflammatory factor TNF-α. The scale bars indicate 100 µm.</w:t>
      </w:r>
    </w:p>
    <w:p w14:paraId="7577B125" w14:textId="77777777" w:rsidR="00325724" w:rsidRDefault="00325724">
      <w:pPr>
        <w:adjustRightInd w:val="0"/>
        <w:snapToGrid w:val="0"/>
        <w:rPr>
          <w:rFonts w:ascii="Times New Roman" w:eastAsia="等线" w:hAnsi="Times New Roman" w:cs="Times New Roman"/>
          <w:bCs/>
          <w:kern w:val="0"/>
          <w:sz w:val="18"/>
          <w:szCs w:val="18"/>
          <w:lang w:val="de-DE"/>
        </w:rPr>
      </w:pPr>
    </w:p>
    <w:p w14:paraId="7394439D" w14:textId="77777777" w:rsidR="00325724" w:rsidRDefault="007426C1">
      <w:pPr>
        <w:adjustRightInd w:val="0"/>
        <w:snapToGrid w:val="0"/>
        <w:jc w:val="center"/>
        <w:rPr>
          <w:rFonts w:ascii="Times New Roman" w:hAnsi="Times New Roman"/>
          <w:b/>
          <w:sz w:val="18"/>
          <w:szCs w:val="18"/>
        </w:rPr>
      </w:pPr>
      <w:r>
        <w:rPr>
          <w:noProof/>
          <w:sz w:val="18"/>
          <w:szCs w:val="18"/>
        </w:rPr>
        <w:drawing>
          <wp:inline distT="0" distB="0" distL="0" distR="0">
            <wp:extent cx="2854325" cy="1960245"/>
            <wp:effectExtent l="0" t="0" r="3175"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1" cstate="print">
                      <a:extLst>
                        <a:ext uri="{28A0092B-C50C-407E-A947-70E740481C1C}">
                          <a14:useLocalDpi xmlns:a14="http://schemas.microsoft.com/office/drawing/2010/main" val="0"/>
                        </a:ext>
                      </a:extLst>
                    </a:blip>
                    <a:srcRect l="2671" t="6546" r="7474" b="4736"/>
                    <a:stretch>
                      <a:fillRect/>
                    </a:stretch>
                  </pic:blipFill>
                  <pic:spPr>
                    <a:xfrm>
                      <a:off x="0" y="0"/>
                      <a:ext cx="2872119" cy="1972899"/>
                    </a:xfrm>
                    <a:prstGeom prst="rect">
                      <a:avLst/>
                    </a:prstGeom>
                    <a:noFill/>
                    <a:ln>
                      <a:noFill/>
                    </a:ln>
                  </pic:spPr>
                </pic:pic>
              </a:graphicData>
            </a:graphic>
          </wp:inline>
        </w:drawing>
      </w:r>
    </w:p>
    <w:p w14:paraId="19F2DA27" w14:textId="77777777" w:rsidR="00325724" w:rsidRDefault="007426C1">
      <w:pPr>
        <w:adjustRightInd w:val="0"/>
        <w:snapToGrid w:val="0"/>
        <w:jc w:val="center"/>
        <w:rPr>
          <w:rFonts w:ascii="Times New Roman" w:hAnsi="Times New Roman" w:cs="Times New Roman"/>
          <w:b/>
          <w:sz w:val="18"/>
          <w:szCs w:val="18"/>
        </w:rPr>
      </w:pPr>
      <w:r>
        <w:rPr>
          <w:rFonts w:ascii="Times New Roman" w:hAnsi="Times New Roman" w:cs="Times New Roman" w:hint="eastAsia"/>
          <w:b/>
          <w:sz w:val="18"/>
          <w:szCs w:val="18"/>
        </w:rPr>
        <w:t>F</w:t>
      </w:r>
      <w:r>
        <w:rPr>
          <w:rFonts w:ascii="Times New Roman" w:hAnsi="Times New Roman" w:cs="Times New Roman"/>
          <w:b/>
          <w:sz w:val="18"/>
          <w:szCs w:val="18"/>
        </w:rPr>
        <w:t xml:space="preserve">ig. S7. </w:t>
      </w:r>
      <w:r>
        <w:rPr>
          <w:rFonts w:ascii="Times New Roman" w:hAnsi="Times New Roman" w:cs="Times New Roman"/>
          <w:sz w:val="18"/>
          <w:szCs w:val="18"/>
        </w:rPr>
        <w:t>Weight loss in subcutaneous degradation of hydrogels</w:t>
      </w:r>
      <w:r>
        <w:rPr>
          <w:rFonts w:ascii="Times New Roman" w:hAnsi="Times New Roman" w:cs="Times New Roman" w:hint="eastAsia"/>
          <w:sz w:val="18"/>
          <w:szCs w:val="18"/>
        </w:rPr>
        <w:t>.</w:t>
      </w:r>
    </w:p>
    <w:p w14:paraId="14A7C4FD" w14:textId="77777777" w:rsidR="00325724" w:rsidRDefault="00325724">
      <w:pPr>
        <w:adjustRightInd w:val="0"/>
        <w:snapToGrid w:val="0"/>
        <w:jc w:val="center"/>
        <w:rPr>
          <w:rFonts w:ascii="Times New Roman" w:hAnsi="Times New Roman" w:cs="Times New Roman"/>
          <w:sz w:val="18"/>
          <w:szCs w:val="18"/>
        </w:rPr>
      </w:pPr>
    </w:p>
    <w:bookmarkEnd w:id="30"/>
    <w:p w14:paraId="033CE7F1" w14:textId="77777777" w:rsidR="00325724" w:rsidRDefault="007426C1">
      <w:pPr>
        <w:adjustRightInd w:val="0"/>
        <w:snapToGrid w:val="0"/>
        <w:jc w:val="center"/>
        <w:rPr>
          <w:sz w:val="18"/>
          <w:szCs w:val="18"/>
        </w:rPr>
      </w:pPr>
      <w:r>
        <w:rPr>
          <w:noProof/>
          <w:sz w:val="18"/>
          <w:szCs w:val="18"/>
        </w:rPr>
        <w:drawing>
          <wp:inline distT="0" distB="0" distL="0" distR="0">
            <wp:extent cx="5274310" cy="198310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5274310" cy="1983105"/>
                    </a:xfrm>
                    <a:prstGeom prst="rect">
                      <a:avLst/>
                    </a:prstGeom>
                  </pic:spPr>
                </pic:pic>
              </a:graphicData>
            </a:graphic>
          </wp:inline>
        </w:drawing>
      </w:r>
    </w:p>
    <w:p w14:paraId="529ACDB5" w14:textId="77777777" w:rsidR="00325724" w:rsidRDefault="007426C1">
      <w:pPr>
        <w:adjustRightInd w:val="0"/>
        <w:snapToGrid w:val="0"/>
        <w:jc w:val="center"/>
        <w:rPr>
          <w:rFonts w:ascii="Times New Roman" w:hAnsi="Times New Roman" w:cs="Times New Roman"/>
          <w:sz w:val="18"/>
          <w:szCs w:val="18"/>
        </w:rPr>
      </w:pPr>
      <w:r>
        <w:rPr>
          <w:rFonts w:ascii="Times New Roman" w:hAnsi="Times New Roman" w:cs="Times New Roman"/>
          <w:b/>
          <w:sz w:val="18"/>
          <w:szCs w:val="18"/>
        </w:rPr>
        <w:t>Fig. S8.</w:t>
      </w:r>
      <w:r>
        <w:rPr>
          <w:rFonts w:ascii="Times New Roman" w:hAnsi="Times New Roman" w:cs="Times New Roman"/>
          <w:sz w:val="18"/>
          <w:szCs w:val="18"/>
        </w:rPr>
        <w:t xml:space="preserve"> Fibrous capsule at the site of bone injury (black arrow indicates fibrous capsule).</w:t>
      </w:r>
    </w:p>
    <w:p w14:paraId="14A854B7" w14:textId="77777777" w:rsidR="00325724" w:rsidRDefault="00325724">
      <w:pPr>
        <w:jc w:val="left"/>
      </w:pPr>
      <w:bookmarkStart w:id="31" w:name="_GoBack"/>
      <w:bookmarkEnd w:id="31"/>
    </w:p>
    <w:sectPr w:rsidR="00325724">
      <w:pgSz w:w="11906" w:h="16838"/>
      <w:pgMar w:top="1616" w:right="737" w:bottom="1616" w:left="73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dvTT5235d5a9">
    <w:altName w:val="Times New Roman"/>
    <w:charset w:val="00"/>
    <w:family w:val="roman"/>
    <w:pitch w:val="default"/>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Roboto">
    <w:altName w:val="Segoe Print"/>
    <w:charset w:val="00"/>
    <w:family w:val="auto"/>
    <w:pitch w:val="default"/>
    <w:sig w:usb0="00000000" w:usb1="00000000" w:usb2="00000020" w:usb3="00000000" w:csb0="0000019F" w:csb1="00000000"/>
  </w:font>
  <w:font w:name="Yu Mincho">
    <w:altName w:val="Yu Gothic UI"/>
    <w:charset w:val="80"/>
    <w:family w:val="roman"/>
    <w:pitch w:val="default"/>
    <w:sig w:usb0="00000000" w:usb1="00000000"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420"/>
  <w:drawingGridHorizontalSpacing w:val="105"/>
  <w:drawingGridVerticalSpacing w:val="156"/>
  <w:noPunctuationKerning/>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082"/>
    <w:rsid w:val="00005FCD"/>
    <w:rsid w:val="00023ED3"/>
    <w:rsid w:val="000420FC"/>
    <w:rsid w:val="00055735"/>
    <w:rsid w:val="000946EE"/>
    <w:rsid w:val="000A1D7C"/>
    <w:rsid w:val="00117B99"/>
    <w:rsid w:val="00120C0E"/>
    <w:rsid w:val="00122F91"/>
    <w:rsid w:val="00165715"/>
    <w:rsid w:val="00175949"/>
    <w:rsid w:val="0017796D"/>
    <w:rsid w:val="001E0066"/>
    <w:rsid w:val="00204B7F"/>
    <w:rsid w:val="00223A9B"/>
    <w:rsid w:val="0022674E"/>
    <w:rsid w:val="00251A47"/>
    <w:rsid w:val="002878B9"/>
    <w:rsid w:val="00291FEA"/>
    <w:rsid w:val="00293392"/>
    <w:rsid w:val="002A5526"/>
    <w:rsid w:val="002C6618"/>
    <w:rsid w:val="002F3DE9"/>
    <w:rsid w:val="00301F14"/>
    <w:rsid w:val="00325724"/>
    <w:rsid w:val="00336FB3"/>
    <w:rsid w:val="003810E8"/>
    <w:rsid w:val="00385EB8"/>
    <w:rsid w:val="003A493F"/>
    <w:rsid w:val="003D4445"/>
    <w:rsid w:val="003E68E3"/>
    <w:rsid w:val="003F1BE4"/>
    <w:rsid w:val="004D5938"/>
    <w:rsid w:val="004F4EEB"/>
    <w:rsid w:val="00533E88"/>
    <w:rsid w:val="00541393"/>
    <w:rsid w:val="00550641"/>
    <w:rsid w:val="005557F2"/>
    <w:rsid w:val="00567719"/>
    <w:rsid w:val="00572887"/>
    <w:rsid w:val="00583DDD"/>
    <w:rsid w:val="00587794"/>
    <w:rsid w:val="00595072"/>
    <w:rsid w:val="00595FF7"/>
    <w:rsid w:val="005A13DF"/>
    <w:rsid w:val="005E6AD3"/>
    <w:rsid w:val="00641C60"/>
    <w:rsid w:val="00661CB1"/>
    <w:rsid w:val="0067467A"/>
    <w:rsid w:val="006B372F"/>
    <w:rsid w:val="006E36EE"/>
    <w:rsid w:val="006E597D"/>
    <w:rsid w:val="00703005"/>
    <w:rsid w:val="007426C1"/>
    <w:rsid w:val="007C0612"/>
    <w:rsid w:val="007C403A"/>
    <w:rsid w:val="007E1BFB"/>
    <w:rsid w:val="007F3E7A"/>
    <w:rsid w:val="00804481"/>
    <w:rsid w:val="008367BF"/>
    <w:rsid w:val="00892077"/>
    <w:rsid w:val="008A4263"/>
    <w:rsid w:val="008C2FF9"/>
    <w:rsid w:val="00925572"/>
    <w:rsid w:val="00926BB5"/>
    <w:rsid w:val="009379C2"/>
    <w:rsid w:val="00953427"/>
    <w:rsid w:val="009A36D2"/>
    <w:rsid w:val="009B038A"/>
    <w:rsid w:val="009C72B6"/>
    <w:rsid w:val="009D6F10"/>
    <w:rsid w:val="009E3978"/>
    <w:rsid w:val="00A04E5D"/>
    <w:rsid w:val="00A30E84"/>
    <w:rsid w:val="00A43B1E"/>
    <w:rsid w:val="00A679EC"/>
    <w:rsid w:val="00A7359C"/>
    <w:rsid w:val="00AA1F12"/>
    <w:rsid w:val="00AB2844"/>
    <w:rsid w:val="00AB3858"/>
    <w:rsid w:val="00AC6EC1"/>
    <w:rsid w:val="00B10208"/>
    <w:rsid w:val="00B14D0B"/>
    <w:rsid w:val="00B155F8"/>
    <w:rsid w:val="00B40E59"/>
    <w:rsid w:val="00B53456"/>
    <w:rsid w:val="00BD31E3"/>
    <w:rsid w:val="00BF78A5"/>
    <w:rsid w:val="00C209C5"/>
    <w:rsid w:val="00C24819"/>
    <w:rsid w:val="00C3689E"/>
    <w:rsid w:val="00CA65A1"/>
    <w:rsid w:val="00CA68DD"/>
    <w:rsid w:val="00CE19E1"/>
    <w:rsid w:val="00D52B9A"/>
    <w:rsid w:val="00DB0574"/>
    <w:rsid w:val="00E03F69"/>
    <w:rsid w:val="00E449DD"/>
    <w:rsid w:val="00E52457"/>
    <w:rsid w:val="00EB3711"/>
    <w:rsid w:val="00EB7082"/>
    <w:rsid w:val="00EC171C"/>
    <w:rsid w:val="00F078AB"/>
    <w:rsid w:val="00F477B2"/>
    <w:rsid w:val="00FC7641"/>
    <w:rsid w:val="45345654"/>
    <w:rsid w:val="70327E8D"/>
    <w:rsid w:val="7DA22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DB62"/>
  <w15:docId w15:val="{0793957A-8F5B-4D07-8AEE-85127AB32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qFormat/>
    <w:rPr>
      <w:color w:val="0000FF"/>
      <w:u w:val="single"/>
    </w:rPr>
  </w:style>
  <w:style w:type="character" w:styleId="af">
    <w:name w:val="annotation reference"/>
    <w:basedOn w:val="a0"/>
    <w:uiPriority w:val="99"/>
    <w:semiHidden/>
    <w:unhideWhenUsed/>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fontstyle01">
    <w:name w:val="fontstyle01"/>
    <w:qFormat/>
    <w:rPr>
      <w:rFonts w:ascii="AdvTT5235d5a9" w:hAnsi="AdvTT5235d5a9" w:hint="default"/>
      <w:color w:val="231F20"/>
      <w:sz w:val="28"/>
      <w:szCs w:val="28"/>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Addresses">
    <w:name w:val="Addresses"/>
    <w:basedOn w:val="a"/>
    <w:qFormat/>
    <w:pPr>
      <w:widowControl/>
      <w:jc w:val="left"/>
    </w:pPr>
    <w:rPr>
      <w:rFonts w:ascii="Times New Roman" w:eastAsia="MS Mincho" w:hAnsi="Times New Roman" w:cs="Times New Roman"/>
      <w:kern w:val="0"/>
      <w:sz w:val="24"/>
      <w:szCs w:val="24"/>
      <w:lang w:eastAsia="ja-JP"/>
    </w:rPr>
  </w:style>
  <w:style w:type="character" w:customStyle="1" w:styleId="jlqj4b">
    <w:name w:val="jlqj4b"/>
    <w:basedOn w:val="a0"/>
    <w:qFormat/>
  </w:style>
  <w:style w:type="paragraph" w:customStyle="1" w:styleId="AuthorsFull">
    <w:name w:val="Authors Full"/>
    <w:basedOn w:val="a"/>
    <w:qFormat/>
    <w:pPr>
      <w:widowControl/>
      <w:jc w:val="left"/>
    </w:pPr>
    <w:rPr>
      <w:rFonts w:ascii="Times New Roman" w:eastAsia="MS Mincho" w:hAnsi="Times New Roman" w:cs="Times New Roman"/>
      <w:i/>
      <w:kern w:val="0"/>
      <w:sz w:val="24"/>
      <w:szCs w:val="24"/>
      <w:lang w:eastAsia="ja-JP"/>
    </w:rPr>
  </w:style>
  <w:style w:type="paragraph" w:customStyle="1" w:styleId="Tableofcontents">
    <w:name w:val="Table of contents"/>
    <w:basedOn w:val="a"/>
    <w:autoRedefine/>
    <w:qFormat/>
    <w:pPr>
      <w:widowControl/>
      <w:spacing w:before="120" w:after="120"/>
    </w:pPr>
    <w:rPr>
      <w:rFonts w:ascii="Times New Roman" w:eastAsia="MS Mincho" w:hAnsi="Times New Roman" w:cs="Times New Roman"/>
      <w:b/>
      <w:bCs/>
      <w:kern w:val="0"/>
      <w:sz w:val="24"/>
      <w:szCs w:val="24"/>
      <w:lang w:eastAsia="ja-JP"/>
    </w:rPr>
  </w:style>
  <w:style w:type="paragraph" w:customStyle="1" w:styleId="Title2">
    <w:name w:val="Title2"/>
    <w:basedOn w:val="a"/>
    <w:qFormat/>
    <w:pPr>
      <w:widowControl/>
      <w:jc w:val="left"/>
    </w:pPr>
    <w:rPr>
      <w:rFonts w:ascii="Times New Roman" w:eastAsia="MS Mincho" w:hAnsi="Times New Roman" w:cs="Times New Roman"/>
      <w:b/>
      <w:kern w:val="0"/>
      <w:sz w:val="24"/>
      <w:szCs w:val="24"/>
      <w:lang w:eastAsia="ja-JP"/>
    </w:rPr>
  </w:style>
  <w:style w:type="character" w:customStyle="1" w:styleId="UnresolvedMention">
    <w:name w:val="Unresolved Mention"/>
    <w:basedOn w:val="a0"/>
    <w:uiPriority w:val="99"/>
    <w:semiHidden/>
    <w:unhideWhenUsed/>
    <w:qFormat/>
    <w:rPr>
      <w:color w:val="605E5C"/>
      <w:shd w:val="clear" w:color="auto" w:fill="E1DFDD"/>
    </w:rPr>
  </w:style>
  <w:style w:type="paragraph" w:customStyle="1" w:styleId="11">
    <w:name w:val="样式1"/>
    <w:basedOn w:val="1"/>
    <w:next w:val="Default"/>
    <w:link w:val="12"/>
    <w:qFormat/>
    <w:pPr>
      <w:widowControl/>
      <w:spacing w:before="220" w:after="210" w:line="240" w:lineRule="auto"/>
      <w:jc w:val="left"/>
    </w:pPr>
    <w:rPr>
      <w:rFonts w:ascii="Times New Roman" w:eastAsia="Times New Roman" w:hAnsi="Times New Roman" w:cs="Times New Roman"/>
      <w:bCs w:val="0"/>
      <w:color w:val="000000" w:themeColor="text1"/>
      <w:sz w:val="32"/>
      <w:szCs w:val="27"/>
      <w:shd w:val="clear" w:color="auto" w:fill="FFFFFF"/>
    </w:rPr>
  </w:style>
  <w:style w:type="character" w:customStyle="1" w:styleId="12">
    <w:name w:val="样式1 字符"/>
    <w:basedOn w:val="a0"/>
    <w:link w:val="11"/>
    <w:qFormat/>
    <w:rPr>
      <w:rFonts w:ascii="Times New Roman" w:eastAsia="Times New Roman" w:hAnsi="Times New Roman" w:cs="Times New Roman"/>
      <w:b/>
      <w:color w:val="000000" w:themeColor="text1"/>
      <w:kern w:val="44"/>
      <w:sz w:val="32"/>
      <w:szCs w:val="27"/>
    </w:rPr>
  </w:style>
  <w:style w:type="character" w:customStyle="1" w:styleId="10">
    <w:name w:val="标题 1 字符"/>
    <w:basedOn w:val="a0"/>
    <w:link w:val="1"/>
    <w:uiPriority w:val="9"/>
    <w:qFormat/>
    <w:rPr>
      <w:b/>
      <w:bCs/>
      <w:kern w:val="44"/>
      <w:sz w:val="44"/>
      <w:szCs w:val="44"/>
    </w:rPr>
  </w:style>
  <w:style w:type="paragraph" w:customStyle="1" w:styleId="2">
    <w:name w:val="样式2"/>
    <w:basedOn w:val="a"/>
    <w:link w:val="20"/>
    <w:qFormat/>
    <w:pPr>
      <w:keepNext/>
      <w:keepLines/>
      <w:widowControl/>
      <w:spacing w:before="220" w:after="210"/>
      <w:jc w:val="left"/>
      <w:outlineLvl w:val="0"/>
    </w:pPr>
    <w:rPr>
      <w:rFonts w:ascii="Times New Roman" w:eastAsia="Times New Roman" w:hAnsi="Times New Roman" w:cs="Times New Roman"/>
      <w:b/>
      <w:color w:val="000000"/>
      <w:kern w:val="44"/>
      <w:sz w:val="28"/>
      <w:szCs w:val="27"/>
      <w:shd w:val="clear" w:color="auto" w:fill="FFFFFF"/>
    </w:rPr>
  </w:style>
  <w:style w:type="character" w:customStyle="1" w:styleId="20">
    <w:name w:val="样式2 字符"/>
    <w:basedOn w:val="a0"/>
    <w:link w:val="2"/>
    <w:qFormat/>
    <w:rPr>
      <w:rFonts w:ascii="Times New Roman" w:eastAsia="Times New Roman" w:hAnsi="Times New Roman" w:cs="Times New Roman"/>
      <w:b/>
      <w:color w:val="000000"/>
      <w:kern w:val="44"/>
      <w:sz w:val="28"/>
      <w:szCs w:val="27"/>
    </w:rPr>
  </w:style>
  <w:style w:type="paragraph" w:customStyle="1" w:styleId="hauthors">
    <w:name w:val="hauthors"/>
    <w:basedOn w:val="a"/>
    <w:qFormat/>
    <w:pPr>
      <w:widowControl/>
      <w:spacing w:before="120"/>
      <w:jc w:val="left"/>
    </w:pPr>
    <w:rPr>
      <w:rFonts w:ascii="Times New Roman" w:eastAsia="宋体" w:hAnsi="Times New Roman" w:cs="Times New Roman"/>
      <w:kern w:val="0"/>
      <w:szCs w:val="20"/>
      <w:lang w:eastAsia="en-US"/>
    </w:rPr>
  </w:style>
  <w:style w:type="paragraph" w:customStyle="1" w:styleId="haffiliations">
    <w:name w:val="haffiliations"/>
    <w:basedOn w:val="a"/>
    <w:qFormat/>
    <w:pPr>
      <w:widowControl/>
      <w:spacing w:before="120"/>
      <w:jc w:val="left"/>
    </w:pPr>
    <w:rPr>
      <w:rFonts w:ascii="Times New Roman" w:eastAsia="宋体" w:hAnsi="Times New Roman" w:cs="Times New Roman"/>
      <w:kern w:val="0"/>
      <w:szCs w:val="20"/>
      <w:lang w:eastAsia="en-US"/>
    </w:rPr>
  </w:style>
  <w:style w:type="paragraph" w:customStyle="1" w:styleId="hcorrespondence">
    <w:name w:val="hcorrespondence"/>
    <w:basedOn w:val="a"/>
    <w:qFormat/>
    <w:pPr>
      <w:widowControl/>
      <w:spacing w:before="120"/>
      <w:jc w:val="left"/>
    </w:pPr>
    <w:rPr>
      <w:rFonts w:ascii="Times New Roman" w:eastAsia="宋体" w:hAnsi="Times New Roman" w:cs="Times New Roman"/>
      <w:kern w:val="0"/>
      <w:szCs w:val="20"/>
      <w:lang w:eastAsia="en-US"/>
    </w:rPr>
  </w:style>
  <w:style w:type="paragraph" w:customStyle="1" w:styleId="8-Title-ENG">
    <w:name w:val="8-Title-ENG"/>
    <w:basedOn w:val="a"/>
    <w:qFormat/>
    <w:pPr>
      <w:keepNext/>
      <w:keepLines/>
      <w:snapToGrid w:val="0"/>
      <w:contextualSpacing/>
      <w:jc w:val="left"/>
      <w:outlineLvl w:val="0"/>
    </w:pPr>
    <w:rPr>
      <w:rFonts w:ascii="Times New Roman" w:eastAsia="等线" w:hAnsi="Times New Roman" w:cs="Times New Roman"/>
      <w:b/>
      <w:bCs/>
      <w:kern w:val="44"/>
      <w:sz w:val="30"/>
      <w:szCs w:val="30"/>
    </w:rPr>
  </w:style>
  <w:style w:type="paragraph" w:customStyle="1" w:styleId="7-Affili-ENG">
    <w:name w:val="7-Affili-ENG"/>
    <w:basedOn w:val="a"/>
    <w:qFormat/>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hhead1">
    <w:name w:val="hhead1"/>
    <w:basedOn w:val="a"/>
    <w:qFormat/>
    <w:pPr>
      <w:keepNext/>
      <w:widowControl/>
      <w:spacing w:before="240"/>
      <w:jc w:val="left"/>
      <w:outlineLvl w:val="0"/>
    </w:pPr>
    <w:rPr>
      <w:rFonts w:ascii="Times New Roman" w:eastAsia="宋体" w:hAnsi="Times New Roman" w:cs="Times New Roman"/>
      <w:kern w:val="28"/>
      <w:sz w:val="32"/>
      <w:szCs w:val="20"/>
      <w:lang w:eastAsia="en-US"/>
    </w:rPr>
  </w:style>
  <w:style w:type="character" w:customStyle="1" w:styleId="a4">
    <w:name w:val="批注文字 字符"/>
    <w:basedOn w:val="a0"/>
    <w:link w:val="a3"/>
    <w:uiPriority w:val="99"/>
    <w:semiHidden/>
    <w:rPr>
      <w:kern w:val="2"/>
      <w:sz w:val="21"/>
      <w:szCs w:val="22"/>
    </w:rPr>
  </w:style>
  <w:style w:type="character" w:customStyle="1" w:styleId="ac">
    <w:name w:val="批注主题 字符"/>
    <w:basedOn w:val="a4"/>
    <w:link w:val="ab"/>
    <w:uiPriority w:val="99"/>
    <w:semiHidden/>
    <w:rPr>
      <w:b/>
      <w:bCs/>
      <w:kern w:val="2"/>
      <w:sz w:val="21"/>
      <w:szCs w:val="22"/>
    </w:rPr>
  </w:style>
  <w:style w:type="character" w:customStyle="1" w:styleId="a6">
    <w:name w:val="批注框文本 字符"/>
    <w:basedOn w:val="a0"/>
    <w:link w:val="a5"/>
    <w:uiPriority w:val="99"/>
    <w:semiHidden/>
    <w:rPr>
      <w:kern w:val="2"/>
      <w:sz w:val="18"/>
      <w:szCs w:val="18"/>
    </w:rPr>
  </w:style>
  <w:style w:type="paragraph" w:customStyle="1" w:styleId="BaseHeading">
    <w:name w:val="Base_Heading"/>
    <w:qFormat/>
    <w:pPr>
      <w:keepNext/>
      <w:spacing w:before="240"/>
      <w:outlineLvl w:val="0"/>
    </w:pPr>
    <w:rPr>
      <w:kern w:val="28"/>
      <w:sz w:val="36"/>
      <w:szCs w:val="28"/>
      <w:lang w:eastAsia="en-US"/>
    </w:rPr>
  </w:style>
  <w:style w:type="paragraph" w:customStyle="1" w:styleId="hreference">
    <w:name w:val="hreference"/>
    <w:basedOn w:val="BaseText"/>
    <w:autoRedefine/>
    <w:qFormat/>
    <w:rPr>
      <w:sz w:val="17"/>
      <w:szCs w:val="20"/>
    </w:rPr>
  </w:style>
  <w:style w:type="paragraph" w:customStyle="1" w:styleId="BaseText">
    <w:name w:val="Base_Text"/>
    <w:qFormat/>
    <w:pPr>
      <w:spacing w:before="120"/>
    </w:pPr>
    <w:rPr>
      <w:sz w:val="24"/>
      <w:szCs w:val="24"/>
      <w:lang w:eastAsia="en-US"/>
    </w:rPr>
  </w:style>
  <w:style w:type="character" w:customStyle="1" w:styleId="bibnumber">
    <w:name w:val="bib_number"/>
    <w:qFormat/>
    <w:rPr>
      <w:sz w:val="21"/>
      <w:shd w:val="clear" w:color="auto" w:fill="CCCCFF"/>
    </w:rPr>
  </w:style>
  <w:style w:type="character" w:customStyle="1" w:styleId="bibsurname">
    <w:name w:val="bib_surname"/>
    <w:qFormat/>
    <w:rPr>
      <w:sz w:val="21"/>
      <w:shd w:val="clear" w:color="auto" w:fill="CCFF99"/>
    </w:rPr>
  </w:style>
  <w:style w:type="character" w:customStyle="1" w:styleId="bibfname">
    <w:name w:val="bib_fname"/>
    <w:qFormat/>
    <w:rPr>
      <w:sz w:val="21"/>
      <w:shd w:val="clear" w:color="auto" w:fill="FFFFCC"/>
    </w:rPr>
  </w:style>
  <w:style w:type="character" w:customStyle="1" w:styleId="bibetal">
    <w:name w:val="bib_etal"/>
    <w:qFormat/>
    <w:rPr>
      <w:sz w:val="21"/>
      <w:shd w:val="clear" w:color="auto" w:fill="C9A6F8"/>
    </w:rPr>
  </w:style>
  <w:style w:type="character" w:customStyle="1" w:styleId="bibarticle">
    <w:name w:val="bib_article"/>
    <w:qFormat/>
    <w:rPr>
      <w:sz w:val="21"/>
      <w:shd w:val="clear" w:color="auto" w:fill="CCFFFF"/>
    </w:rPr>
  </w:style>
  <w:style w:type="character" w:customStyle="1" w:styleId="bibjournal">
    <w:name w:val="bib_journal"/>
    <w:qFormat/>
    <w:rPr>
      <w:sz w:val="21"/>
      <w:shd w:val="clear" w:color="auto" w:fill="F9DECF"/>
    </w:rPr>
  </w:style>
  <w:style w:type="character" w:customStyle="1" w:styleId="bibyear">
    <w:name w:val="bib_year"/>
    <w:qFormat/>
    <w:rPr>
      <w:sz w:val="21"/>
      <w:shd w:val="clear" w:color="auto" w:fill="FFCCFF"/>
    </w:rPr>
  </w:style>
  <w:style w:type="character" w:customStyle="1" w:styleId="bibvolume">
    <w:name w:val="bib_volume"/>
    <w:qFormat/>
    <w:rPr>
      <w:sz w:val="21"/>
      <w:shd w:val="clear" w:color="auto" w:fill="CCECFF"/>
    </w:rPr>
  </w:style>
  <w:style w:type="character" w:customStyle="1" w:styleId="bibissue">
    <w:name w:val="bib_issue"/>
    <w:qFormat/>
    <w:rPr>
      <w:sz w:val="21"/>
      <w:shd w:val="clear" w:color="auto" w:fill="FFFFAB"/>
    </w:rPr>
  </w:style>
  <w:style w:type="character" w:customStyle="1" w:styleId="bibfpage">
    <w:name w:val="bib_fpage"/>
    <w:qFormat/>
    <w:rPr>
      <w:sz w:val="21"/>
      <w:shd w:val="clear" w:color="auto" w:fill="E6E6E6"/>
    </w:rPr>
  </w:style>
  <w:style w:type="character" w:customStyle="1" w:styleId="biblpage">
    <w:name w:val="bib_lpage"/>
    <w:qFormat/>
    <w:rPr>
      <w:sz w:val="21"/>
      <w:shd w:val="clear" w:color="auto" w:fill="D9D9D9"/>
    </w:rPr>
  </w:style>
  <w:style w:type="character" w:customStyle="1" w:styleId="bibdoi">
    <w:name w:val="bib_doi"/>
    <w:qFormat/>
    <w:rPr>
      <w:sz w:val="21"/>
      <w:shd w:val="clear" w:color="auto" w:fill="CCFF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tif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tiff"/><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tiff"/><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tif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42EBA-1ACB-4B47-8715-34B8435F1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4017</Words>
  <Characters>22897</Characters>
  <Application>Microsoft Office Word</Application>
  <DocSecurity>0</DocSecurity>
  <Lines>190</Lines>
  <Paragraphs>53</Paragraphs>
  <ScaleCrop>false</ScaleCrop>
  <Company/>
  <LinksUpToDate>false</LinksUpToDate>
  <CharactersWithSpaces>26861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1203771374@qq.com</dc:creator>
  <cp:lastModifiedBy>ZN</cp:lastModifiedBy>
  <cp:revision>12</cp:revision>
  <cp:lastPrinted>2023-03-05T05:18:00Z</cp:lastPrinted>
  <dcterms:created xsi:type="dcterms:W3CDTF">2025-05-26T12:57:00Z</dcterms:created>
  <dcterms:modified xsi:type="dcterms:W3CDTF">2025-05-27T06:33:00Z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8f78793f7bb59c2ccf237bc4e5fd4aaebbfc5a8639725917c28374f2c290005b</vt:lpwstr>
  </property>
  <property fmtid="{D5CDD505-2E9C-101B-9397-08002B2CF9AE}" pid="3" name="KSOTemplateDocerSaveRecord">
    <vt:lpwstr>eyJoZGlkIjoiMjcyYzcxMTU1YjlhNmU2M2Q0ZjAwZmE5ZWEyYmY3OGIiLCJ1c2VySWQiOiIxNTEyMzk4NDA3In0=</vt:lpwstr>
  </property>
  <property fmtid="{D5CDD505-2E9C-101B-9397-08002B2CF9AE}" pid="4" name="KSOProductBuildVer">
    <vt:lpwstr>2052-12.1.0.21171</vt:lpwstr>
  </property>
  <property fmtid="{D5CDD505-2E9C-101B-9397-08002B2CF9AE}" pid="5" name="ICV">
    <vt:lpwstr>8E8AF94BB3104BFCAD272C28257B7C75_12</vt:lpwstr>
  </property>
</Properties>
</file>