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97DBB0" w14:textId="3A15AE2F" w:rsidR="009C615B" w:rsidRPr="008F7BB7" w:rsidRDefault="008C5346" w:rsidP="009C615B">
      <w:pPr>
        <w:pStyle w:val="haffiliations"/>
        <w:autoSpaceDE w:val="0"/>
        <w:autoSpaceDN w:val="0"/>
        <w:adjustRightInd w:val="0"/>
        <w:snapToGrid w:val="0"/>
        <w:spacing w:before="0"/>
        <w:jc w:val="both"/>
        <w:rPr>
          <w:b/>
          <w:bCs/>
          <w:sz w:val="22"/>
          <w:szCs w:val="22"/>
          <w:lang w:eastAsia="zh-CN"/>
        </w:rPr>
      </w:pPr>
      <w:bookmarkStart w:id="0" w:name="_GoBack"/>
      <w:r w:rsidRPr="008F7BB7">
        <w:rPr>
          <w:rFonts w:hint="eastAsia"/>
          <w:b/>
          <w:bCs/>
          <w:sz w:val="22"/>
          <w:szCs w:val="22"/>
          <w:lang w:eastAsia="zh-CN"/>
        </w:rPr>
        <w:t>S</w:t>
      </w:r>
      <w:r w:rsidRPr="008F7BB7">
        <w:rPr>
          <w:b/>
          <w:bCs/>
          <w:sz w:val="22"/>
          <w:szCs w:val="22"/>
          <w:lang w:eastAsia="zh-CN"/>
        </w:rPr>
        <w:t xml:space="preserve">upplementary data for </w:t>
      </w:r>
    </w:p>
    <w:bookmarkEnd w:id="0"/>
    <w:p w14:paraId="3C7D985A" w14:textId="2922BBF3" w:rsidR="008C5346" w:rsidRPr="00DE60AA" w:rsidRDefault="008C5346" w:rsidP="008C5346">
      <w:pPr>
        <w:pStyle w:val="haffiliations"/>
        <w:autoSpaceDE w:val="0"/>
        <w:autoSpaceDN w:val="0"/>
        <w:adjustRightInd w:val="0"/>
        <w:snapToGrid w:val="0"/>
        <w:spacing w:before="0"/>
        <w:jc w:val="both"/>
        <w:rPr>
          <w:rFonts w:eastAsiaTheme="minorEastAsia"/>
          <w:sz w:val="30"/>
          <w:szCs w:val="30"/>
        </w:rPr>
      </w:pPr>
      <w:r w:rsidRPr="00DE60AA">
        <w:rPr>
          <w:rFonts w:eastAsiaTheme="minorEastAsia"/>
          <w:b/>
          <w:sz w:val="30"/>
          <w:szCs w:val="30"/>
        </w:rPr>
        <w:t>Epidemiology and Mechanisms of Ceftazidime</w:t>
      </w:r>
      <w:r w:rsidR="005E5439">
        <w:rPr>
          <w:rFonts w:eastAsiaTheme="minorEastAsia"/>
          <w:b/>
          <w:sz w:val="30"/>
          <w:szCs w:val="30"/>
        </w:rPr>
        <w:t>–</w:t>
      </w:r>
      <w:r w:rsidRPr="00DE60AA">
        <w:rPr>
          <w:rFonts w:eastAsiaTheme="minorEastAsia"/>
          <w:b/>
          <w:sz w:val="30"/>
          <w:szCs w:val="30"/>
        </w:rPr>
        <w:t xml:space="preserve">Avibactam Resistance in Gram-Negative </w:t>
      </w:r>
      <w:r w:rsidRPr="00023E64">
        <w:rPr>
          <w:b/>
          <w:bCs/>
          <w:iCs/>
          <w:sz w:val="30"/>
          <w:szCs w:val="30"/>
          <w:lang w:eastAsia="zh-CN"/>
        </w:rPr>
        <w:t>Bacteria</w:t>
      </w:r>
    </w:p>
    <w:p w14:paraId="394A7655" w14:textId="77777777" w:rsidR="008C5346" w:rsidRPr="00DE60AA" w:rsidRDefault="008C5346" w:rsidP="008C5346">
      <w:r w:rsidRPr="00DE60AA">
        <w:t>Tingting Xu</w:t>
      </w:r>
      <w:r w:rsidRPr="00DE60AA">
        <w:rPr>
          <w:vertAlign w:val="superscript"/>
        </w:rPr>
        <w:t xml:space="preserve"> </w:t>
      </w:r>
      <w:r>
        <w:rPr>
          <w:vertAlign w:val="superscript"/>
        </w:rPr>
        <w:t>a</w:t>
      </w:r>
      <w:r w:rsidRPr="00DE60AA">
        <w:t>, Yuqi Guo</w:t>
      </w:r>
      <w:r w:rsidRPr="00DE60AA">
        <w:rPr>
          <w:vertAlign w:val="superscript"/>
        </w:rPr>
        <w:t xml:space="preserve"> </w:t>
      </w:r>
      <w:r>
        <w:rPr>
          <w:vertAlign w:val="superscript"/>
        </w:rPr>
        <w:t>a</w:t>
      </w:r>
      <w:r w:rsidRPr="00DE60AA">
        <w:t>, Yang Ji</w:t>
      </w:r>
      <w:r w:rsidRPr="00DE60AA">
        <w:rPr>
          <w:vertAlign w:val="superscript"/>
        </w:rPr>
        <w:t xml:space="preserve"> </w:t>
      </w:r>
      <w:r>
        <w:rPr>
          <w:vertAlign w:val="superscript"/>
        </w:rPr>
        <w:t>a</w:t>
      </w:r>
      <w:r w:rsidRPr="00DE60AA">
        <w:t>, Baohong Wang</w:t>
      </w:r>
      <w:r w:rsidRPr="00DE60AA">
        <w:rPr>
          <w:vertAlign w:val="superscript"/>
        </w:rPr>
        <w:t xml:space="preserve"> </w:t>
      </w:r>
      <w:r>
        <w:rPr>
          <w:vertAlign w:val="superscript"/>
        </w:rPr>
        <w:t>b,</w:t>
      </w:r>
      <w:r w:rsidRPr="00DE60AA">
        <w:t>*, Kai Zhou</w:t>
      </w:r>
      <w:r w:rsidRPr="00DE60AA">
        <w:rPr>
          <w:vertAlign w:val="superscript"/>
        </w:rPr>
        <w:t xml:space="preserve"> </w:t>
      </w:r>
      <w:r>
        <w:rPr>
          <w:vertAlign w:val="superscript"/>
        </w:rPr>
        <w:t>a,</w:t>
      </w:r>
      <w:r w:rsidRPr="00DE60AA">
        <w:t>*</w:t>
      </w:r>
    </w:p>
    <w:p w14:paraId="78AA7936" w14:textId="77777777" w:rsidR="008C5346" w:rsidRPr="00023E64" w:rsidRDefault="008C5346" w:rsidP="008C5346">
      <w:pPr>
        <w:autoSpaceDE w:val="0"/>
        <w:autoSpaceDN w:val="0"/>
        <w:adjustRightInd w:val="0"/>
        <w:snapToGrid w:val="0"/>
        <w:rPr>
          <w:bCs/>
          <w:i/>
          <w:sz w:val="18"/>
          <w:szCs w:val="18"/>
        </w:rPr>
      </w:pPr>
      <w:r w:rsidRPr="00023E64">
        <w:rPr>
          <w:bCs/>
          <w:sz w:val="18"/>
          <w:szCs w:val="18"/>
          <w:vertAlign w:val="superscript"/>
        </w:rPr>
        <w:t xml:space="preserve">a </w:t>
      </w:r>
      <w:r w:rsidRPr="00023E64">
        <w:rPr>
          <w:bCs/>
          <w:i/>
          <w:sz w:val="18"/>
          <w:szCs w:val="18"/>
        </w:rPr>
        <w:t>Shenzhen Institute of Respiratory Diseases</w:t>
      </w:r>
      <w:r>
        <w:rPr>
          <w:bCs/>
          <w:i/>
          <w:sz w:val="18"/>
          <w:szCs w:val="18"/>
        </w:rPr>
        <w:t>, Shenzhen People’s Hospital &amp;</w:t>
      </w:r>
      <w:r w:rsidRPr="00023E64">
        <w:rPr>
          <w:bCs/>
          <w:i/>
          <w:sz w:val="18"/>
          <w:szCs w:val="18"/>
        </w:rPr>
        <w:t xml:space="preserve"> </w:t>
      </w:r>
      <w:r>
        <w:rPr>
          <w:bCs/>
          <w:i/>
          <w:sz w:val="18"/>
          <w:szCs w:val="18"/>
        </w:rPr>
        <w:t>2nd</w:t>
      </w:r>
      <w:r w:rsidRPr="00023E64">
        <w:rPr>
          <w:bCs/>
          <w:i/>
          <w:sz w:val="18"/>
          <w:szCs w:val="18"/>
        </w:rPr>
        <w:t xml:space="preserve"> Clinical Medical College</w:t>
      </w:r>
      <w:r>
        <w:rPr>
          <w:bCs/>
          <w:i/>
          <w:sz w:val="18"/>
          <w:szCs w:val="18"/>
        </w:rPr>
        <w:t xml:space="preserve"> of </w:t>
      </w:r>
      <w:r w:rsidRPr="00023E64">
        <w:rPr>
          <w:bCs/>
          <w:i/>
          <w:sz w:val="18"/>
          <w:szCs w:val="18"/>
        </w:rPr>
        <w:t>Jinan University</w:t>
      </w:r>
      <w:r>
        <w:rPr>
          <w:bCs/>
          <w:i/>
          <w:sz w:val="18"/>
          <w:szCs w:val="18"/>
        </w:rPr>
        <w:t xml:space="preserve"> &amp; 1st</w:t>
      </w:r>
      <w:r w:rsidRPr="00023E64">
        <w:rPr>
          <w:bCs/>
          <w:i/>
          <w:sz w:val="18"/>
          <w:szCs w:val="18"/>
        </w:rPr>
        <w:t xml:space="preserve"> Afﬁliated Hospital </w:t>
      </w:r>
      <w:r>
        <w:rPr>
          <w:bCs/>
          <w:i/>
          <w:sz w:val="18"/>
          <w:szCs w:val="18"/>
        </w:rPr>
        <w:t>of</w:t>
      </w:r>
      <w:r w:rsidRPr="00023E64">
        <w:rPr>
          <w:bCs/>
          <w:i/>
          <w:sz w:val="18"/>
          <w:szCs w:val="18"/>
        </w:rPr>
        <w:t xml:space="preserve"> Southern University of Science and Technology, Shenzhen 518020, China</w:t>
      </w:r>
    </w:p>
    <w:p w14:paraId="3EF900C2" w14:textId="77777777" w:rsidR="008C5346" w:rsidRPr="00023E64" w:rsidRDefault="008C5346" w:rsidP="008C5346">
      <w:pPr>
        <w:autoSpaceDE w:val="0"/>
        <w:autoSpaceDN w:val="0"/>
        <w:adjustRightInd w:val="0"/>
        <w:snapToGrid w:val="0"/>
        <w:rPr>
          <w:bCs/>
          <w:i/>
          <w:sz w:val="18"/>
          <w:szCs w:val="18"/>
        </w:rPr>
      </w:pPr>
      <w:r w:rsidRPr="00023E64">
        <w:rPr>
          <w:bCs/>
          <w:sz w:val="18"/>
          <w:szCs w:val="18"/>
          <w:vertAlign w:val="superscript"/>
        </w:rPr>
        <w:t xml:space="preserve">b </w:t>
      </w:r>
      <w:r w:rsidRPr="00023E64">
        <w:rPr>
          <w:bCs/>
          <w:i/>
          <w:sz w:val="18"/>
          <w:szCs w:val="18"/>
        </w:rPr>
        <w:t>State Key Laboratory for Diagnosis and Treatment of Infectious Diseases,</w:t>
      </w:r>
      <w:r>
        <w:rPr>
          <w:bCs/>
          <w:i/>
          <w:sz w:val="18"/>
          <w:szCs w:val="18"/>
        </w:rPr>
        <w:t xml:space="preserve"> </w:t>
      </w:r>
      <w:r w:rsidRPr="00023E64">
        <w:rPr>
          <w:bCs/>
          <w:i/>
          <w:sz w:val="18"/>
          <w:szCs w:val="18"/>
        </w:rPr>
        <w:t xml:space="preserve">Collaborative Innovation Center for Diagnosis and Treatment of Infectious Diseases, The First Affiliated Hospital, </w:t>
      </w:r>
      <w:r>
        <w:rPr>
          <w:bCs/>
          <w:i/>
          <w:sz w:val="18"/>
          <w:szCs w:val="18"/>
        </w:rPr>
        <w:t>College</w:t>
      </w:r>
      <w:r w:rsidRPr="00023E64">
        <w:rPr>
          <w:bCs/>
          <w:i/>
          <w:sz w:val="18"/>
          <w:szCs w:val="18"/>
        </w:rPr>
        <w:t xml:space="preserve"> of Medicine, Zhejiang University, Hangzhou 310003, China</w:t>
      </w:r>
    </w:p>
    <w:p w14:paraId="78D3D86F" w14:textId="77777777" w:rsidR="009C615B" w:rsidRPr="008C5346" w:rsidRDefault="009C615B" w:rsidP="009C615B">
      <w:pPr>
        <w:pStyle w:val="haffiliations"/>
        <w:autoSpaceDE w:val="0"/>
        <w:autoSpaceDN w:val="0"/>
        <w:adjustRightInd w:val="0"/>
        <w:snapToGrid w:val="0"/>
        <w:spacing w:before="0"/>
        <w:jc w:val="both"/>
        <w:rPr>
          <w:b/>
          <w:bCs/>
          <w:sz w:val="18"/>
          <w:szCs w:val="21"/>
          <w:lang w:eastAsia="zh-CN"/>
        </w:rPr>
      </w:pPr>
    </w:p>
    <w:p w14:paraId="722310EF" w14:textId="77777777" w:rsidR="009C615B" w:rsidRPr="00C63CC0" w:rsidRDefault="009C615B" w:rsidP="009C615B">
      <w:pPr>
        <w:pStyle w:val="haffiliations"/>
        <w:autoSpaceDE w:val="0"/>
        <w:autoSpaceDN w:val="0"/>
        <w:adjustRightInd w:val="0"/>
        <w:snapToGrid w:val="0"/>
        <w:spacing w:before="0"/>
        <w:jc w:val="both"/>
        <w:rPr>
          <w:b/>
          <w:bCs/>
          <w:sz w:val="18"/>
          <w:szCs w:val="21"/>
          <w:lang w:eastAsia="zh-CN"/>
        </w:rPr>
      </w:pPr>
      <w:r w:rsidRPr="00C63CC0">
        <w:rPr>
          <w:b/>
          <w:bCs/>
          <w:sz w:val="18"/>
          <w:szCs w:val="21"/>
          <w:lang w:eastAsia="zh-CN"/>
        </w:rPr>
        <w:t xml:space="preserve">Table S1 </w:t>
      </w:r>
    </w:p>
    <w:p w14:paraId="464D8F58" w14:textId="27E58A14" w:rsidR="009C615B" w:rsidRPr="00C63CC0" w:rsidRDefault="009C615B" w:rsidP="009C615B">
      <w:pPr>
        <w:pStyle w:val="haffiliations"/>
        <w:autoSpaceDE w:val="0"/>
        <w:autoSpaceDN w:val="0"/>
        <w:adjustRightInd w:val="0"/>
        <w:snapToGrid w:val="0"/>
        <w:spacing w:before="0"/>
        <w:jc w:val="both"/>
        <w:rPr>
          <w:bCs/>
          <w:sz w:val="18"/>
          <w:szCs w:val="21"/>
          <w:lang w:eastAsia="zh-CN"/>
        </w:rPr>
      </w:pPr>
      <w:r w:rsidRPr="00C63CC0">
        <w:rPr>
          <w:bCs/>
          <w:sz w:val="18"/>
          <w:szCs w:val="21"/>
          <w:lang w:eastAsia="zh-CN"/>
        </w:rPr>
        <w:t>Summary of clinical studies of CAZ</w:t>
      </w:r>
      <w:r w:rsidR="007B4D3B">
        <w:rPr>
          <w:bCs/>
          <w:sz w:val="18"/>
          <w:szCs w:val="21"/>
          <w:lang w:eastAsia="zh-CN"/>
        </w:rPr>
        <w:t>–</w:t>
      </w:r>
      <w:r w:rsidRPr="00C63CC0">
        <w:rPr>
          <w:bCs/>
          <w:sz w:val="18"/>
          <w:szCs w:val="21"/>
          <w:lang w:eastAsia="zh-CN"/>
        </w:rPr>
        <w:t>AVI.</w:t>
      </w:r>
    </w:p>
    <w:tbl>
      <w:tblPr>
        <w:tblStyle w:val="1"/>
        <w:tblW w:w="13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09"/>
        <w:gridCol w:w="1701"/>
        <w:gridCol w:w="1418"/>
        <w:gridCol w:w="1417"/>
        <w:gridCol w:w="4820"/>
        <w:gridCol w:w="1275"/>
        <w:gridCol w:w="1985"/>
      </w:tblGrid>
      <w:tr w:rsidR="009C615B" w:rsidRPr="009C615B" w14:paraId="19982F7F" w14:textId="77777777" w:rsidTr="009C615B">
        <w:tc>
          <w:tcPr>
            <w:tcW w:w="567" w:type="dxa"/>
            <w:tcBorders>
              <w:top w:val="single" w:sz="4" w:space="0" w:color="auto"/>
              <w:bottom w:val="single" w:sz="4" w:space="0" w:color="auto"/>
            </w:tcBorders>
            <w:hideMark/>
          </w:tcPr>
          <w:p w14:paraId="2880F9D0" w14:textId="77777777" w:rsidR="009C615B" w:rsidRPr="00850D4F" w:rsidRDefault="009C615B" w:rsidP="009C615B">
            <w:pPr>
              <w:widowControl w:val="0"/>
              <w:autoSpaceDE w:val="0"/>
              <w:autoSpaceDN w:val="0"/>
              <w:adjustRightInd w:val="0"/>
              <w:jc w:val="both"/>
              <w:rPr>
                <w:color w:val="000000"/>
                <w:sz w:val="15"/>
                <w:szCs w:val="15"/>
              </w:rPr>
            </w:pPr>
            <w:r w:rsidRPr="00850D4F">
              <w:rPr>
                <w:rFonts w:eastAsiaTheme="minorEastAsia"/>
                <w:sz w:val="15"/>
                <w:szCs w:val="15"/>
              </w:rPr>
              <w:t>No.</w:t>
            </w:r>
          </w:p>
        </w:tc>
        <w:tc>
          <w:tcPr>
            <w:tcW w:w="709" w:type="dxa"/>
            <w:tcBorders>
              <w:top w:val="single" w:sz="4" w:space="0" w:color="auto"/>
              <w:bottom w:val="single" w:sz="4" w:space="0" w:color="auto"/>
            </w:tcBorders>
            <w:hideMark/>
          </w:tcPr>
          <w:p w14:paraId="76FC680B" w14:textId="77777777" w:rsidR="009C615B" w:rsidRPr="00850D4F" w:rsidRDefault="009C615B" w:rsidP="009C615B">
            <w:pPr>
              <w:autoSpaceDE w:val="0"/>
              <w:autoSpaceDN w:val="0"/>
              <w:adjustRightInd w:val="0"/>
              <w:jc w:val="both"/>
              <w:rPr>
                <w:color w:val="000000"/>
                <w:sz w:val="15"/>
                <w:szCs w:val="15"/>
              </w:rPr>
            </w:pPr>
            <w:r w:rsidRPr="00850D4F">
              <w:rPr>
                <w:rFonts w:eastAsiaTheme="minorEastAsia"/>
                <w:sz w:val="15"/>
                <w:szCs w:val="15"/>
              </w:rPr>
              <w:t>Phase</w:t>
            </w:r>
          </w:p>
        </w:tc>
        <w:tc>
          <w:tcPr>
            <w:tcW w:w="1701" w:type="dxa"/>
            <w:tcBorders>
              <w:top w:val="single" w:sz="4" w:space="0" w:color="auto"/>
              <w:bottom w:val="single" w:sz="4" w:space="0" w:color="auto"/>
            </w:tcBorders>
            <w:hideMark/>
          </w:tcPr>
          <w:p w14:paraId="4C3052C6" w14:textId="77777777" w:rsidR="009C615B" w:rsidRPr="00850D4F" w:rsidRDefault="009C615B" w:rsidP="009C615B">
            <w:pPr>
              <w:autoSpaceDE w:val="0"/>
              <w:autoSpaceDN w:val="0"/>
              <w:adjustRightInd w:val="0"/>
              <w:jc w:val="both"/>
              <w:rPr>
                <w:color w:val="000000"/>
                <w:sz w:val="15"/>
                <w:szCs w:val="15"/>
              </w:rPr>
            </w:pPr>
            <w:r w:rsidRPr="00850D4F">
              <w:rPr>
                <w:rFonts w:eastAsiaTheme="minorEastAsia"/>
                <w:sz w:val="15"/>
                <w:szCs w:val="15"/>
              </w:rPr>
              <w:t>Condition or disease</w:t>
            </w:r>
          </w:p>
        </w:tc>
        <w:tc>
          <w:tcPr>
            <w:tcW w:w="1418" w:type="dxa"/>
            <w:tcBorders>
              <w:top w:val="single" w:sz="4" w:space="0" w:color="auto"/>
              <w:bottom w:val="single" w:sz="4" w:space="0" w:color="auto"/>
            </w:tcBorders>
            <w:hideMark/>
          </w:tcPr>
          <w:p w14:paraId="74E45B9B" w14:textId="77777777" w:rsidR="009C615B" w:rsidRPr="00850D4F" w:rsidRDefault="009C615B" w:rsidP="009C615B">
            <w:pPr>
              <w:autoSpaceDE w:val="0"/>
              <w:autoSpaceDN w:val="0"/>
              <w:adjustRightInd w:val="0"/>
              <w:jc w:val="both"/>
              <w:rPr>
                <w:color w:val="000000"/>
                <w:sz w:val="15"/>
                <w:szCs w:val="15"/>
              </w:rPr>
            </w:pPr>
            <w:r w:rsidRPr="00850D4F">
              <w:rPr>
                <w:rFonts w:eastAsiaTheme="minorEastAsia"/>
                <w:sz w:val="15"/>
                <w:szCs w:val="15"/>
              </w:rPr>
              <w:t>Ages</w:t>
            </w:r>
          </w:p>
        </w:tc>
        <w:tc>
          <w:tcPr>
            <w:tcW w:w="1417" w:type="dxa"/>
            <w:tcBorders>
              <w:top w:val="single" w:sz="4" w:space="0" w:color="auto"/>
              <w:bottom w:val="single" w:sz="4" w:space="0" w:color="auto"/>
            </w:tcBorders>
            <w:hideMark/>
          </w:tcPr>
          <w:p w14:paraId="779B35CD" w14:textId="77777777" w:rsidR="009C615B" w:rsidRPr="00850D4F" w:rsidRDefault="009C615B" w:rsidP="009C615B">
            <w:pPr>
              <w:autoSpaceDE w:val="0"/>
              <w:autoSpaceDN w:val="0"/>
              <w:adjustRightInd w:val="0"/>
              <w:jc w:val="both"/>
              <w:rPr>
                <w:color w:val="000000"/>
                <w:sz w:val="15"/>
                <w:szCs w:val="15"/>
              </w:rPr>
            </w:pPr>
            <w:r w:rsidRPr="00850D4F">
              <w:rPr>
                <w:rFonts w:eastAsiaTheme="minorEastAsia"/>
                <w:sz w:val="15"/>
                <w:szCs w:val="15"/>
              </w:rPr>
              <w:t>ClinicalTrials.gov. Identifier</w:t>
            </w:r>
          </w:p>
        </w:tc>
        <w:tc>
          <w:tcPr>
            <w:tcW w:w="4820" w:type="dxa"/>
            <w:tcBorders>
              <w:top w:val="single" w:sz="4" w:space="0" w:color="auto"/>
              <w:bottom w:val="single" w:sz="4" w:space="0" w:color="auto"/>
            </w:tcBorders>
            <w:hideMark/>
          </w:tcPr>
          <w:p w14:paraId="186BFA47" w14:textId="77777777" w:rsidR="009C615B" w:rsidRPr="00850D4F" w:rsidRDefault="009C615B" w:rsidP="009C615B">
            <w:pPr>
              <w:autoSpaceDE w:val="0"/>
              <w:autoSpaceDN w:val="0"/>
              <w:adjustRightInd w:val="0"/>
              <w:jc w:val="both"/>
              <w:rPr>
                <w:color w:val="000000"/>
                <w:sz w:val="15"/>
                <w:szCs w:val="15"/>
              </w:rPr>
            </w:pPr>
            <w:r w:rsidRPr="00850D4F">
              <w:rPr>
                <w:rFonts w:eastAsiaTheme="minorEastAsia"/>
                <w:sz w:val="15"/>
                <w:szCs w:val="15"/>
              </w:rPr>
              <w:t>Intervention/treatment</w:t>
            </w:r>
          </w:p>
        </w:tc>
        <w:tc>
          <w:tcPr>
            <w:tcW w:w="1275" w:type="dxa"/>
            <w:tcBorders>
              <w:top w:val="single" w:sz="4" w:space="0" w:color="auto"/>
              <w:bottom w:val="single" w:sz="4" w:space="0" w:color="auto"/>
            </w:tcBorders>
            <w:hideMark/>
          </w:tcPr>
          <w:p w14:paraId="016D3290" w14:textId="77777777" w:rsidR="009C615B" w:rsidRPr="00850D4F" w:rsidRDefault="009C615B" w:rsidP="009C615B">
            <w:pPr>
              <w:autoSpaceDE w:val="0"/>
              <w:autoSpaceDN w:val="0"/>
              <w:adjustRightInd w:val="0"/>
              <w:jc w:val="both"/>
              <w:rPr>
                <w:color w:val="000000"/>
                <w:sz w:val="15"/>
                <w:szCs w:val="15"/>
              </w:rPr>
            </w:pPr>
            <w:r w:rsidRPr="00850D4F">
              <w:rPr>
                <w:rFonts w:eastAsiaTheme="minorEastAsia"/>
                <w:sz w:val="15"/>
                <w:szCs w:val="15"/>
              </w:rPr>
              <w:t>Actual study completion date</w:t>
            </w:r>
          </w:p>
        </w:tc>
        <w:tc>
          <w:tcPr>
            <w:tcW w:w="1985" w:type="dxa"/>
            <w:tcBorders>
              <w:top w:val="single" w:sz="4" w:space="0" w:color="auto"/>
              <w:bottom w:val="single" w:sz="4" w:space="0" w:color="auto"/>
            </w:tcBorders>
            <w:hideMark/>
          </w:tcPr>
          <w:p w14:paraId="55397DB3" w14:textId="77777777" w:rsidR="009C615B" w:rsidRPr="00850D4F" w:rsidRDefault="009C615B" w:rsidP="009C615B">
            <w:pPr>
              <w:autoSpaceDE w:val="0"/>
              <w:autoSpaceDN w:val="0"/>
              <w:adjustRightInd w:val="0"/>
              <w:jc w:val="both"/>
              <w:rPr>
                <w:color w:val="000000"/>
                <w:sz w:val="15"/>
                <w:szCs w:val="15"/>
              </w:rPr>
            </w:pPr>
            <w:r w:rsidRPr="00850D4F">
              <w:rPr>
                <w:rFonts w:eastAsiaTheme="minorEastAsia"/>
                <w:sz w:val="15"/>
                <w:szCs w:val="15"/>
              </w:rPr>
              <w:t>Investigators</w:t>
            </w:r>
          </w:p>
        </w:tc>
      </w:tr>
      <w:tr w:rsidR="009C615B" w:rsidRPr="009C615B" w14:paraId="368F53BC" w14:textId="77777777" w:rsidTr="009C615B">
        <w:tc>
          <w:tcPr>
            <w:tcW w:w="567" w:type="dxa"/>
            <w:tcBorders>
              <w:top w:val="single" w:sz="4" w:space="0" w:color="auto"/>
            </w:tcBorders>
            <w:hideMark/>
          </w:tcPr>
          <w:p w14:paraId="7E62D68D"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1</w:t>
            </w:r>
          </w:p>
        </w:tc>
        <w:tc>
          <w:tcPr>
            <w:tcW w:w="709" w:type="dxa"/>
            <w:tcBorders>
              <w:top w:val="single" w:sz="4" w:space="0" w:color="auto"/>
            </w:tcBorders>
            <w:hideMark/>
          </w:tcPr>
          <w:p w14:paraId="30CDE100"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IV</w:t>
            </w:r>
          </w:p>
        </w:tc>
        <w:tc>
          <w:tcPr>
            <w:tcW w:w="1701" w:type="dxa"/>
            <w:tcBorders>
              <w:top w:val="single" w:sz="4" w:space="0" w:color="auto"/>
            </w:tcBorders>
            <w:hideMark/>
          </w:tcPr>
          <w:p w14:paraId="653D878D"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CF</w:t>
            </w:r>
          </w:p>
        </w:tc>
        <w:tc>
          <w:tcPr>
            <w:tcW w:w="1418" w:type="dxa"/>
            <w:tcBorders>
              <w:top w:val="single" w:sz="4" w:space="0" w:color="auto"/>
            </w:tcBorders>
            <w:hideMark/>
          </w:tcPr>
          <w:p w14:paraId="0486222A"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18 years and older (adult, older adult)</w:t>
            </w:r>
          </w:p>
        </w:tc>
        <w:tc>
          <w:tcPr>
            <w:tcW w:w="1417" w:type="dxa"/>
            <w:tcBorders>
              <w:top w:val="single" w:sz="4" w:space="0" w:color="auto"/>
            </w:tcBorders>
            <w:hideMark/>
          </w:tcPr>
          <w:p w14:paraId="28D954FD"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NCT02504827</w:t>
            </w:r>
          </w:p>
        </w:tc>
        <w:tc>
          <w:tcPr>
            <w:tcW w:w="4820" w:type="dxa"/>
            <w:tcBorders>
              <w:top w:val="single" w:sz="4" w:space="0" w:color="auto"/>
            </w:tcBorders>
            <w:hideMark/>
          </w:tcPr>
          <w:p w14:paraId="349E3C70" w14:textId="77777777" w:rsidR="009C615B" w:rsidRPr="009C615B" w:rsidRDefault="009C615B" w:rsidP="00850D4F">
            <w:pPr>
              <w:autoSpaceDE w:val="0"/>
              <w:autoSpaceDN w:val="0"/>
              <w:adjustRightInd w:val="0"/>
              <w:jc w:val="both"/>
              <w:rPr>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2000 mg plus avibactam 500 mg); 2 h IV infusion every 8 h for 1 day</w:t>
            </w:r>
          </w:p>
        </w:tc>
        <w:tc>
          <w:tcPr>
            <w:tcW w:w="1275" w:type="dxa"/>
            <w:tcBorders>
              <w:top w:val="single" w:sz="4" w:space="0" w:color="auto"/>
            </w:tcBorders>
            <w:hideMark/>
          </w:tcPr>
          <w:p w14:paraId="358155F3"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October 2016</w:t>
            </w:r>
          </w:p>
        </w:tc>
        <w:tc>
          <w:tcPr>
            <w:tcW w:w="1985" w:type="dxa"/>
            <w:tcBorders>
              <w:top w:val="single" w:sz="4" w:space="0" w:color="auto"/>
            </w:tcBorders>
            <w:hideMark/>
          </w:tcPr>
          <w:p w14:paraId="3DCB2D22"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University of Southern California</w:t>
            </w:r>
          </w:p>
        </w:tc>
      </w:tr>
      <w:tr w:rsidR="009C615B" w:rsidRPr="009C615B" w14:paraId="677731CC" w14:textId="77777777" w:rsidTr="009C615B">
        <w:tc>
          <w:tcPr>
            <w:tcW w:w="567" w:type="dxa"/>
            <w:hideMark/>
          </w:tcPr>
          <w:p w14:paraId="338C19BB"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2</w:t>
            </w:r>
          </w:p>
        </w:tc>
        <w:tc>
          <w:tcPr>
            <w:tcW w:w="709" w:type="dxa"/>
            <w:hideMark/>
          </w:tcPr>
          <w:p w14:paraId="20C3EAE2"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III</w:t>
            </w:r>
          </w:p>
        </w:tc>
        <w:tc>
          <w:tcPr>
            <w:tcW w:w="1701" w:type="dxa"/>
            <w:hideMark/>
          </w:tcPr>
          <w:p w14:paraId="1716B2AD"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cIAI</w:t>
            </w:r>
          </w:p>
        </w:tc>
        <w:tc>
          <w:tcPr>
            <w:tcW w:w="1418" w:type="dxa"/>
            <w:hideMark/>
          </w:tcPr>
          <w:p w14:paraId="5CD150C4"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18–90 years (adult, older adult)</w:t>
            </w:r>
          </w:p>
        </w:tc>
        <w:tc>
          <w:tcPr>
            <w:tcW w:w="1417" w:type="dxa"/>
            <w:hideMark/>
          </w:tcPr>
          <w:p w14:paraId="651458B3"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NCT01499290</w:t>
            </w:r>
          </w:p>
        </w:tc>
        <w:tc>
          <w:tcPr>
            <w:tcW w:w="4820" w:type="dxa"/>
            <w:hideMark/>
          </w:tcPr>
          <w:p w14:paraId="589BC1A3"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2000 mg plus avibactam 500 mg as a 2 h IV infusion every 8 h) followed by metronidazole (500 mg as a 60 min IV infusion every 8 h); or meropenem (1000 mg as a 30 min IV infusion every 8 h); all study treatments were administered for 5–14 days</w:t>
            </w:r>
          </w:p>
        </w:tc>
        <w:tc>
          <w:tcPr>
            <w:tcW w:w="1275" w:type="dxa"/>
            <w:hideMark/>
          </w:tcPr>
          <w:p w14:paraId="6A6078A8"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April 2014</w:t>
            </w:r>
          </w:p>
        </w:tc>
        <w:tc>
          <w:tcPr>
            <w:tcW w:w="1985" w:type="dxa"/>
            <w:hideMark/>
          </w:tcPr>
          <w:p w14:paraId="1201BB32"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AstraZeneca</w:t>
            </w:r>
          </w:p>
        </w:tc>
      </w:tr>
      <w:tr w:rsidR="009C615B" w:rsidRPr="009C615B" w14:paraId="68548D9F" w14:textId="77777777" w:rsidTr="009C615B">
        <w:tc>
          <w:tcPr>
            <w:tcW w:w="567" w:type="dxa"/>
            <w:hideMark/>
          </w:tcPr>
          <w:p w14:paraId="62BE47A2"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3</w:t>
            </w:r>
          </w:p>
        </w:tc>
        <w:tc>
          <w:tcPr>
            <w:tcW w:w="709" w:type="dxa"/>
            <w:hideMark/>
          </w:tcPr>
          <w:p w14:paraId="38CEFA9A"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III</w:t>
            </w:r>
          </w:p>
        </w:tc>
        <w:tc>
          <w:tcPr>
            <w:tcW w:w="1701" w:type="dxa"/>
            <w:hideMark/>
          </w:tcPr>
          <w:p w14:paraId="7770BD3C"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cUTI/acute pyelonephritis</w:t>
            </w:r>
          </w:p>
        </w:tc>
        <w:tc>
          <w:tcPr>
            <w:tcW w:w="1418" w:type="dxa"/>
            <w:hideMark/>
          </w:tcPr>
          <w:p w14:paraId="3B189817"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18–90 years (adult, older adult)</w:t>
            </w:r>
          </w:p>
        </w:tc>
        <w:tc>
          <w:tcPr>
            <w:tcW w:w="1417" w:type="dxa"/>
            <w:hideMark/>
          </w:tcPr>
          <w:p w14:paraId="398F7669"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NCT01599806</w:t>
            </w:r>
          </w:p>
        </w:tc>
        <w:tc>
          <w:tcPr>
            <w:tcW w:w="4820" w:type="dxa"/>
            <w:hideMark/>
          </w:tcPr>
          <w:p w14:paraId="4FBE5BA2"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2000 mg plus avibactam 500 mg) or Doripenem 500 mg, 2 h or 1 h IV infusion, every 8 h; switch to oral therapy of either 500 mg of Ciprofloxacin or 800 mg/160 mg of sulfamethoxazole/trimethoprim after 5 full days</w:t>
            </w:r>
          </w:p>
        </w:tc>
        <w:tc>
          <w:tcPr>
            <w:tcW w:w="1275" w:type="dxa"/>
            <w:hideMark/>
          </w:tcPr>
          <w:p w14:paraId="54CE2640"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August 2014</w:t>
            </w:r>
          </w:p>
        </w:tc>
        <w:tc>
          <w:tcPr>
            <w:tcW w:w="1985" w:type="dxa"/>
            <w:hideMark/>
          </w:tcPr>
          <w:p w14:paraId="039E3B46"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AstraZeneca</w:t>
            </w:r>
          </w:p>
        </w:tc>
      </w:tr>
      <w:tr w:rsidR="009C615B" w:rsidRPr="009C615B" w14:paraId="25DB44F5" w14:textId="77777777" w:rsidTr="009C615B">
        <w:tc>
          <w:tcPr>
            <w:tcW w:w="567" w:type="dxa"/>
            <w:hideMark/>
          </w:tcPr>
          <w:p w14:paraId="0EC9F883"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4</w:t>
            </w:r>
          </w:p>
        </w:tc>
        <w:tc>
          <w:tcPr>
            <w:tcW w:w="709" w:type="dxa"/>
            <w:hideMark/>
          </w:tcPr>
          <w:p w14:paraId="754F74B5"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III</w:t>
            </w:r>
          </w:p>
        </w:tc>
        <w:tc>
          <w:tcPr>
            <w:tcW w:w="1701" w:type="dxa"/>
            <w:hideMark/>
          </w:tcPr>
          <w:p w14:paraId="043D29A9"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cUTI/acute pyelonephritis</w:t>
            </w:r>
          </w:p>
        </w:tc>
        <w:tc>
          <w:tcPr>
            <w:tcW w:w="1418" w:type="dxa"/>
            <w:hideMark/>
          </w:tcPr>
          <w:p w14:paraId="3973ED12"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18–90 years (adult, older adult)</w:t>
            </w:r>
          </w:p>
        </w:tc>
        <w:tc>
          <w:tcPr>
            <w:tcW w:w="1417" w:type="dxa"/>
            <w:hideMark/>
          </w:tcPr>
          <w:p w14:paraId="2F5A999E"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NCT01595438</w:t>
            </w:r>
          </w:p>
        </w:tc>
        <w:tc>
          <w:tcPr>
            <w:tcW w:w="4820" w:type="dxa"/>
            <w:hideMark/>
          </w:tcPr>
          <w:p w14:paraId="41C40037"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2000 mg plus avibactam 500 mg) or Doripenem 500 mg, 2 h or 1 h IV infusion, every 8 h; switch to oral therapy of either 500 mg of Ciprofloxacin or 800 mg/160 mg of sulfamethoxazole/trimethoprim after 5 full days</w:t>
            </w:r>
          </w:p>
        </w:tc>
        <w:tc>
          <w:tcPr>
            <w:tcW w:w="1275" w:type="dxa"/>
            <w:hideMark/>
          </w:tcPr>
          <w:p w14:paraId="17491234"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August 2014</w:t>
            </w:r>
          </w:p>
        </w:tc>
        <w:tc>
          <w:tcPr>
            <w:tcW w:w="1985" w:type="dxa"/>
            <w:hideMark/>
          </w:tcPr>
          <w:p w14:paraId="694C0EA8"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AstraZeneca</w:t>
            </w:r>
          </w:p>
        </w:tc>
      </w:tr>
      <w:tr w:rsidR="009C615B" w:rsidRPr="009C615B" w14:paraId="42B9781C" w14:textId="77777777" w:rsidTr="009C615B">
        <w:tc>
          <w:tcPr>
            <w:tcW w:w="567" w:type="dxa"/>
            <w:hideMark/>
          </w:tcPr>
          <w:p w14:paraId="67F1437E"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5</w:t>
            </w:r>
          </w:p>
        </w:tc>
        <w:tc>
          <w:tcPr>
            <w:tcW w:w="709" w:type="dxa"/>
            <w:hideMark/>
          </w:tcPr>
          <w:p w14:paraId="2DB72678"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III</w:t>
            </w:r>
          </w:p>
        </w:tc>
        <w:tc>
          <w:tcPr>
            <w:tcW w:w="1701" w:type="dxa"/>
            <w:hideMark/>
          </w:tcPr>
          <w:p w14:paraId="664BA06F" w14:textId="77777777" w:rsidR="009C615B" w:rsidRPr="009C615B" w:rsidRDefault="00A01C57" w:rsidP="009C615B">
            <w:pPr>
              <w:autoSpaceDE w:val="0"/>
              <w:autoSpaceDN w:val="0"/>
              <w:adjustRightInd w:val="0"/>
              <w:jc w:val="both"/>
              <w:rPr>
                <w:color w:val="000000"/>
                <w:sz w:val="15"/>
                <w:szCs w:val="15"/>
              </w:rPr>
            </w:pPr>
            <w:r>
              <w:rPr>
                <w:rFonts w:eastAsiaTheme="minorEastAsia"/>
                <w:sz w:val="15"/>
                <w:szCs w:val="15"/>
              </w:rPr>
              <w:t>cUTI/</w:t>
            </w:r>
            <w:r w:rsidR="009C615B" w:rsidRPr="009C615B">
              <w:rPr>
                <w:rFonts w:eastAsiaTheme="minorEastAsia"/>
                <w:sz w:val="15"/>
                <w:szCs w:val="15"/>
              </w:rPr>
              <w:t>cIAI</w:t>
            </w:r>
          </w:p>
        </w:tc>
        <w:tc>
          <w:tcPr>
            <w:tcW w:w="1418" w:type="dxa"/>
            <w:hideMark/>
          </w:tcPr>
          <w:p w14:paraId="7E56B02A"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18–90 years (adult, older adult)</w:t>
            </w:r>
          </w:p>
        </w:tc>
        <w:tc>
          <w:tcPr>
            <w:tcW w:w="1417" w:type="dxa"/>
            <w:hideMark/>
          </w:tcPr>
          <w:p w14:paraId="5EB14666"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NCT01644643</w:t>
            </w:r>
          </w:p>
        </w:tc>
        <w:tc>
          <w:tcPr>
            <w:tcW w:w="4820" w:type="dxa"/>
            <w:hideMark/>
          </w:tcPr>
          <w:p w14:paraId="51E69CBB"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Patients randomized to receive an infusion of CAZ</w:t>
            </w:r>
            <w:r w:rsidR="00850D4F">
              <w:rPr>
                <w:rFonts w:eastAsiaTheme="minorEastAsia"/>
                <w:sz w:val="15"/>
                <w:szCs w:val="15"/>
              </w:rPr>
              <w:t>–</w:t>
            </w:r>
            <w:r w:rsidRPr="009C615B">
              <w:rPr>
                <w:rFonts w:eastAsiaTheme="minorEastAsia"/>
                <w:sz w:val="15"/>
                <w:szCs w:val="15"/>
              </w:rPr>
              <w:t>AVI (ceftazidime 2000 mg plus avibactam 500 mg); 2 h every 8 h administered by IV infusion in a volume of 100 mL</w:t>
            </w:r>
          </w:p>
        </w:tc>
        <w:tc>
          <w:tcPr>
            <w:tcW w:w="1275" w:type="dxa"/>
            <w:hideMark/>
          </w:tcPr>
          <w:p w14:paraId="17179E6F"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September 2014</w:t>
            </w:r>
          </w:p>
        </w:tc>
        <w:tc>
          <w:tcPr>
            <w:tcW w:w="1985" w:type="dxa"/>
            <w:hideMark/>
          </w:tcPr>
          <w:p w14:paraId="0025BC67"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AstraZeneca</w:t>
            </w:r>
          </w:p>
        </w:tc>
      </w:tr>
      <w:tr w:rsidR="009C615B" w:rsidRPr="009C615B" w14:paraId="4F756234" w14:textId="77777777" w:rsidTr="009C615B">
        <w:tc>
          <w:tcPr>
            <w:tcW w:w="567" w:type="dxa"/>
            <w:hideMark/>
          </w:tcPr>
          <w:p w14:paraId="6041A8F5"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6</w:t>
            </w:r>
          </w:p>
        </w:tc>
        <w:tc>
          <w:tcPr>
            <w:tcW w:w="709" w:type="dxa"/>
            <w:hideMark/>
          </w:tcPr>
          <w:p w14:paraId="51FB9E9D"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III</w:t>
            </w:r>
          </w:p>
        </w:tc>
        <w:tc>
          <w:tcPr>
            <w:tcW w:w="1701" w:type="dxa"/>
            <w:hideMark/>
          </w:tcPr>
          <w:p w14:paraId="3D00BE2F"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cIAI</w:t>
            </w:r>
          </w:p>
        </w:tc>
        <w:tc>
          <w:tcPr>
            <w:tcW w:w="1418" w:type="dxa"/>
            <w:hideMark/>
          </w:tcPr>
          <w:p w14:paraId="608CE00C" w14:textId="77777777" w:rsidR="009C615B" w:rsidRPr="009C615B" w:rsidRDefault="009C615B" w:rsidP="009C615B">
            <w:pPr>
              <w:autoSpaceDE w:val="0"/>
              <w:autoSpaceDN w:val="0"/>
              <w:adjustRightInd w:val="0"/>
              <w:jc w:val="both"/>
              <w:rPr>
                <w:color w:val="000000"/>
                <w:sz w:val="15"/>
                <w:szCs w:val="15"/>
                <w:shd w:val="clear" w:color="auto" w:fill="FFFFFF"/>
              </w:rPr>
            </w:pPr>
            <w:r w:rsidRPr="009C615B">
              <w:rPr>
                <w:rFonts w:eastAsiaTheme="minorEastAsia"/>
                <w:sz w:val="15"/>
                <w:szCs w:val="15"/>
              </w:rPr>
              <w:t>18–90 years (adult, older adult)</w:t>
            </w:r>
          </w:p>
        </w:tc>
        <w:tc>
          <w:tcPr>
            <w:tcW w:w="1417" w:type="dxa"/>
            <w:hideMark/>
          </w:tcPr>
          <w:p w14:paraId="177C176F"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NCT01726023</w:t>
            </w:r>
          </w:p>
        </w:tc>
        <w:tc>
          <w:tcPr>
            <w:tcW w:w="4820" w:type="dxa"/>
            <w:hideMark/>
          </w:tcPr>
          <w:p w14:paraId="0E9BC675"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Every 8 h, either: ceftazidime/avibactam (ceftazidime 2000 mg plus avibactam 500 mg, 2 h infusion) followed by metronidazole (500 mg, 60 min infusion), or meropenem (1000 mg, 30 min infusion)</w:t>
            </w:r>
          </w:p>
        </w:tc>
        <w:tc>
          <w:tcPr>
            <w:tcW w:w="1275" w:type="dxa"/>
            <w:hideMark/>
          </w:tcPr>
          <w:p w14:paraId="091934C6"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March 2015</w:t>
            </w:r>
          </w:p>
        </w:tc>
        <w:tc>
          <w:tcPr>
            <w:tcW w:w="1985" w:type="dxa"/>
            <w:hideMark/>
          </w:tcPr>
          <w:p w14:paraId="270A413C"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AstraZeneca</w:t>
            </w:r>
          </w:p>
        </w:tc>
      </w:tr>
      <w:tr w:rsidR="009C615B" w:rsidRPr="009C615B" w14:paraId="0BF7532F" w14:textId="77777777" w:rsidTr="009C615B">
        <w:tc>
          <w:tcPr>
            <w:tcW w:w="567" w:type="dxa"/>
            <w:hideMark/>
          </w:tcPr>
          <w:p w14:paraId="654542B3"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lastRenderedPageBreak/>
              <w:t>7</w:t>
            </w:r>
          </w:p>
        </w:tc>
        <w:tc>
          <w:tcPr>
            <w:tcW w:w="709" w:type="dxa"/>
            <w:hideMark/>
          </w:tcPr>
          <w:p w14:paraId="2D1CB6C1"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III</w:t>
            </w:r>
          </w:p>
        </w:tc>
        <w:tc>
          <w:tcPr>
            <w:tcW w:w="1701" w:type="dxa"/>
            <w:hideMark/>
          </w:tcPr>
          <w:p w14:paraId="419BC8E7"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NP/VAP</w:t>
            </w:r>
          </w:p>
        </w:tc>
        <w:tc>
          <w:tcPr>
            <w:tcW w:w="1418" w:type="dxa"/>
            <w:hideMark/>
          </w:tcPr>
          <w:p w14:paraId="10772801"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18–90 years (adult, older adult)</w:t>
            </w:r>
          </w:p>
        </w:tc>
        <w:tc>
          <w:tcPr>
            <w:tcW w:w="1417" w:type="dxa"/>
            <w:hideMark/>
          </w:tcPr>
          <w:p w14:paraId="464658EC"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NCT01808092</w:t>
            </w:r>
          </w:p>
        </w:tc>
        <w:tc>
          <w:tcPr>
            <w:tcW w:w="4820" w:type="dxa"/>
            <w:hideMark/>
          </w:tcPr>
          <w:p w14:paraId="13CE362C"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2000 mg plus avibactam 500 mg), 2</w:t>
            </w:r>
            <w:r w:rsidR="00850D4F">
              <w:rPr>
                <w:rFonts w:eastAsiaTheme="minorEastAsia"/>
                <w:sz w:val="15"/>
                <w:szCs w:val="15"/>
              </w:rPr>
              <w:t xml:space="preserve"> </w:t>
            </w:r>
            <w:r w:rsidRPr="009C615B">
              <w:rPr>
                <w:rFonts w:eastAsiaTheme="minorEastAsia"/>
                <w:sz w:val="15"/>
                <w:szCs w:val="15"/>
              </w:rPr>
              <w:t>h IV infusion every 8 h) or 1000 mg meropenem (by 30</w:t>
            </w:r>
            <w:r w:rsidR="00850D4F">
              <w:rPr>
                <w:rFonts w:eastAsiaTheme="minorEastAsia"/>
                <w:sz w:val="15"/>
                <w:szCs w:val="15"/>
              </w:rPr>
              <w:t xml:space="preserve"> </w:t>
            </w:r>
            <w:r w:rsidRPr="009C615B">
              <w:rPr>
                <w:rFonts w:eastAsiaTheme="minorEastAsia"/>
                <w:sz w:val="15"/>
                <w:szCs w:val="15"/>
              </w:rPr>
              <w:t>min IV infusion every 8 h) for 7–14 days</w:t>
            </w:r>
          </w:p>
        </w:tc>
        <w:tc>
          <w:tcPr>
            <w:tcW w:w="1275" w:type="dxa"/>
            <w:hideMark/>
          </w:tcPr>
          <w:p w14:paraId="6900E0B1"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January 2016</w:t>
            </w:r>
          </w:p>
        </w:tc>
        <w:tc>
          <w:tcPr>
            <w:tcW w:w="1985" w:type="dxa"/>
          </w:tcPr>
          <w:p w14:paraId="61B8D4AB" w14:textId="77777777" w:rsidR="009C615B" w:rsidRPr="009C615B" w:rsidRDefault="009C615B" w:rsidP="009C615B">
            <w:pPr>
              <w:autoSpaceDE w:val="0"/>
              <w:autoSpaceDN w:val="0"/>
              <w:adjustRightInd w:val="0"/>
              <w:jc w:val="both"/>
              <w:rPr>
                <w:rFonts w:eastAsiaTheme="minorEastAsia"/>
                <w:sz w:val="15"/>
                <w:szCs w:val="15"/>
              </w:rPr>
            </w:pPr>
            <w:r w:rsidRPr="009C615B">
              <w:rPr>
                <w:rFonts w:eastAsiaTheme="minorEastAsia"/>
                <w:sz w:val="15"/>
                <w:szCs w:val="15"/>
              </w:rPr>
              <w:t>AstraZeneca</w:t>
            </w:r>
          </w:p>
          <w:p w14:paraId="0AC39351" w14:textId="77777777" w:rsidR="009C615B" w:rsidRPr="009C615B" w:rsidRDefault="009C615B" w:rsidP="009C615B">
            <w:pPr>
              <w:adjustRightInd w:val="0"/>
              <w:snapToGrid w:val="0"/>
              <w:jc w:val="both"/>
              <w:rPr>
                <w:color w:val="000000"/>
                <w:sz w:val="15"/>
                <w:szCs w:val="15"/>
              </w:rPr>
            </w:pPr>
          </w:p>
        </w:tc>
      </w:tr>
      <w:tr w:rsidR="009C615B" w:rsidRPr="009C615B" w14:paraId="55A47D8A" w14:textId="77777777" w:rsidTr="009C615B">
        <w:tc>
          <w:tcPr>
            <w:tcW w:w="567" w:type="dxa"/>
            <w:hideMark/>
          </w:tcPr>
          <w:p w14:paraId="2A3EF3DD"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8</w:t>
            </w:r>
          </w:p>
        </w:tc>
        <w:tc>
          <w:tcPr>
            <w:tcW w:w="709" w:type="dxa"/>
            <w:hideMark/>
          </w:tcPr>
          <w:p w14:paraId="4C1E2B31"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II</w:t>
            </w:r>
          </w:p>
        </w:tc>
        <w:tc>
          <w:tcPr>
            <w:tcW w:w="1701" w:type="dxa"/>
            <w:hideMark/>
          </w:tcPr>
          <w:p w14:paraId="3C6BE2B3"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cIAI</w:t>
            </w:r>
          </w:p>
        </w:tc>
        <w:tc>
          <w:tcPr>
            <w:tcW w:w="1418" w:type="dxa"/>
            <w:hideMark/>
          </w:tcPr>
          <w:p w14:paraId="11E4B616"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18–65 years (adult, older adult)</w:t>
            </w:r>
          </w:p>
        </w:tc>
        <w:tc>
          <w:tcPr>
            <w:tcW w:w="1417" w:type="dxa"/>
            <w:hideMark/>
          </w:tcPr>
          <w:p w14:paraId="0E2A214B"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NCT00752219</w:t>
            </w:r>
          </w:p>
        </w:tc>
        <w:tc>
          <w:tcPr>
            <w:tcW w:w="4820" w:type="dxa"/>
            <w:hideMark/>
          </w:tcPr>
          <w:p w14:paraId="014BEFAD" w14:textId="77777777" w:rsidR="009C615B" w:rsidRPr="009C615B" w:rsidRDefault="009C615B" w:rsidP="009C615B">
            <w:pPr>
              <w:autoSpaceDE w:val="0"/>
              <w:autoSpaceDN w:val="0"/>
              <w:adjustRightInd w:val="0"/>
              <w:jc w:val="both"/>
              <w:rPr>
                <w:rFonts w:eastAsiaTheme="minorEastAsia"/>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 metronidazole vs. meropenem</w:t>
            </w:r>
          </w:p>
          <w:p w14:paraId="59366084"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IV infusion 3 times a day</w:t>
            </w:r>
          </w:p>
        </w:tc>
        <w:tc>
          <w:tcPr>
            <w:tcW w:w="1275" w:type="dxa"/>
            <w:hideMark/>
          </w:tcPr>
          <w:p w14:paraId="1621894A"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December 2009</w:t>
            </w:r>
          </w:p>
        </w:tc>
        <w:tc>
          <w:tcPr>
            <w:tcW w:w="1985" w:type="dxa"/>
            <w:hideMark/>
          </w:tcPr>
          <w:p w14:paraId="1F9C98F4"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Pfizer</w:t>
            </w:r>
          </w:p>
        </w:tc>
      </w:tr>
      <w:tr w:rsidR="009C615B" w:rsidRPr="009C615B" w14:paraId="797C9B18" w14:textId="77777777" w:rsidTr="009C615B">
        <w:tc>
          <w:tcPr>
            <w:tcW w:w="567" w:type="dxa"/>
            <w:hideMark/>
          </w:tcPr>
          <w:p w14:paraId="2270FA1D"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9</w:t>
            </w:r>
          </w:p>
        </w:tc>
        <w:tc>
          <w:tcPr>
            <w:tcW w:w="709" w:type="dxa"/>
            <w:hideMark/>
          </w:tcPr>
          <w:p w14:paraId="63380259"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II</w:t>
            </w:r>
          </w:p>
        </w:tc>
        <w:tc>
          <w:tcPr>
            <w:tcW w:w="1701" w:type="dxa"/>
            <w:hideMark/>
          </w:tcPr>
          <w:p w14:paraId="76BF0C09"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cUTI</w:t>
            </w:r>
          </w:p>
        </w:tc>
        <w:tc>
          <w:tcPr>
            <w:tcW w:w="1418" w:type="dxa"/>
            <w:hideMark/>
          </w:tcPr>
          <w:p w14:paraId="1A3DB134"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18–90 years (adult, older adult)</w:t>
            </w:r>
          </w:p>
        </w:tc>
        <w:tc>
          <w:tcPr>
            <w:tcW w:w="1417" w:type="dxa"/>
            <w:hideMark/>
          </w:tcPr>
          <w:p w14:paraId="4BC3DC26"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NCT00690378</w:t>
            </w:r>
          </w:p>
        </w:tc>
        <w:tc>
          <w:tcPr>
            <w:tcW w:w="4820" w:type="dxa"/>
            <w:hideMark/>
          </w:tcPr>
          <w:p w14:paraId="33E189DA"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500 mg plus avibactam 125 mg) every 8 h or imipenem</w:t>
            </w:r>
            <w:r w:rsidR="00850D4F">
              <w:rPr>
                <w:rFonts w:eastAsiaTheme="minorEastAsia"/>
                <w:sz w:val="15"/>
                <w:szCs w:val="15"/>
              </w:rPr>
              <w:t>–</w:t>
            </w:r>
            <w:r w:rsidRPr="009C615B">
              <w:rPr>
                <w:rFonts w:eastAsiaTheme="minorEastAsia"/>
                <w:sz w:val="15"/>
                <w:szCs w:val="15"/>
              </w:rPr>
              <w:t xml:space="preserve">cilastatin 500mg every 6 h, IV infusion </w:t>
            </w:r>
            <w:r w:rsidR="00850D4F">
              <w:rPr>
                <w:rFonts w:eastAsiaTheme="minorEastAsia"/>
                <w:sz w:val="15"/>
                <w:szCs w:val="15"/>
              </w:rPr>
              <w:t>p</w:t>
            </w:r>
            <w:r w:rsidRPr="009C615B">
              <w:rPr>
                <w:rFonts w:eastAsiaTheme="minorEastAsia"/>
                <w:sz w:val="15"/>
                <w:szCs w:val="15"/>
              </w:rPr>
              <w:t>atients meeting pre-specified improvement criteria after 4 days could be switched to oral ciprofloxacin. Patients were treated for a total of 7–14 days</w:t>
            </w:r>
          </w:p>
        </w:tc>
        <w:tc>
          <w:tcPr>
            <w:tcW w:w="1275" w:type="dxa"/>
            <w:hideMark/>
          </w:tcPr>
          <w:p w14:paraId="6E72472F"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July 2010</w:t>
            </w:r>
          </w:p>
        </w:tc>
        <w:tc>
          <w:tcPr>
            <w:tcW w:w="1985" w:type="dxa"/>
            <w:hideMark/>
          </w:tcPr>
          <w:p w14:paraId="3121D1DB" w14:textId="671FFAD2" w:rsidR="009C615B" w:rsidRPr="009C615B" w:rsidRDefault="009C615B" w:rsidP="00A460C6">
            <w:pPr>
              <w:autoSpaceDE w:val="0"/>
              <w:autoSpaceDN w:val="0"/>
              <w:adjustRightInd w:val="0"/>
              <w:jc w:val="both"/>
              <w:rPr>
                <w:color w:val="000000"/>
                <w:sz w:val="15"/>
                <w:szCs w:val="15"/>
              </w:rPr>
            </w:pPr>
            <w:r w:rsidRPr="009C615B">
              <w:rPr>
                <w:rFonts w:eastAsiaTheme="minorEastAsia"/>
                <w:sz w:val="15"/>
                <w:szCs w:val="15"/>
              </w:rPr>
              <w:t>Pfizer</w:t>
            </w:r>
            <w:r w:rsidR="00A460C6">
              <w:rPr>
                <w:rFonts w:eastAsiaTheme="minorEastAsia"/>
                <w:sz w:val="15"/>
                <w:szCs w:val="15"/>
              </w:rPr>
              <w:t>;</w:t>
            </w:r>
            <w:r w:rsidRPr="009C615B">
              <w:rPr>
                <w:rFonts w:eastAsiaTheme="minorEastAsia"/>
                <w:sz w:val="15"/>
                <w:szCs w:val="15"/>
              </w:rPr>
              <w:t xml:space="preserve"> Novexel</w:t>
            </w:r>
            <w:r w:rsidR="00A460C6">
              <w:rPr>
                <w:rFonts w:eastAsiaTheme="minorEastAsia"/>
                <w:sz w:val="15"/>
                <w:szCs w:val="15"/>
              </w:rPr>
              <w:t>,</w:t>
            </w:r>
            <w:r w:rsidRPr="009C615B">
              <w:rPr>
                <w:rFonts w:eastAsiaTheme="minorEastAsia"/>
                <w:sz w:val="15"/>
                <w:szCs w:val="15"/>
              </w:rPr>
              <w:t xml:space="preserve"> Inc</w:t>
            </w:r>
            <w:r w:rsidR="00A460C6">
              <w:rPr>
                <w:rFonts w:eastAsiaTheme="minorEastAsia"/>
                <w:sz w:val="15"/>
                <w:szCs w:val="15"/>
              </w:rPr>
              <w:t>.</w:t>
            </w:r>
          </w:p>
        </w:tc>
      </w:tr>
      <w:tr w:rsidR="009C615B" w:rsidRPr="009C615B" w14:paraId="2A5B6985" w14:textId="77777777" w:rsidTr="009C615B">
        <w:tc>
          <w:tcPr>
            <w:tcW w:w="567" w:type="dxa"/>
            <w:hideMark/>
          </w:tcPr>
          <w:p w14:paraId="3C56CE12"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10</w:t>
            </w:r>
          </w:p>
        </w:tc>
        <w:tc>
          <w:tcPr>
            <w:tcW w:w="709" w:type="dxa"/>
            <w:hideMark/>
          </w:tcPr>
          <w:p w14:paraId="692C672C"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II</w:t>
            </w:r>
          </w:p>
        </w:tc>
        <w:tc>
          <w:tcPr>
            <w:tcW w:w="1701" w:type="dxa"/>
            <w:hideMark/>
          </w:tcPr>
          <w:p w14:paraId="677EECA2" w14:textId="77777777" w:rsidR="009C615B" w:rsidRPr="00850D4F" w:rsidRDefault="009C615B" w:rsidP="00A01C57">
            <w:pPr>
              <w:autoSpaceDE w:val="0"/>
              <w:autoSpaceDN w:val="0"/>
              <w:adjustRightInd w:val="0"/>
              <w:jc w:val="both"/>
              <w:rPr>
                <w:rFonts w:eastAsiaTheme="minorEastAsia"/>
                <w:sz w:val="15"/>
                <w:szCs w:val="15"/>
              </w:rPr>
            </w:pPr>
            <w:r w:rsidRPr="009C615B">
              <w:rPr>
                <w:rFonts w:eastAsiaTheme="minorEastAsia"/>
                <w:sz w:val="15"/>
                <w:szCs w:val="15"/>
              </w:rPr>
              <w:t>Neoplasms</w:t>
            </w:r>
            <w:r w:rsidR="00A01C57">
              <w:rPr>
                <w:rFonts w:eastAsiaTheme="minorEastAsia"/>
                <w:sz w:val="15"/>
                <w:szCs w:val="15"/>
              </w:rPr>
              <w:t>/</w:t>
            </w:r>
            <w:r w:rsidR="00A01C57">
              <w:rPr>
                <w:rFonts w:eastAsiaTheme="minorEastAsia" w:hint="eastAsia"/>
                <w:sz w:val="15"/>
                <w:szCs w:val="15"/>
                <w:lang w:eastAsia="zh-CN"/>
              </w:rPr>
              <w:t>f</w:t>
            </w:r>
            <w:r w:rsidRPr="009C615B">
              <w:rPr>
                <w:rFonts w:eastAsiaTheme="minorEastAsia"/>
                <w:sz w:val="15"/>
                <w:szCs w:val="15"/>
              </w:rPr>
              <w:t xml:space="preserve">ebrile </w:t>
            </w:r>
            <w:r w:rsidR="00A01C57">
              <w:rPr>
                <w:rFonts w:eastAsiaTheme="minorEastAsia"/>
                <w:sz w:val="15"/>
                <w:szCs w:val="15"/>
              </w:rPr>
              <w:t>n</w:t>
            </w:r>
            <w:r w:rsidRPr="009C615B">
              <w:rPr>
                <w:rFonts w:eastAsiaTheme="minorEastAsia"/>
                <w:sz w:val="15"/>
                <w:szCs w:val="15"/>
              </w:rPr>
              <w:t>eutropenia</w:t>
            </w:r>
          </w:p>
        </w:tc>
        <w:tc>
          <w:tcPr>
            <w:tcW w:w="1418" w:type="dxa"/>
            <w:hideMark/>
          </w:tcPr>
          <w:p w14:paraId="0B48E10A"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18 years and older (adult, older adult)</w:t>
            </w:r>
          </w:p>
        </w:tc>
        <w:tc>
          <w:tcPr>
            <w:tcW w:w="1417" w:type="dxa"/>
            <w:hideMark/>
          </w:tcPr>
          <w:p w14:paraId="05EDFC7A"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NCT02732327</w:t>
            </w:r>
          </w:p>
        </w:tc>
        <w:tc>
          <w:tcPr>
            <w:tcW w:w="4820" w:type="dxa"/>
            <w:hideMark/>
          </w:tcPr>
          <w:p w14:paraId="15FB7E82"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2000 mg plus avibactam 500 mg), IV infusion every 8 h for 5–14 days, duration determined by the investigator, plus vancomycin 15 mg</w:t>
            </w:r>
            <w:r w:rsidR="00850D4F">
              <w:rPr>
                <w:rFonts w:eastAsiaTheme="minorEastAsia"/>
                <w:sz w:val="15"/>
                <w:szCs w:val="15"/>
              </w:rPr>
              <w:t>·</w:t>
            </w:r>
            <w:r w:rsidRPr="009C615B">
              <w:rPr>
                <w:rFonts w:eastAsiaTheme="minorEastAsia"/>
                <w:sz w:val="15"/>
                <w:szCs w:val="15"/>
              </w:rPr>
              <w:t>kg</w:t>
            </w:r>
            <w:r w:rsidR="00850D4F" w:rsidRPr="00850D4F">
              <w:rPr>
                <w:rFonts w:eastAsiaTheme="minorEastAsia"/>
                <w:sz w:val="15"/>
                <w:szCs w:val="15"/>
                <w:vertAlign w:val="superscript"/>
              </w:rPr>
              <w:t>–1</w:t>
            </w:r>
            <w:r w:rsidRPr="009C615B">
              <w:rPr>
                <w:rFonts w:eastAsiaTheme="minorEastAsia"/>
                <w:sz w:val="15"/>
                <w:szCs w:val="15"/>
              </w:rPr>
              <w:t xml:space="preserve"> IV or linezolid 600 mg IV every 12 h. A switch to open-label oral or IV therapy may be allowed after at least 72 h of inpatient IV study drug</w:t>
            </w:r>
          </w:p>
        </w:tc>
        <w:tc>
          <w:tcPr>
            <w:tcW w:w="1275" w:type="dxa"/>
            <w:hideMark/>
          </w:tcPr>
          <w:p w14:paraId="6C30FED1"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June 2016</w:t>
            </w:r>
          </w:p>
        </w:tc>
        <w:tc>
          <w:tcPr>
            <w:tcW w:w="1985" w:type="dxa"/>
            <w:hideMark/>
          </w:tcPr>
          <w:p w14:paraId="2EAC7D9B"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Forest Laboratories</w:t>
            </w:r>
          </w:p>
        </w:tc>
      </w:tr>
      <w:tr w:rsidR="009C615B" w:rsidRPr="009C615B" w14:paraId="2F4D7B6A" w14:textId="77777777" w:rsidTr="009C615B">
        <w:tc>
          <w:tcPr>
            <w:tcW w:w="567" w:type="dxa"/>
            <w:hideMark/>
          </w:tcPr>
          <w:p w14:paraId="0FEBCE5D"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11</w:t>
            </w:r>
          </w:p>
        </w:tc>
        <w:tc>
          <w:tcPr>
            <w:tcW w:w="709" w:type="dxa"/>
            <w:hideMark/>
          </w:tcPr>
          <w:p w14:paraId="64587E5B"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II</w:t>
            </w:r>
          </w:p>
        </w:tc>
        <w:tc>
          <w:tcPr>
            <w:tcW w:w="1701" w:type="dxa"/>
            <w:hideMark/>
          </w:tcPr>
          <w:p w14:paraId="31F44838"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cIAI</w:t>
            </w:r>
          </w:p>
        </w:tc>
        <w:tc>
          <w:tcPr>
            <w:tcW w:w="1418" w:type="dxa"/>
            <w:hideMark/>
          </w:tcPr>
          <w:p w14:paraId="03835A0C"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3 months to 17 years (child)</w:t>
            </w:r>
          </w:p>
        </w:tc>
        <w:tc>
          <w:tcPr>
            <w:tcW w:w="1417" w:type="dxa"/>
            <w:hideMark/>
          </w:tcPr>
          <w:p w14:paraId="61223FB2"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NCT02475733</w:t>
            </w:r>
          </w:p>
        </w:tc>
        <w:tc>
          <w:tcPr>
            <w:tcW w:w="4820" w:type="dxa"/>
            <w:hideMark/>
          </w:tcPr>
          <w:p w14:paraId="79F2787C"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be administered every 8 h as a 2 h infusion (CAZ</w:t>
            </w:r>
            <w:r w:rsidR="00850D4F">
              <w:rPr>
                <w:rFonts w:eastAsiaTheme="minorEastAsia"/>
                <w:sz w:val="15"/>
                <w:szCs w:val="15"/>
              </w:rPr>
              <w:t>–</w:t>
            </w:r>
            <w:r w:rsidRPr="009C615B">
              <w:rPr>
                <w:rFonts w:eastAsiaTheme="minorEastAsia"/>
                <w:sz w:val="15"/>
                <w:szCs w:val="15"/>
              </w:rPr>
              <w:t>AVI dose and frequency of IV administration will depend upon body weight and renal function) followed by metronidazole to be administered every 8 h as 20–30 min infusion</w:t>
            </w:r>
          </w:p>
        </w:tc>
        <w:tc>
          <w:tcPr>
            <w:tcW w:w="1275" w:type="dxa"/>
            <w:hideMark/>
          </w:tcPr>
          <w:p w14:paraId="660531AB"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June 2017</w:t>
            </w:r>
          </w:p>
        </w:tc>
        <w:tc>
          <w:tcPr>
            <w:tcW w:w="1985" w:type="dxa"/>
            <w:hideMark/>
          </w:tcPr>
          <w:p w14:paraId="704F5A70"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Pfizer</w:t>
            </w:r>
          </w:p>
        </w:tc>
      </w:tr>
      <w:tr w:rsidR="009C615B" w:rsidRPr="009C615B" w14:paraId="2C2C5514" w14:textId="77777777" w:rsidTr="009C615B">
        <w:tc>
          <w:tcPr>
            <w:tcW w:w="567" w:type="dxa"/>
            <w:hideMark/>
          </w:tcPr>
          <w:p w14:paraId="4A846DBF"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12</w:t>
            </w:r>
          </w:p>
        </w:tc>
        <w:tc>
          <w:tcPr>
            <w:tcW w:w="709" w:type="dxa"/>
            <w:hideMark/>
          </w:tcPr>
          <w:p w14:paraId="557302DD"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II</w:t>
            </w:r>
          </w:p>
        </w:tc>
        <w:tc>
          <w:tcPr>
            <w:tcW w:w="1701" w:type="dxa"/>
            <w:hideMark/>
          </w:tcPr>
          <w:p w14:paraId="3841C741"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cUTI</w:t>
            </w:r>
          </w:p>
        </w:tc>
        <w:tc>
          <w:tcPr>
            <w:tcW w:w="1418" w:type="dxa"/>
            <w:hideMark/>
          </w:tcPr>
          <w:p w14:paraId="4E85E2D4" w14:textId="77777777" w:rsidR="009C615B" w:rsidRPr="009C615B" w:rsidRDefault="009C615B" w:rsidP="009C615B">
            <w:pPr>
              <w:autoSpaceDE w:val="0"/>
              <w:autoSpaceDN w:val="0"/>
              <w:adjustRightInd w:val="0"/>
              <w:jc w:val="both"/>
              <w:rPr>
                <w:color w:val="000000"/>
                <w:sz w:val="15"/>
                <w:szCs w:val="15"/>
                <w:shd w:val="clear" w:color="auto" w:fill="FFFFFF"/>
              </w:rPr>
            </w:pPr>
            <w:r w:rsidRPr="009C615B">
              <w:rPr>
                <w:rFonts w:eastAsiaTheme="minorEastAsia"/>
                <w:sz w:val="15"/>
                <w:szCs w:val="15"/>
              </w:rPr>
              <w:t>3 months to 17 years (child)</w:t>
            </w:r>
          </w:p>
        </w:tc>
        <w:tc>
          <w:tcPr>
            <w:tcW w:w="1417" w:type="dxa"/>
            <w:hideMark/>
          </w:tcPr>
          <w:p w14:paraId="015BAD2C"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NCT02497781</w:t>
            </w:r>
          </w:p>
        </w:tc>
        <w:tc>
          <w:tcPr>
            <w:tcW w:w="4820" w:type="dxa"/>
            <w:hideMark/>
          </w:tcPr>
          <w:p w14:paraId="350F0F68"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to be administered every 8 h as a 2 h infusion (the dose and frequency of IV administration will depend upon body weight and renal function), or cefepime (patients randomized to receive cefepime should receive the dose, schedule and infusion duration as recommended in the local prescribing information or as prescribed by the investigator. The maximum dose of cefepime in any single infusion should not exceed 2000 mg)</w:t>
            </w:r>
          </w:p>
        </w:tc>
        <w:tc>
          <w:tcPr>
            <w:tcW w:w="1275" w:type="dxa"/>
            <w:hideMark/>
          </w:tcPr>
          <w:p w14:paraId="1DCED8E2"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September 2017</w:t>
            </w:r>
          </w:p>
        </w:tc>
        <w:tc>
          <w:tcPr>
            <w:tcW w:w="1985" w:type="dxa"/>
            <w:hideMark/>
          </w:tcPr>
          <w:p w14:paraId="23631BC0"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Pfizer</w:t>
            </w:r>
          </w:p>
        </w:tc>
      </w:tr>
      <w:tr w:rsidR="009C615B" w:rsidRPr="009C615B" w14:paraId="326B37CF" w14:textId="77777777" w:rsidTr="009C615B">
        <w:tc>
          <w:tcPr>
            <w:tcW w:w="567" w:type="dxa"/>
            <w:hideMark/>
          </w:tcPr>
          <w:p w14:paraId="3BC8A490"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13</w:t>
            </w:r>
          </w:p>
        </w:tc>
        <w:tc>
          <w:tcPr>
            <w:tcW w:w="709" w:type="dxa"/>
            <w:hideMark/>
          </w:tcPr>
          <w:p w14:paraId="1B5E04AA"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w:t>
            </w:r>
          </w:p>
        </w:tc>
        <w:tc>
          <w:tcPr>
            <w:tcW w:w="1701" w:type="dxa"/>
            <w:hideMark/>
          </w:tcPr>
          <w:p w14:paraId="00E5AF8D"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Healthy male and female Japanese volunteers</w:t>
            </w:r>
          </w:p>
        </w:tc>
        <w:tc>
          <w:tcPr>
            <w:tcW w:w="1418" w:type="dxa"/>
            <w:hideMark/>
          </w:tcPr>
          <w:p w14:paraId="068C53C5"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20–45 years (adult)</w:t>
            </w:r>
          </w:p>
        </w:tc>
        <w:tc>
          <w:tcPr>
            <w:tcW w:w="1417" w:type="dxa"/>
            <w:hideMark/>
          </w:tcPr>
          <w:p w14:paraId="5076721A"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NCT01291602</w:t>
            </w:r>
          </w:p>
        </w:tc>
        <w:tc>
          <w:tcPr>
            <w:tcW w:w="4820" w:type="dxa"/>
            <w:hideMark/>
          </w:tcPr>
          <w:p w14:paraId="6B0423FF"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Avibactam alone (500 mg) or in combination with ceftazidime (ceftazidime 2000 mg plus avibactam 500 mg), IV treatment</w:t>
            </w:r>
          </w:p>
        </w:tc>
        <w:tc>
          <w:tcPr>
            <w:tcW w:w="1275" w:type="dxa"/>
            <w:hideMark/>
          </w:tcPr>
          <w:p w14:paraId="18E5D258"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April 2011</w:t>
            </w:r>
          </w:p>
        </w:tc>
        <w:tc>
          <w:tcPr>
            <w:tcW w:w="1985" w:type="dxa"/>
            <w:hideMark/>
          </w:tcPr>
          <w:p w14:paraId="43C3323D" w14:textId="6E1CEF94" w:rsidR="009C615B" w:rsidRPr="009C615B" w:rsidRDefault="009C615B" w:rsidP="00A460C6">
            <w:pPr>
              <w:autoSpaceDE w:val="0"/>
              <w:autoSpaceDN w:val="0"/>
              <w:adjustRightInd w:val="0"/>
              <w:jc w:val="both"/>
              <w:rPr>
                <w:color w:val="000000"/>
                <w:sz w:val="15"/>
                <w:szCs w:val="15"/>
              </w:rPr>
            </w:pPr>
            <w:r w:rsidRPr="009C615B">
              <w:rPr>
                <w:rFonts w:eastAsiaTheme="minorEastAsia"/>
                <w:sz w:val="15"/>
                <w:szCs w:val="15"/>
              </w:rPr>
              <w:t>AstraZeneca</w:t>
            </w:r>
            <w:r w:rsidR="00A460C6">
              <w:rPr>
                <w:rFonts w:eastAsiaTheme="minorEastAsia"/>
                <w:sz w:val="15"/>
                <w:szCs w:val="15"/>
              </w:rPr>
              <w:t>;</w:t>
            </w:r>
            <w:r w:rsidRPr="009C615B">
              <w:rPr>
                <w:rFonts w:eastAsiaTheme="minorEastAsia"/>
                <w:sz w:val="15"/>
                <w:szCs w:val="15"/>
              </w:rPr>
              <w:t xml:space="preserve"> PAREXEL Early Phase/California Clinical Trials Medical Group</w:t>
            </w:r>
          </w:p>
        </w:tc>
      </w:tr>
      <w:tr w:rsidR="009C615B" w:rsidRPr="009C615B" w14:paraId="325A6523" w14:textId="77777777" w:rsidTr="009C615B">
        <w:tc>
          <w:tcPr>
            <w:tcW w:w="567" w:type="dxa"/>
            <w:hideMark/>
          </w:tcPr>
          <w:p w14:paraId="5648DE62"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14</w:t>
            </w:r>
          </w:p>
        </w:tc>
        <w:tc>
          <w:tcPr>
            <w:tcW w:w="709" w:type="dxa"/>
            <w:hideMark/>
          </w:tcPr>
          <w:p w14:paraId="44883BCE"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w:t>
            </w:r>
          </w:p>
        </w:tc>
        <w:tc>
          <w:tcPr>
            <w:tcW w:w="1701" w:type="dxa"/>
            <w:hideMark/>
          </w:tcPr>
          <w:p w14:paraId="396B1E62"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Healthy male volunteers</w:t>
            </w:r>
          </w:p>
        </w:tc>
        <w:tc>
          <w:tcPr>
            <w:tcW w:w="1418" w:type="dxa"/>
            <w:hideMark/>
          </w:tcPr>
          <w:p w14:paraId="5D79798E"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18–45 years (adult)</w:t>
            </w:r>
          </w:p>
        </w:tc>
        <w:tc>
          <w:tcPr>
            <w:tcW w:w="1417" w:type="dxa"/>
            <w:hideMark/>
          </w:tcPr>
          <w:p w14:paraId="18392244"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NCT01290900</w:t>
            </w:r>
          </w:p>
        </w:tc>
        <w:tc>
          <w:tcPr>
            <w:tcW w:w="4820" w:type="dxa"/>
            <w:hideMark/>
          </w:tcPr>
          <w:p w14:paraId="62E450D6"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3000 mg plus avibactam 2000 mg), 30 min IV infusion followed by 30 min placebo (saline) infusion for blinding</w:t>
            </w:r>
          </w:p>
        </w:tc>
        <w:tc>
          <w:tcPr>
            <w:tcW w:w="1275" w:type="dxa"/>
            <w:hideMark/>
          </w:tcPr>
          <w:p w14:paraId="6BFDFC2E"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May 2011</w:t>
            </w:r>
          </w:p>
        </w:tc>
        <w:tc>
          <w:tcPr>
            <w:tcW w:w="1985" w:type="dxa"/>
            <w:hideMark/>
          </w:tcPr>
          <w:p w14:paraId="09C053C5"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AstraZeneca; Quintiles, Inc.</w:t>
            </w:r>
          </w:p>
        </w:tc>
      </w:tr>
      <w:tr w:rsidR="009C615B" w:rsidRPr="009C615B" w14:paraId="1601E9BF" w14:textId="77777777" w:rsidTr="009C615B">
        <w:tc>
          <w:tcPr>
            <w:tcW w:w="567" w:type="dxa"/>
            <w:hideMark/>
          </w:tcPr>
          <w:p w14:paraId="50E6CEE0"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15</w:t>
            </w:r>
          </w:p>
        </w:tc>
        <w:tc>
          <w:tcPr>
            <w:tcW w:w="709" w:type="dxa"/>
            <w:hideMark/>
          </w:tcPr>
          <w:p w14:paraId="419B3513"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w:t>
            </w:r>
          </w:p>
        </w:tc>
        <w:tc>
          <w:tcPr>
            <w:tcW w:w="1701" w:type="dxa"/>
            <w:hideMark/>
          </w:tcPr>
          <w:p w14:paraId="7A50019A"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Healthy volunteers</w:t>
            </w:r>
          </w:p>
        </w:tc>
        <w:tc>
          <w:tcPr>
            <w:tcW w:w="1418" w:type="dxa"/>
            <w:hideMark/>
          </w:tcPr>
          <w:p w14:paraId="6A5A59C5"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18–50 years (adult)</w:t>
            </w:r>
          </w:p>
        </w:tc>
        <w:tc>
          <w:tcPr>
            <w:tcW w:w="1417" w:type="dxa"/>
            <w:hideMark/>
          </w:tcPr>
          <w:p w14:paraId="2732B8E7"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NCT01395420</w:t>
            </w:r>
          </w:p>
        </w:tc>
        <w:tc>
          <w:tcPr>
            <w:tcW w:w="4820" w:type="dxa"/>
            <w:hideMark/>
          </w:tcPr>
          <w:p w14:paraId="5FEC43B1"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2000 mg plus avibactam 500 mg, or ceftazidime 3000 mg plus avibactam 1000 mg); 2 h IV infusion every 8 h for 3 days (total of 9 doses)</w:t>
            </w:r>
          </w:p>
        </w:tc>
        <w:tc>
          <w:tcPr>
            <w:tcW w:w="1275" w:type="dxa"/>
            <w:hideMark/>
          </w:tcPr>
          <w:p w14:paraId="05EDCBF9"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July 2012</w:t>
            </w:r>
          </w:p>
        </w:tc>
        <w:tc>
          <w:tcPr>
            <w:tcW w:w="1985" w:type="dxa"/>
            <w:hideMark/>
          </w:tcPr>
          <w:p w14:paraId="0EB6CDCD" w14:textId="2D295C6E" w:rsidR="009C615B" w:rsidRPr="009C615B" w:rsidRDefault="009C615B" w:rsidP="00A460C6">
            <w:pPr>
              <w:autoSpaceDE w:val="0"/>
              <w:autoSpaceDN w:val="0"/>
              <w:adjustRightInd w:val="0"/>
              <w:jc w:val="both"/>
              <w:rPr>
                <w:color w:val="000000"/>
                <w:sz w:val="15"/>
                <w:szCs w:val="15"/>
              </w:rPr>
            </w:pPr>
            <w:r w:rsidRPr="009C615B">
              <w:rPr>
                <w:rFonts w:eastAsiaTheme="minorEastAsia"/>
                <w:sz w:val="15"/>
                <w:szCs w:val="15"/>
              </w:rPr>
              <w:t>AstraZeneca</w:t>
            </w:r>
            <w:r w:rsidR="00A460C6">
              <w:rPr>
                <w:rFonts w:eastAsiaTheme="minorEastAsia"/>
                <w:sz w:val="15"/>
                <w:szCs w:val="15"/>
              </w:rPr>
              <w:t>;</w:t>
            </w:r>
            <w:r w:rsidRPr="009C615B">
              <w:rPr>
                <w:rFonts w:eastAsiaTheme="minorEastAsia"/>
                <w:sz w:val="15"/>
                <w:szCs w:val="15"/>
              </w:rPr>
              <w:t xml:space="preserve"> Quintiles Phase I unit London</w:t>
            </w:r>
          </w:p>
        </w:tc>
      </w:tr>
      <w:tr w:rsidR="009C615B" w:rsidRPr="009C615B" w14:paraId="2B9F85C2" w14:textId="77777777" w:rsidTr="009C615B">
        <w:tc>
          <w:tcPr>
            <w:tcW w:w="567" w:type="dxa"/>
            <w:hideMark/>
          </w:tcPr>
          <w:p w14:paraId="627107AC"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lastRenderedPageBreak/>
              <w:t>16</w:t>
            </w:r>
          </w:p>
        </w:tc>
        <w:tc>
          <w:tcPr>
            <w:tcW w:w="709" w:type="dxa"/>
            <w:hideMark/>
          </w:tcPr>
          <w:p w14:paraId="25402FAC"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w:t>
            </w:r>
          </w:p>
        </w:tc>
        <w:tc>
          <w:tcPr>
            <w:tcW w:w="1701" w:type="dxa"/>
            <w:hideMark/>
          </w:tcPr>
          <w:p w14:paraId="2A719953"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Healthy volunteers</w:t>
            </w:r>
          </w:p>
        </w:tc>
        <w:tc>
          <w:tcPr>
            <w:tcW w:w="1418" w:type="dxa"/>
            <w:hideMark/>
          </w:tcPr>
          <w:p w14:paraId="6313D5B3"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18–50 years (adult)</w:t>
            </w:r>
          </w:p>
        </w:tc>
        <w:tc>
          <w:tcPr>
            <w:tcW w:w="1417" w:type="dxa"/>
            <w:hideMark/>
          </w:tcPr>
          <w:p w14:paraId="0AFA17FC"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NCT01534247</w:t>
            </w:r>
          </w:p>
        </w:tc>
        <w:tc>
          <w:tcPr>
            <w:tcW w:w="4820" w:type="dxa"/>
            <w:hideMark/>
          </w:tcPr>
          <w:p w14:paraId="3776DDDD"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2000 mg plus avibactam 500 mg), metronidazole (500 mg), or metronidazole followed by CAZ</w:t>
            </w:r>
            <w:r w:rsidR="00850D4F">
              <w:rPr>
                <w:rFonts w:eastAsiaTheme="minorEastAsia"/>
                <w:sz w:val="15"/>
                <w:szCs w:val="15"/>
              </w:rPr>
              <w:t>–</w:t>
            </w:r>
            <w:r w:rsidRPr="009C615B">
              <w:rPr>
                <w:rFonts w:eastAsiaTheme="minorEastAsia"/>
                <w:sz w:val="15"/>
                <w:szCs w:val="15"/>
              </w:rPr>
              <w:t>AVI over 4 days of IV treatment. Subjects received a single dose on the ﬁrst and ﬁnal days, and multiple doses every 8 h on intervening days</w:t>
            </w:r>
          </w:p>
        </w:tc>
        <w:tc>
          <w:tcPr>
            <w:tcW w:w="1275" w:type="dxa"/>
            <w:hideMark/>
          </w:tcPr>
          <w:p w14:paraId="662A2D6B"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July 2012</w:t>
            </w:r>
          </w:p>
        </w:tc>
        <w:tc>
          <w:tcPr>
            <w:tcW w:w="1985" w:type="dxa"/>
            <w:hideMark/>
          </w:tcPr>
          <w:p w14:paraId="7B1D3C4E"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AstraZeneca; QuintilesOverland Park</w:t>
            </w:r>
          </w:p>
        </w:tc>
      </w:tr>
      <w:tr w:rsidR="009C615B" w:rsidRPr="009C615B" w14:paraId="54AC7A4C" w14:textId="77777777" w:rsidTr="009C615B">
        <w:tc>
          <w:tcPr>
            <w:tcW w:w="567" w:type="dxa"/>
            <w:hideMark/>
          </w:tcPr>
          <w:p w14:paraId="21DB1C0D"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17</w:t>
            </w:r>
          </w:p>
        </w:tc>
        <w:tc>
          <w:tcPr>
            <w:tcW w:w="709" w:type="dxa"/>
            <w:hideMark/>
          </w:tcPr>
          <w:p w14:paraId="6DCFD784"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w:t>
            </w:r>
          </w:p>
        </w:tc>
        <w:tc>
          <w:tcPr>
            <w:tcW w:w="1701" w:type="dxa"/>
            <w:hideMark/>
          </w:tcPr>
          <w:p w14:paraId="598BD704" w14:textId="77777777" w:rsidR="009C615B" w:rsidRPr="009C615B" w:rsidRDefault="009C615B" w:rsidP="009C615B">
            <w:pPr>
              <w:autoSpaceDE w:val="0"/>
              <w:autoSpaceDN w:val="0"/>
              <w:adjustRightInd w:val="0"/>
              <w:jc w:val="both"/>
              <w:rPr>
                <w:rFonts w:eastAsiaTheme="minorEastAsia"/>
                <w:sz w:val="15"/>
                <w:szCs w:val="15"/>
              </w:rPr>
            </w:pPr>
            <w:r w:rsidRPr="009C615B">
              <w:rPr>
                <w:rFonts w:eastAsiaTheme="minorEastAsia"/>
                <w:sz w:val="15"/>
                <w:szCs w:val="15"/>
              </w:rPr>
              <w:t>Healthy</w:t>
            </w:r>
          </w:p>
          <w:p w14:paraId="64C49C3A"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volunteers</w:t>
            </w:r>
          </w:p>
        </w:tc>
        <w:tc>
          <w:tcPr>
            <w:tcW w:w="1418" w:type="dxa"/>
            <w:hideMark/>
          </w:tcPr>
          <w:p w14:paraId="65AA4CDD"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18–50 years (adult)</w:t>
            </w:r>
          </w:p>
        </w:tc>
        <w:tc>
          <w:tcPr>
            <w:tcW w:w="1417" w:type="dxa"/>
            <w:hideMark/>
          </w:tcPr>
          <w:p w14:paraId="5153946C"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NCT01430910</w:t>
            </w:r>
          </w:p>
        </w:tc>
        <w:tc>
          <w:tcPr>
            <w:tcW w:w="4820" w:type="dxa"/>
            <w:hideMark/>
          </w:tcPr>
          <w:p w14:paraId="0E71E0C8"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2000 mg plus avibactam 500 mg) as a single infusion or as multiple intravenous infusions over 11 days</w:t>
            </w:r>
          </w:p>
        </w:tc>
        <w:tc>
          <w:tcPr>
            <w:tcW w:w="1275" w:type="dxa"/>
            <w:hideMark/>
          </w:tcPr>
          <w:p w14:paraId="41C92190"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October 2012</w:t>
            </w:r>
          </w:p>
        </w:tc>
        <w:tc>
          <w:tcPr>
            <w:tcW w:w="1985" w:type="dxa"/>
            <w:hideMark/>
          </w:tcPr>
          <w:p w14:paraId="5C196109"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AstraZeneca</w:t>
            </w:r>
          </w:p>
        </w:tc>
      </w:tr>
      <w:tr w:rsidR="009C615B" w:rsidRPr="009C615B" w14:paraId="12EF1EB3" w14:textId="77777777" w:rsidTr="009C615B">
        <w:tc>
          <w:tcPr>
            <w:tcW w:w="567" w:type="dxa"/>
            <w:hideMark/>
          </w:tcPr>
          <w:p w14:paraId="77DCA241"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18</w:t>
            </w:r>
          </w:p>
        </w:tc>
        <w:tc>
          <w:tcPr>
            <w:tcW w:w="709" w:type="dxa"/>
            <w:hideMark/>
          </w:tcPr>
          <w:p w14:paraId="66497FFD"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w:t>
            </w:r>
          </w:p>
        </w:tc>
        <w:tc>
          <w:tcPr>
            <w:tcW w:w="1701" w:type="dxa"/>
            <w:hideMark/>
          </w:tcPr>
          <w:p w14:paraId="2CBFE7CD"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Healthy volunteers</w:t>
            </w:r>
          </w:p>
        </w:tc>
        <w:tc>
          <w:tcPr>
            <w:tcW w:w="1418" w:type="dxa"/>
            <w:hideMark/>
          </w:tcPr>
          <w:p w14:paraId="592C639C"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18–45 years (adult)</w:t>
            </w:r>
          </w:p>
        </w:tc>
        <w:tc>
          <w:tcPr>
            <w:tcW w:w="1417" w:type="dxa"/>
            <w:hideMark/>
          </w:tcPr>
          <w:p w14:paraId="16F64419"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NCT01920399</w:t>
            </w:r>
          </w:p>
        </w:tc>
        <w:tc>
          <w:tcPr>
            <w:tcW w:w="4820" w:type="dxa"/>
            <w:hideMark/>
          </w:tcPr>
          <w:p w14:paraId="009F2031"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2000 mg plus avibactam 500 mg), a 2 h IV infusion, once on Days 1 and 9, and every 8 h on Days 2–8</w:t>
            </w:r>
          </w:p>
        </w:tc>
        <w:tc>
          <w:tcPr>
            <w:tcW w:w="1275" w:type="dxa"/>
            <w:hideMark/>
          </w:tcPr>
          <w:p w14:paraId="73A2B89C"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November 2013</w:t>
            </w:r>
          </w:p>
        </w:tc>
        <w:tc>
          <w:tcPr>
            <w:tcW w:w="1985" w:type="dxa"/>
            <w:hideMark/>
          </w:tcPr>
          <w:p w14:paraId="44913D72"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Shuguang Hospital affiliated with Shanghai University of TCM</w:t>
            </w:r>
          </w:p>
        </w:tc>
      </w:tr>
      <w:tr w:rsidR="009C615B" w:rsidRPr="009C615B" w14:paraId="68A743B0" w14:textId="77777777" w:rsidTr="009C615B">
        <w:tc>
          <w:tcPr>
            <w:tcW w:w="567" w:type="dxa"/>
            <w:hideMark/>
          </w:tcPr>
          <w:p w14:paraId="7A797C29"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19</w:t>
            </w:r>
          </w:p>
        </w:tc>
        <w:tc>
          <w:tcPr>
            <w:tcW w:w="709" w:type="dxa"/>
            <w:hideMark/>
          </w:tcPr>
          <w:p w14:paraId="219D2782"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w:t>
            </w:r>
          </w:p>
        </w:tc>
        <w:tc>
          <w:tcPr>
            <w:tcW w:w="1701" w:type="dxa"/>
            <w:hideMark/>
          </w:tcPr>
          <w:p w14:paraId="25016E62" w14:textId="77777777" w:rsidR="009C615B" w:rsidRPr="009C615B" w:rsidRDefault="009C615B" w:rsidP="009C615B">
            <w:pPr>
              <w:autoSpaceDE w:val="0"/>
              <w:autoSpaceDN w:val="0"/>
              <w:adjustRightInd w:val="0"/>
              <w:jc w:val="both"/>
              <w:rPr>
                <w:rFonts w:eastAsiaTheme="minorEastAsia"/>
                <w:sz w:val="15"/>
                <w:szCs w:val="15"/>
              </w:rPr>
            </w:pPr>
            <w:r w:rsidRPr="009C615B">
              <w:rPr>
                <w:rFonts w:eastAsiaTheme="minorEastAsia"/>
                <w:sz w:val="15"/>
                <w:szCs w:val="15"/>
              </w:rPr>
              <w:t>Pharmacokinetics</w:t>
            </w:r>
          </w:p>
          <w:p w14:paraId="42F47C5E"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effect on intestinal flora</w:t>
            </w:r>
          </w:p>
        </w:tc>
        <w:tc>
          <w:tcPr>
            <w:tcW w:w="1418" w:type="dxa"/>
            <w:hideMark/>
          </w:tcPr>
          <w:p w14:paraId="38540907"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18–45 years (adult)</w:t>
            </w:r>
          </w:p>
        </w:tc>
        <w:tc>
          <w:tcPr>
            <w:tcW w:w="1417" w:type="dxa"/>
            <w:hideMark/>
          </w:tcPr>
          <w:p w14:paraId="0AEB1415"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NCT01789528</w:t>
            </w:r>
          </w:p>
        </w:tc>
        <w:tc>
          <w:tcPr>
            <w:tcW w:w="4820" w:type="dxa"/>
            <w:hideMark/>
          </w:tcPr>
          <w:p w14:paraId="776E287E"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2000 mg plus avibactam 500 mg) as a 2 h IV infusion every 8 h</w:t>
            </w:r>
          </w:p>
        </w:tc>
        <w:tc>
          <w:tcPr>
            <w:tcW w:w="1275" w:type="dxa"/>
            <w:hideMark/>
          </w:tcPr>
          <w:p w14:paraId="581452D2"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March 2014</w:t>
            </w:r>
          </w:p>
        </w:tc>
        <w:tc>
          <w:tcPr>
            <w:tcW w:w="1985" w:type="dxa"/>
            <w:hideMark/>
          </w:tcPr>
          <w:p w14:paraId="1EBA359B"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AstraZeneca R&amp;D; Clinical Pharmacology Trial Unit, Karolinska University Hospital Huddinge</w:t>
            </w:r>
          </w:p>
        </w:tc>
      </w:tr>
      <w:tr w:rsidR="009C615B" w:rsidRPr="009C615B" w14:paraId="42DCA071" w14:textId="77777777" w:rsidTr="009C615B">
        <w:tc>
          <w:tcPr>
            <w:tcW w:w="567" w:type="dxa"/>
            <w:hideMark/>
          </w:tcPr>
          <w:p w14:paraId="73DCA29B"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20</w:t>
            </w:r>
          </w:p>
        </w:tc>
        <w:tc>
          <w:tcPr>
            <w:tcW w:w="709" w:type="dxa"/>
            <w:hideMark/>
          </w:tcPr>
          <w:p w14:paraId="7257152F"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w:t>
            </w:r>
          </w:p>
        </w:tc>
        <w:tc>
          <w:tcPr>
            <w:tcW w:w="1701" w:type="dxa"/>
            <w:hideMark/>
          </w:tcPr>
          <w:p w14:paraId="11D4961A"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Systemic infections</w:t>
            </w:r>
          </w:p>
        </w:tc>
        <w:tc>
          <w:tcPr>
            <w:tcW w:w="1418" w:type="dxa"/>
            <w:hideMark/>
          </w:tcPr>
          <w:p w14:paraId="238F17D2"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3 months to 17 years (child)</w:t>
            </w:r>
          </w:p>
        </w:tc>
        <w:tc>
          <w:tcPr>
            <w:tcW w:w="1417" w:type="dxa"/>
            <w:hideMark/>
          </w:tcPr>
          <w:p w14:paraId="4391ABDB"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NCT01893346</w:t>
            </w:r>
          </w:p>
        </w:tc>
        <w:tc>
          <w:tcPr>
            <w:tcW w:w="4820" w:type="dxa"/>
            <w:hideMark/>
          </w:tcPr>
          <w:p w14:paraId="467ABEDC" w14:textId="77777777" w:rsidR="009C615B" w:rsidRPr="009C615B" w:rsidRDefault="009C615B" w:rsidP="00850D4F">
            <w:pPr>
              <w:autoSpaceDE w:val="0"/>
              <w:autoSpaceDN w:val="0"/>
              <w:adjustRightInd w:val="0"/>
              <w:jc w:val="both"/>
              <w:rPr>
                <w:color w:val="000000"/>
                <w:sz w:val="15"/>
                <w:szCs w:val="15"/>
              </w:rPr>
            </w:pPr>
            <w:r w:rsidRPr="009C615B">
              <w:rPr>
                <w:rFonts w:eastAsiaTheme="minorEastAsia"/>
                <w:sz w:val="15"/>
                <w:szCs w:val="15"/>
              </w:rPr>
              <w:t>A single 2 h intravenous infusion of CAZ</w:t>
            </w:r>
            <w:r w:rsidR="00850D4F">
              <w:rPr>
                <w:rFonts w:eastAsiaTheme="minorEastAsia"/>
                <w:sz w:val="15"/>
                <w:szCs w:val="15"/>
              </w:rPr>
              <w:t>–</w:t>
            </w:r>
            <w:r w:rsidRPr="009C615B">
              <w:rPr>
                <w:rFonts w:eastAsiaTheme="minorEastAsia"/>
                <w:sz w:val="15"/>
                <w:szCs w:val="15"/>
              </w:rPr>
              <w:t>AVI, dosage regimen varies depending on cohort</w:t>
            </w:r>
          </w:p>
        </w:tc>
        <w:tc>
          <w:tcPr>
            <w:tcW w:w="1275" w:type="dxa"/>
            <w:hideMark/>
          </w:tcPr>
          <w:p w14:paraId="6DF8D0A4"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October 2014</w:t>
            </w:r>
          </w:p>
        </w:tc>
        <w:tc>
          <w:tcPr>
            <w:tcW w:w="1985" w:type="dxa"/>
            <w:hideMark/>
          </w:tcPr>
          <w:p w14:paraId="7D6911CB" w14:textId="70A0351C" w:rsidR="009C615B" w:rsidRPr="009C615B" w:rsidRDefault="009C615B" w:rsidP="00A460C6">
            <w:pPr>
              <w:autoSpaceDE w:val="0"/>
              <w:autoSpaceDN w:val="0"/>
              <w:adjustRightInd w:val="0"/>
              <w:jc w:val="both"/>
              <w:rPr>
                <w:color w:val="000000"/>
                <w:sz w:val="15"/>
                <w:szCs w:val="15"/>
              </w:rPr>
            </w:pPr>
            <w:r w:rsidRPr="009C615B">
              <w:rPr>
                <w:rFonts w:eastAsiaTheme="minorEastAsia"/>
                <w:sz w:val="15"/>
                <w:szCs w:val="15"/>
              </w:rPr>
              <w:t>AstraZeneca</w:t>
            </w:r>
            <w:r w:rsidR="00A460C6">
              <w:rPr>
                <w:rFonts w:eastAsiaTheme="minorEastAsia"/>
                <w:sz w:val="15"/>
                <w:szCs w:val="15"/>
              </w:rPr>
              <w:t>;</w:t>
            </w:r>
            <w:r w:rsidRPr="009C615B">
              <w:rPr>
                <w:rFonts w:eastAsiaTheme="minorEastAsia"/>
                <w:sz w:val="15"/>
                <w:szCs w:val="15"/>
              </w:rPr>
              <w:t xml:space="preserve"> University of California</w:t>
            </w:r>
          </w:p>
        </w:tc>
      </w:tr>
      <w:tr w:rsidR="009C615B" w:rsidRPr="009C615B" w14:paraId="4FDB60DF" w14:textId="77777777" w:rsidTr="009C615B">
        <w:tc>
          <w:tcPr>
            <w:tcW w:w="567" w:type="dxa"/>
            <w:tcBorders>
              <w:bottom w:val="single" w:sz="4" w:space="0" w:color="auto"/>
            </w:tcBorders>
            <w:hideMark/>
          </w:tcPr>
          <w:p w14:paraId="2503E718" w14:textId="77777777" w:rsidR="009C615B" w:rsidRPr="009C615B" w:rsidRDefault="009C615B" w:rsidP="009C615B">
            <w:pPr>
              <w:widowControl w:val="0"/>
              <w:autoSpaceDE w:val="0"/>
              <w:autoSpaceDN w:val="0"/>
              <w:adjustRightInd w:val="0"/>
              <w:jc w:val="both"/>
              <w:rPr>
                <w:color w:val="000000"/>
                <w:sz w:val="15"/>
                <w:szCs w:val="15"/>
              </w:rPr>
            </w:pPr>
            <w:r w:rsidRPr="009C615B">
              <w:rPr>
                <w:rFonts w:eastAsiaTheme="minorEastAsia"/>
                <w:sz w:val="15"/>
                <w:szCs w:val="15"/>
              </w:rPr>
              <w:t>21</w:t>
            </w:r>
          </w:p>
        </w:tc>
        <w:tc>
          <w:tcPr>
            <w:tcW w:w="709" w:type="dxa"/>
            <w:tcBorders>
              <w:bottom w:val="single" w:sz="4" w:space="0" w:color="auto"/>
            </w:tcBorders>
            <w:hideMark/>
          </w:tcPr>
          <w:p w14:paraId="21C5479B"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w:t>
            </w:r>
          </w:p>
        </w:tc>
        <w:tc>
          <w:tcPr>
            <w:tcW w:w="1701" w:type="dxa"/>
            <w:tcBorders>
              <w:bottom w:val="single" w:sz="4" w:space="0" w:color="auto"/>
            </w:tcBorders>
            <w:hideMark/>
          </w:tcPr>
          <w:p w14:paraId="2858CE84"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ICU patients</w:t>
            </w:r>
          </w:p>
        </w:tc>
        <w:tc>
          <w:tcPr>
            <w:tcW w:w="1418" w:type="dxa"/>
            <w:tcBorders>
              <w:bottom w:val="single" w:sz="4" w:space="0" w:color="auto"/>
            </w:tcBorders>
            <w:hideMark/>
          </w:tcPr>
          <w:p w14:paraId="71F7632F"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18–90 years (adult, older adult)</w:t>
            </w:r>
          </w:p>
        </w:tc>
        <w:tc>
          <w:tcPr>
            <w:tcW w:w="1417" w:type="dxa"/>
            <w:tcBorders>
              <w:bottom w:val="single" w:sz="4" w:space="0" w:color="auto"/>
            </w:tcBorders>
            <w:hideMark/>
          </w:tcPr>
          <w:p w14:paraId="3AA4FBFC" w14:textId="77777777" w:rsidR="009C615B" w:rsidRPr="009C615B" w:rsidRDefault="009C615B" w:rsidP="009C615B">
            <w:pPr>
              <w:autoSpaceDE w:val="0"/>
              <w:autoSpaceDN w:val="0"/>
              <w:adjustRightInd w:val="0"/>
              <w:jc w:val="both"/>
              <w:rPr>
                <w:sz w:val="15"/>
                <w:szCs w:val="15"/>
              </w:rPr>
            </w:pPr>
            <w:r w:rsidRPr="009C615B">
              <w:rPr>
                <w:rFonts w:eastAsiaTheme="minorEastAsia"/>
                <w:sz w:val="15"/>
                <w:szCs w:val="15"/>
              </w:rPr>
              <w:t>NCT02822950</w:t>
            </w:r>
          </w:p>
        </w:tc>
        <w:tc>
          <w:tcPr>
            <w:tcW w:w="4820" w:type="dxa"/>
            <w:tcBorders>
              <w:bottom w:val="single" w:sz="4" w:space="0" w:color="auto"/>
            </w:tcBorders>
            <w:hideMark/>
          </w:tcPr>
          <w:p w14:paraId="6663BA67" w14:textId="77777777" w:rsidR="009C615B" w:rsidRPr="009C615B" w:rsidRDefault="009C615B" w:rsidP="00850D4F">
            <w:pPr>
              <w:autoSpaceDE w:val="0"/>
              <w:autoSpaceDN w:val="0"/>
              <w:adjustRightInd w:val="0"/>
              <w:jc w:val="both"/>
              <w:rPr>
                <w:sz w:val="15"/>
                <w:szCs w:val="15"/>
              </w:rPr>
            </w:pPr>
            <w:r w:rsidRPr="009C615B">
              <w:rPr>
                <w:rFonts w:eastAsiaTheme="minorEastAsia"/>
                <w:sz w:val="15"/>
                <w:szCs w:val="15"/>
              </w:rPr>
              <w:t>CAZ</w:t>
            </w:r>
            <w:r w:rsidR="00850D4F">
              <w:rPr>
                <w:rFonts w:eastAsiaTheme="minorEastAsia"/>
                <w:sz w:val="15"/>
                <w:szCs w:val="15"/>
              </w:rPr>
              <w:t>–</w:t>
            </w:r>
            <w:r w:rsidRPr="009C615B">
              <w:rPr>
                <w:rFonts w:eastAsiaTheme="minorEastAsia"/>
                <w:sz w:val="15"/>
                <w:szCs w:val="15"/>
              </w:rPr>
              <w:t>AVI (ceftazidime 2000 mg plus avibactam 500 mg) IV infusion over 2 h every 8 h. Patients receive at least 3 doses of CAZ-AVI</w:t>
            </w:r>
          </w:p>
        </w:tc>
        <w:tc>
          <w:tcPr>
            <w:tcW w:w="1275" w:type="dxa"/>
            <w:tcBorders>
              <w:bottom w:val="single" w:sz="4" w:space="0" w:color="auto"/>
            </w:tcBorders>
            <w:hideMark/>
          </w:tcPr>
          <w:p w14:paraId="1AF2E2AD"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December 2017</w:t>
            </w:r>
          </w:p>
        </w:tc>
        <w:tc>
          <w:tcPr>
            <w:tcW w:w="1985" w:type="dxa"/>
            <w:tcBorders>
              <w:bottom w:val="single" w:sz="4" w:space="0" w:color="auto"/>
            </w:tcBorders>
            <w:hideMark/>
          </w:tcPr>
          <w:p w14:paraId="72EED7D8" w14:textId="77777777" w:rsidR="009C615B" w:rsidRPr="009C615B" w:rsidRDefault="009C615B" w:rsidP="009C615B">
            <w:pPr>
              <w:autoSpaceDE w:val="0"/>
              <w:autoSpaceDN w:val="0"/>
              <w:adjustRightInd w:val="0"/>
              <w:jc w:val="both"/>
              <w:rPr>
                <w:color w:val="000000"/>
                <w:sz w:val="15"/>
                <w:szCs w:val="15"/>
              </w:rPr>
            </w:pPr>
            <w:r w:rsidRPr="009C615B">
              <w:rPr>
                <w:rFonts w:eastAsiaTheme="minorEastAsia"/>
                <w:sz w:val="15"/>
                <w:szCs w:val="15"/>
              </w:rPr>
              <w:t>Michigan State University</w:t>
            </w:r>
          </w:p>
        </w:tc>
      </w:tr>
    </w:tbl>
    <w:p w14:paraId="2E2017F7" w14:textId="23F0DE44" w:rsidR="009C615B" w:rsidRDefault="009432D1" w:rsidP="009C615B">
      <w:pPr>
        <w:autoSpaceDE w:val="0"/>
        <w:autoSpaceDN w:val="0"/>
        <w:adjustRightInd w:val="0"/>
        <w:jc w:val="both"/>
        <w:rPr>
          <w:rFonts w:eastAsiaTheme="minorEastAsia" w:hint="eastAsia"/>
          <w:sz w:val="18"/>
          <w:szCs w:val="18"/>
          <w:lang w:eastAsia="zh-CN"/>
        </w:rPr>
      </w:pPr>
      <w:r>
        <w:rPr>
          <w:rFonts w:eastAsiaTheme="minorEastAsia" w:hint="eastAsia"/>
          <w:sz w:val="18"/>
          <w:szCs w:val="18"/>
          <w:lang w:eastAsia="zh-CN"/>
        </w:rPr>
        <w:t>C</w:t>
      </w:r>
      <w:r>
        <w:rPr>
          <w:rFonts w:eastAsiaTheme="minorEastAsia"/>
          <w:sz w:val="18"/>
          <w:szCs w:val="18"/>
          <w:lang w:eastAsia="zh-CN"/>
        </w:rPr>
        <w:t xml:space="preserve">F: </w:t>
      </w:r>
      <w:r w:rsidRPr="009432D1">
        <w:rPr>
          <w:rFonts w:eastAsiaTheme="minorEastAsia"/>
          <w:sz w:val="18"/>
          <w:szCs w:val="18"/>
          <w:lang w:eastAsia="zh-CN"/>
        </w:rPr>
        <w:t>cystic fibrosis</w:t>
      </w:r>
      <w:r>
        <w:rPr>
          <w:rFonts w:eastAsiaTheme="minorEastAsia"/>
          <w:sz w:val="18"/>
          <w:szCs w:val="18"/>
          <w:lang w:eastAsia="zh-CN"/>
        </w:rPr>
        <w:t>;</w:t>
      </w:r>
    </w:p>
    <w:p w14:paraId="11452D14" w14:textId="77777777" w:rsidR="009432D1" w:rsidRDefault="009432D1" w:rsidP="009C615B">
      <w:pPr>
        <w:autoSpaceDE w:val="0"/>
        <w:autoSpaceDN w:val="0"/>
        <w:adjustRightInd w:val="0"/>
        <w:jc w:val="both"/>
        <w:rPr>
          <w:rFonts w:eastAsiaTheme="minorEastAsia"/>
          <w:sz w:val="18"/>
          <w:szCs w:val="18"/>
        </w:rPr>
      </w:pPr>
    </w:p>
    <w:p w14:paraId="2044271D" w14:textId="77777777" w:rsidR="009C615B" w:rsidRPr="009C615B" w:rsidRDefault="009C615B" w:rsidP="009C615B">
      <w:pPr>
        <w:pStyle w:val="haffiliations"/>
        <w:autoSpaceDE w:val="0"/>
        <w:autoSpaceDN w:val="0"/>
        <w:adjustRightInd w:val="0"/>
        <w:snapToGrid w:val="0"/>
        <w:spacing w:before="0"/>
        <w:jc w:val="both"/>
        <w:rPr>
          <w:b/>
          <w:bCs/>
          <w:sz w:val="18"/>
          <w:szCs w:val="21"/>
          <w:lang w:eastAsia="zh-CN"/>
        </w:rPr>
      </w:pPr>
      <w:r w:rsidRPr="009C615B">
        <w:rPr>
          <w:b/>
          <w:bCs/>
          <w:sz w:val="18"/>
          <w:szCs w:val="21"/>
          <w:lang w:eastAsia="zh-CN"/>
        </w:rPr>
        <w:t xml:space="preserve">Table </w:t>
      </w:r>
      <w:r w:rsidR="00176923">
        <w:rPr>
          <w:b/>
          <w:bCs/>
          <w:sz w:val="18"/>
          <w:szCs w:val="21"/>
          <w:lang w:eastAsia="zh-CN"/>
        </w:rPr>
        <w:t>S</w:t>
      </w:r>
      <w:r w:rsidRPr="009C615B">
        <w:rPr>
          <w:b/>
          <w:bCs/>
          <w:sz w:val="18"/>
          <w:szCs w:val="21"/>
          <w:lang w:eastAsia="zh-CN"/>
        </w:rPr>
        <w:t>2</w:t>
      </w:r>
    </w:p>
    <w:p w14:paraId="719D48D7" w14:textId="3B5556C8" w:rsidR="009C615B" w:rsidRPr="009C615B" w:rsidRDefault="009C615B" w:rsidP="009C615B">
      <w:pPr>
        <w:pStyle w:val="haffiliations"/>
        <w:autoSpaceDE w:val="0"/>
        <w:autoSpaceDN w:val="0"/>
        <w:adjustRightInd w:val="0"/>
        <w:snapToGrid w:val="0"/>
        <w:spacing w:before="0"/>
        <w:jc w:val="both"/>
        <w:rPr>
          <w:bCs/>
          <w:sz w:val="18"/>
          <w:szCs w:val="21"/>
          <w:lang w:eastAsia="zh-CN"/>
        </w:rPr>
      </w:pPr>
      <w:r w:rsidRPr="009C615B">
        <w:rPr>
          <w:bCs/>
          <w:sz w:val="18"/>
          <w:szCs w:val="21"/>
          <w:lang w:eastAsia="zh-CN"/>
        </w:rPr>
        <w:t>Summary of other CAZ</w:t>
      </w:r>
      <w:r w:rsidR="00A460C6">
        <w:rPr>
          <w:bCs/>
          <w:sz w:val="18"/>
          <w:szCs w:val="21"/>
          <w:lang w:eastAsia="zh-CN"/>
        </w:rPr>
        <w:t>–</w:t>
      </w:r>
      <w:r w:rsidRPr="009C615B">
        <w:rPr>
          <w:bCs/>
          <w:sz w:val="18"/>
          <w:szCs w:val="21"/>
          <w:lang w:eastAsia="zh-CN"/>
        </w:rPr>
        <w:t xml:space="preserve">AVI resistance mechanisms developed </w:t>
      </w:r>
      <w:r w:rsidRPr="009C615B">
        <w:rPr>
          <w:bCs/>
          <w:i/>
          <w:sz w:val="18"/>
          <w:szCs w:val="21"/>
          <w:lang w:eastAsia="zh-CN"/>
        </w:rPr>
        <w:t>in vitro</w:t>
      </w:r>
      <w:r w:rsidRPr="009C615B">
        <w:rPr>
          <w:bCs/>
          <w:sz w:val="18"/>
          <w:szCs w:val="21"/>
          <w:lang w:eastAsia="zh-CN"/>
        </w:rPr>
        <w: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5812"/>
        <w:gridCol w:w="850"/>
        <w:gridCol w:w="1559"/>
        <w:gridCol w:w="1560"/>
        <w:gridCol w:w="1701"/>
        <w:gridCol w:w="958"/>
      </w:tblGrid>
      <w:tr w:rsidR="009C615B" w:rsidRPr="007151CA" w14:paraId="1D532329" w14:textId="77777777" w:rsidTr="00356C43">
        <w:tc>
          <w:tcPr>
            <w:tcW w:w="1418" w:type="dxa"/>
            <w:tcBorders>
              <w:top w:val="single" w:sz="4" w:space="0" w:color="auto"/>
              <w:bottom w:val="single" w:sz="4" w:space="0" w:color="auto"/>
            </w:tcBorders>
          </w:tcPr>
          <w:p w14:paraId="3A0060FC" w14:textId="77777777" w:rsidR="009C615B" w:rsidRPr="00356C43" w:rsidRDefault="009C615B" w:rsidP="00356C43">
            <w:pPr>
              <w:autoSpaceDE w:val="0"/>
              <w:autoSpaceDN w:val="0"/>
              <w:adjustRightInd w:val="0"/>
              <w:jc w:val="both"/>
              <w:rPr>
                <w:rFonts w:eastAsiaTheme="minorEastAsia"/>
                <w:sz w:val="15"/>
                <w:szCs w:val="15"/>
              </w:rPr>
            </w:pPr>
            <w:r w:rsidRPr="00356C43">
              <w:rPr>
                <w:rFonts w:eastAsiaTheme="minorEastAsia"/>
                <w:sz w:val="15"/>
                <w:szCs w:val="15"/>
              </w:rPr>
              <w:t>Protein name</w:t>
            </w:r>
          </w:p>
        </w:tc>
        <w:tc>
          <w:tcPr>
            <w:tcW w:w="5812" w:type="dxa"/>
            <w:tcBorders>
              <w:top w:val="single" w:sz="4" w:space="0" w:color="auto"/>
              <w:bottom w:val="single" w:sz="4" w:space="0" w:color="auto"/>
            </w:tcBorders>
          </w:tcPr>
          <w:p w14:paraId="3B956735" w14:textId="77777777" w:rsidR="009C615B" w:rsidRPr="00356C43" w:rsidRDefault="009C615B" w:rsidP="00356C43">
            <w:pPr>
              <w:autoSpaceDE w:val="0"/>
              <w:autoSpaceDN w:val="0"/>
              <w:adjustRightInd w:val="0"/>
              <w:jc w:val="both"/>
              <w:rPr>
                <w:rFonts w:eastAsiaTheme="minorEastAsia"/>
                <w:sz w:val="15"/>
                <w:szCs w:val="15"/>
              </w:rPr>
            </w:pPr>
            <w:r w:rsidRPr="00356C43">
              <w:rPr>
                <w:rFonts w:eastAsiaTheme="minorEastAsia"/>
                <w:sz w:val="15"/>
                <w:szCs w:val="15"/>
              </w:rPr>
              <w:t>Resistance mechanism</w:t>
            </w:r>
          </w:p>
        </w:tc>
        <w:tc>
          <w:tcPr>
            <w:tcW w:w="850" w:type="dxa"/>
            <w:tcBorders>
              <w:top w:val="single" w:sz="4" w:space="0" w:color="auto"/>
              <w:bottom w:val="single" w:sz="4" w:space="0" w:color="auto"/>
            </w:tcBorders>
          </w:tcPr>
          <w:p w14:paraId="6DA536EA" w14:textId="77777777" w:rsidR="009C615B" w:rsidRPr="00356C43" w:rsidRDefault="009C615B" w:rsidP="00356C43">
            <w:pPr>
              <w:autoSpaceDE w:val="0"/>
              <w:autoSpaceDN w:val="0"/>
              <w:adjustRightInd w:val="0"/>
              <w:jc w:val="both"/>
              <w:rPr>
                <w:rFonts w:eastAsiaTheme="minorEastAsia"/>
                <w:sz w:val="15"/>
                <w:szCs w:val="15"/>
              </w:rPr>
            </w:pPr>
            <w:r w:rsidRPr="00356C43">
              <w:rPr>
                <w:rFonts w:eastAsiaTheme="minorEastAsia"/>
                <w:sz w:val="15"/>
                <w:szCs w:val="15"/>
              </w:rPr>
              <w:t>Year</w:t>
            </w:r>
          </w:p>
        </w:tc>
        <w:tc>
          <w:tcPr>
            <w:tcW w:w="1559" w:type="dxa"/>
            <w:tcBorders>
              <w:top w:val="single" w:sz="4" w:space="0" w:color="auto"/>
              <w:bottom w:val="single" w:sz="4" w:space="0" w:color="auto"/>
            </w:tcBorders>
          </w:tcPr>
          <w:p w14:paraId="7638A6F7" w14:textId="77777777" w:rsidR="009C615B" w:rsidRPr="00356C43" w:rsidRDefault="009C615B" w:rsidP="00356C43">
            <w:pPr>
              <w:autoSpaceDE w:val="0"/>
              <w:autoSpaceDN w:val="0"/>
              <w:adjustRightInd w:val="0"/>
              <w:jc w:val="both"/>
              <w:rPr>
                <w:rFonts w:eastAsiaTheme="minorEastAsia"/>
                <w:sz w:val="15"/>
                <w:szCs w:val="15"/>
              </w:rPr>
            </w:pPr>
            <w:r w:rsidRPr="00356C43">
              <w:rPr>
                <w:rFonts w:eastAsiaTheme="minorEastAsia"/>
                <w:sz w:val="15"/>
                <w:szCs w:val="15"/>
              </w:rPr>
              <w:t>Location</w:t>
            </w:r>
          </w:p>
        </w:tc>
        <w:tc>
          <w:tcPr>
            <w:tcW w:w="1560" w:type="dxa"/>
            <w:tcBorders>
              <w:top w:val="single" w:sz="4" w:space="0" w:color="auto"/>
              <w:bottom w:val="single" w:sz="4" w:space="0" w:color="auto"/>
            </w:tcBorders>
          </w:tcPr>
          <w:p w14:paraId="766A4A96" w14:textId="77777777" w:rsidR="009C615B" w:rsidRPr="00356C43" w:rsidRDefault="009C615B" w:rsidP="00356C43">
            <w:pPr>
              <w:autoSpaceDE w:val="0"/>
              <w:autoSpaceDN w:val="0"/>
              <w:adjustRightInd w:val="0"/>
              <w:jc w:val="both"/>
              <w:rPr>
                <w:rFonts w:eastAsiaTheme="minorEastAsia"/>
                <w:sz w:val="15"/>
                <w:szCs w:val="15"/>
              </w:rPr>
            </w:pPr>
            <w:r w:rsidRPr="00356C43">
              <w:rPr>
                <w:rFonts w:eastAsiaTheme="minorEastAsia"/>
                <w:sz w:val="15"/>
                <w:szCs w:val="15"/>
              </w:rPr>
              <w:t>Country</w:t>
            </w:r>
          </w:p>
        </w:tc>
        <w:tc>
          <w:tcPr>
            <w:tcW w:w="1701" w:type="dxa"/>
            <w:tcBorders>
              <w:top w:val="single" w:sz="4" w:space="0" w:color="auto"/>
              <w:bottom w:val="single" w:sz="4" w:space="0" w:color="auto"/>
            </w:tcBorders>
          </w:tcPr>
          <w:p w14:paraId="66BC5C3E" w14:textId="77777777" w:rsidR="009C615B" w:rsidRPr="00356C43" w:rsidRDefault="009C615B" w:rsidP="00356C43">
            <w:pPr>
              <w:autoSpaceDE w:val="0"/>
              <w:autoSpaceDN w:val="0"/>
              <w:adjustRightInd w:val="0"/>
              <w:jc w:val="both"/>
              <w:rPr>
                <w:rFonts w:eastAsiaTheme="minorEastAsia"/>
                <w:sz w:val="15"/>
                <w:szCs w:val="15"/>
              </w:rPr>
            </w:pPr>
            <w:r w:rsidRPr="00356C43">
              <w:rPr>
                <w:rFonts w:eastAsiaTheme="minorEastAsia"/>
                <w:sz w:val="15"/>
                <w:szCs w:val="15"/>
              </w:rPr>
              <w:t>Species</w:t>
            </w:r>
          </w:p>
        </w:tc>
        <w:tc>
          <w:tcPr>
            <w:tcW w:w="958" w:type="dxa"/>
            <w:tcBorders>
              <w:top w:val="single" w:sz="4" w:space="0" w:color="auto"/>
              <w:bottom w:val="single" w:sz="4" w:space="0" w:color="auto"/>
            </w:tcBorders>
          </w:tcPr>
          <w:p w14:paraId="632BAB2F" w14:textId="77777777" w:rsidR="009C615B" w:rsidRPr="00356C43" w:rsidRDefault="00356C43" w:rsidP="00356C43">
            <w:pPr>
              <w:autoSpaceDE w:val="0"/>
              <w:autoSpaceDN w:val="0"/>
              <w:adjustRightInd w:val="0"/>
              <w:jc w:val="both"/>
              <w:rPr>
                <w:rFonts w:eastAsiaTheme="minorEastAsia"/>
                <w:sz w:val="15"/>
                <w:szCs w:val="15"/>
              </w:rPr>
            </w:pPr>
            <w:r w:rsidRPr="00356C43">
              <w:rPr>
                <w:rFonts w:eastAsiaTheme="minorEastAsia"/>
                <w:sz w:val="15"/>
                <w:szCs w:val="15"/>
              </w:rPr>
              <w:t>Reference</w:t>
            </w:r>
          </w:p>
        </w:tc>
      </w:tr>
      <w:tr w:rsidR="009C615B" w:rsidRPr="007151CA" w14:paraId="4C3FBC19" w14:textId="77777777" w:rsidTr="00356C43">
        <w:tc>
          <w:tcPr>
            <w:tcW w:w="1418" w:type="dxa"/>
            <w:vMerge w:val="restart"/>
            <w:tcBorders>
              <w:top w:val="single" w:sz="4" w:space="0" w:color="auto"/>
            </w:tcBorders>
          </w:tcPr>
          <w:p w14:paraId="1978A3C1"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KPC-3 mutants</w:t>
            </w:r>
          </w:p>
        </w:tc>
        <w:tc>
          <w:tcPr>
            <w:tcW w:w="5812" w:type="dxa"/>
            <w:tcBorders>
              <w:top w:val="single" w:sz="4" w:space="0" w:color="auto"/>
            </w:tcBorders>
          </w:tcPr>
          <w:p w14:paraId="442EDE02" w14:textId="4139FB03"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D163G substitution of KPC-3</w:t>
            </w:r>
          </w:p>
        </w:tc>
        <w:tc>
          <w:tcPr>
            <w:tcW w:w="850" w:type="dxa"/>
            <w:tcBorders>
              <w:top w:val="single" w:sz="4" w:space="0" w:color="auto"/>
            </w:tcBorders>
          </w:tcPr>
          <w:p w14:paraId="5507C3B9"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Borders>
              <w:top w:val="single" w:sz="4" w:space="0" w:color="auto"/>
            </w:tcBorders>
          </w:tcPr>
          <w:p w14:paraId="25EC779C" w14:textId="50DDBEA6"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Borders>
              <w:top w:val="single" w:sz="4" w:space="0" w:color="auto"/>
            </w:tcBorders>
          </w:tcPr>
          <w:p w14:paraId="7BB5689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UK</w:t>
            </w:r>
          </w:p>
        </w:tc>
        <w:tc>
          <w:tcPr>
            <w:tcW w:w="1701" w:type="dxa"/>
            <w:tcBorders>
              <w:top w:val="single" w:sz="4" w:space="0" w:color="auto"/>
            </w:tcBorders>
          </w:tcPr>
          <w:p w14:paraId="797B8A81"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K. pneumoniae</w:t>
            </w:r>
          </w:p>
        </w:tc>
        <w:tc>
          <w:tcPr>
            <w:tcW w:w="958" w:type="dxa"/>
            <w:tcBorders>
              <w:top w:val="single" w:sz="4" w:space="0" w:color="auto"/>
            </w:tcBorders>
          </w:tcPr>
          <w:p w14:paraId="137D62B0"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w:t>
            </w:r>
            <w:r w:rsidRPr="00176923">
              <w:rPr>
                <w:rFonts w:eastAsiaTheme="minorEastAsia"/>
                <w:sz w:val="15"/>
                <w:szCs w:val="15"/>
              </w:rPr>
              <w:t>]</w:t>
            </w:r>
          </w:p>
        </w:tc>
      </w:tr>
      <w:tr w:rsidR="009C615B" w:rsidRPr="007151CA" w14:paraId="66B44468" w14:textId="77777777" w:rsidTr="00356C43">
        <w:tc>
          <w:tcPr>
            <w:tcW w:w="1418" w:type="dxa"/>
            <w:vMerge/>
          </w:tcPr>
          <w:p w14:paraId="441FF3D5" w14:textId="77777777" w:rsidR="009C615B" w:rsidRPr="005964AB" w:rsidRDefault="009C615B" w:rsidP="00356C43">
            <w:pPr>
              <w:jc w:val="both"/>
              <w:rPr>
                <w:rFonts w:eastAsiaTheme="minorEastAsia"/>
                <w:sz w:val="15"/>
                <w:szCs w:val="15"/>
              </w:rPr>
            </w:pPr>
          </w:p>
        </w:tc>
        <w:tc>
          <w:tcPr>
            <w:tcW w:w="5812" w:type="dxa"/>
          </w:tcPr>
          <w:p w14:paraId="18DA09AC" w14:textId="2ADCA472"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P174L substitution of KPC-3</w:t>
            </w:r>
          </w:p>
        </w:tc>
        <w:tc>
          <w:tcPr>
            <w:tcW w:w="850" w:type="dxa"/>
          </w:tcPr>
          <w:p w14:paraId="7FB1D669"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Pr>
          <w:p w14:paraId="647B6C8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6E0091D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UK</w:t>
            </w:r>
          </w:p>
        </w:tc>
        <w:tc>
          <w:tcPr>
            <w:tcW w:w="1701" w:type="dxa"/>
          </w:tcPr>
          <w:p w14:paraId="26E915BE"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K. pneumoniae</w:t>
            </w:r>
          </w:p>
        </w:tc>
        <w:tc>
          <w:tcPr>
            <w:tcW w:w="958" w:type="dxa"/>
          </w:tcPr>
          <w:p w14:paraId="56F3EC12"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w:t>
            </w:r>
            <w:r w:rsidRPr="00176923">
              <w:rPr>
                <w:rFonts w:eastAsiaTheme="minorEastAsia"/>
                <w:sz w:val="15"/>
                <w:szCs w:val="15"/>
              </w:rPr>
              <w:t>]</w:t>
            </w:r>
          </w:p>
        </w:tc>
      </w:tr>
      <w:tr w:rsidR="009C615B" w:rsidRPr="007151CA" w14:paraId="6E41F808" w14:textId="77777777" w:rsidTr="00356C43">
        <w:tc>
          <w:tcPr>
            <w:tcW w:w="1418" w:type="dxa"/>
            <w:vMerge/>
          </w:tcPr>
          <w:p w14:paraId="2CB129C4" w14:textId="77777777" w:rsidR="009C615B" w:rsidRPr="005964AB" w:rsidRDefault="009C615B" w:rsidP="00356C43">
            <w:pPr>
              <w:jc w:val="both"/>
              <w:rPr>
                <w:rFonts w:eastAsiaTheme="minorEastAsia"/>
                <w:sz w:val="15"/>
                <w:szCs w:val="15"/>
              </w:rPr>
            </w:pPr>
          </w:p>
        </w:tc>
        <w:tc>
          <w:tcPr>
            <w:tcW w:w="5812" w:type="dxa"/>
          </w:tcPr>
          <w:p w14:paraId="239C11D5" w14:textId="77C0B913"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T243P substitution of KPC-3</w:t>
            </w:r>
          </w:p>
        </w:tc>
        <w:tc>
          <w:tcPr>
            <w:tcW w:w="850" w:type="dxa"/>
          </w:tcPr>
          <w:p w14:paraId="3564D2C0"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Pr>
          <w:p w14:paraId="77F5D654"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2D2C58C4"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UK</w:t>
            </w:r>
          </w:p>
        </w:tc>
        <w:tc>
          <w:tcPr>
            <w:tcW w:w="1701" w:type="dxa"/>
          </w:tcPr>
          <w:p w14:paraId="1956219C"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K. pneumoniae</w:t>
            </w:r>
          </w:p>
        </w:tc>
        <w:tc>
          <w:tcPr>
            <w:tcW w:w="958" w:type="dxa"/>
          </w:tcPr>
          <w:p w14:paraId="18541F50"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w:t>
            </w:r>
            <w:r w:rsidRPr="00176923">
              <w:rPr>
                <w:rFonts w:eastAsiaTheme="minorEastAsia"/>
                <w:sz w:val="15"/>
                <w:szCs w:val="15"/>
              </w:rPr>
              <w:t>]</w:t>
            </w:r>
          </w:p>
        </w:tc>
      </w:tr>
      <w:tr w:rsidR="009C615B" w:rsidRPr="007151CA" w14:paraId="46E99DC7" w14:textId="77777777" w:rsidTr="00356C43">
        <w:tc>
          <w:tcPr>
            <w:tcW w:w="1418" w:type="dxa"/>
            <w:vMerge/>
          </w:tcPr>
          <w:p w14:paraId="73D53F0B" w14:textId="77777777" w:rsidR="009C615B" w:rsidRPr="005964AB" w:rsidRDefault="009C615B" w:rsidP="00356C43">
            <w:pPr>
              <w:jc w:val="both"/>
              <w:rPr>
                <w:rFonts w:eastAsiaTheme="minorEastAsia"/>
                <w:sz w:val="15"/>
                <w:szCs w:val="15"/>
              </w:rPr>
            </w:pPr>
          </w:p>
        </w:tc>
        <w:tc>
          <w:tcPr>
            <w:tcW w:w="5812" w:type="dxa"/>
          </w:tcPr>
          <w:p w14:paraId="56E077D0" w14:textId="4C6998D2"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Insertion of serine between amino acids 180 and 181 of KPC-3</w:t>
            </w:r>
          </w:p>
        </w:tc>
        <w:tc>
          <w:tcPr>
            <w:tcW w:w="850" w:type="dxa"/>
          </w:tcPr>
          <w:p w14:paraId="7C615946"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Pr>
          <w:p w14:paraId="3DAAD627"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5DE67C98"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UK</w:t>
            </w:r>
          </w:p>
        </w:tc>
        <w:tc>
          <w:tcPr>
            <w:tcW w:w="1701" w:type="dxa"/>
          </w:tcPr>
          <w:p w14:paraId="6E46B8AB"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K. pneumoniae</w:t>
            </w:r>
          </w:p>
        </w:tc>
        <w:tc>
          <w:tcPr>
            <w:tcW w:w="958" w:type="dxa"/>
          </w:tcPr>
          <w:p w14:paraId="2A277614"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w:t>
            </w:r>
            <w:r w:rsidRPr="00176923">
              <w:rPr>
                <w:rFonts w:eastAsiaTheme="minorEastAsia"/>
                <w:sz w:val="15"/>
                <w:szCs w:val="15"/>
              </w:rPr>
              <w:t>]</w:t>
            </w:r>
          </w:p>
        </w:tc>
      </w:tr>
      <w:tr w:rsidR="009C615B" w:rsidRPr="007151CA" w14:paraId="7C414CBC" w14:textId="77777777" w:rsidTr="00356C43">
        <w:tc>
          <w:tcPr>
            <w:tcW w:w="1418" w:type="dxa"/>
            <w:vMerge/>
          </w:tcPr>
          <w:p w14:paraId="0B56C432" w14:textId="77777777" w:rsidR="009C615B" w:rsidRPr="005964AB" w:rsidRDefault="009C615B" w:rsidP="00356C43">
            <w:pPr>
              <w:jc w:val="both"/>
              <w:rPr>
                <w:rFonts w:eastAsiaTheme="minorEastAsia"/>
                <w:sz w:val="15"/>
                <w:szCs w:val="15"/>
              </w:rPr>
            </w:pPr>
          </w:p>
        </w:tc>
        <w:tc>
          <w:tcPr>
            <w:tcW w:w="5812" w:type="dxa"/>
          </w:tcPr>
          <w:p w14:paraId="1AB17108" w14:textId="0A188F60"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Insertion of two serine residues between amino acids 181 and 182 of KPC-3</w:t>
            </w:r>
          </w:p>
        </w:tc>
        <w:tc>
          <w:tcPr>
            <w:tcW w:w="850" w:type="dxa"/>
          </w:tcPr>
          <w:p w14:paraId="244A0298"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Pr>
          <w:p w14:paraId="46524E05"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5E87F69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UK</w:t>
            </w:r>
          </w:p>
        </w:tc>
        <w:tc>
          <w:tcPr>
            <w:tcW w:w="1701" w:type="dxa"/>
          </w:tcPr>
          <w:p w14:paraId="210D25AE"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K. pneumoniae</w:t>
            </w:r>
          </w:p>
        </w:tc>
        <w:tc>
          <w:tcPr>
            <w:tcW w:w="958" w:type="dxa"/>
          </w:tcPr>
          <w:p w14:paraId="106B379D"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w:t>
            </w:r>
            <w:r w:rsidRPr="00176923">
              <w:rPr>
                <w:rFonts w:eastAsiaTheme="minorEastAsia"/>
                <w:sz w:val="15"/>
                <w:szCs w:val="15"/>
              </w:rPr>
              <w:t>]</w:t>
            </w:r>
          </w:p>
        </w:tc>
      </w:tr>
      <w:tr w:rsidR="009C615B" w:rsidRPr="007151CA" w14:paraId="5F3C1C73" w14:textId="77777777" w:rsidTr="00356C43">
        <w:tc>
          <w:tcPr>
            <w:tcW w:w="1418" w:type="dxa"/>
            <w:vMerge/>
          </w:tcPr>
          <w:p w14:paraId="7029CC2B" w14:textId="77777777" w:rsidR="009C615B" w:rsidRPr="005964AB" w:rsidRDefault="009C615B" w:rsidP="00356C43">
            <w:pPr>
              <w:jc w:val="both"/>
              <w:rPr>
                <w:rFonts w:eastAsiaTheme="minorEastAsia"/>
                <w:sz w:val="15"/>
                <w:szCs w:val="15"/>
              </w:rPr>
            </w:pPr>
          </w:p>
        </w:tc>
        <w:tc>
          <w:tcPr>
            <w:tcW w:w="5812" w:type="dxa"/>
          </w:tcPr>
          <w:p w14:paraId="0E8A81D7" w14:textId="6B411C9B" w:rsidR="009C615B" w:rsidRPr="005964AB" w:rsidRDefault="00C35BEF" w:rsidP="00FB4FDB">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Insertion of R</w:t>
            </w:r>
            <w:r w:rsidR="00FB4FDB">
              <w:rPr>
                <w:rFonts w:eastAsiaTheme="minorEastAsia"/>
                <w:sz w:val="15"/>
                <w:szCs w:val="15"/>
              </w:rPr>
              <w:t>–</w:t>
            </w:r>
            <w:r w:rsidR="009C615B" w:rsidRPr="005964AB">
              <w:rPr>
                <w:rFonts w:eastAsiaTheme="minorEastAsia"/>
                <w:sz w:val="15"/>
                <w:szCs w:val="15"/>
              </w:rPr>
              <w:t>A</w:t>
            </w:r>
            <w:r w:rsidR="00FB4FDB">
              <w:rPr>
                <w:rFonts w:eastAsiaTheme="minorEastAsia"/>
                <w:sz w:val="15"/>
                <w:szCs w:val="15"/>
              </w:rPr>
              <w:t>–</w:t>
            </w:r>
            <w:r w:rsidR="009C615B" w:rsidRPr="005964AB">
              <w:rPr>
                <w:rFonts w:eastAsiaTheme="minorEastAsia"/>
                <w:sz w:val="15"/>
                <w:szCs w:val="15"/>
              </w:rPr>
              <w:t>T</w:t>
            </w:r>
            <w:r w:rsidR="00FB4FDB">
              <w:rPr>
                <w:rFonts w:eastAsiaTheme="minorEastAsia"/>
                <w:sz w:val="15"/>
                <w:szCs w:val="15"/>
              </w:rPr>
              <w:t>–</w:t>
            </w:r>
            <w:r w:rsidR="009C615B" w:rsidRPr="005964AB">
              <w:rPr>
                <w:rFonts w:eastAsiaTheme="minorEastAsia"/>
                <w:sz w:val="15"/>
                <w:szCs w:val="15"/>
              </w:rPr>
              <w:t>T</w:t>
            </w:r>
            <w:r w:rsidR="00FB4FDB">
              <w:rPr>
                <w:rFonts w:eastAsiaTheme="minorEastAsia"/>
                <w:sz w:val="15"/>
                <w:szCs w:val="15"/>
              </w:rPr>
              <w:t>–</w:t>
            </w:r>
            <w:r w:rsidR="009C615B" w:rsidRPr="005964AB">
              <w:rPr>
                <w:rFonts w:eastAsiaTheme="minorEastAsia"/>
                <w:sz w:val="15"/>
                <w:szCs w:val="15"/>
              </w:rPr>
              <w:t>S</w:t>
            </w:r>
            <w:r w:rsidR="00FB4FDB">
              <w:rPr>
                <w:rFonts w:eastAsiaTheme="minorEastAsia"/>
                <w:sz w:val="15"/>
                <w:szCs w:val="15"/>
              </w:rPr>
              <w:t>–</w:t>
            </w:r>
            <w:r w:rsidR="009C615B" w:rsidRPr="005964AB">
              <w:rPr>
                <w:rFonts w:eastAsiaTheme="minorEastAsia"/>
                <w:sz w:val="15"/>
                <w:szCs w:val="15"/>
              </w:rPr>
              <w:t>S</w:t>
            </w:r>
            <w:r w:rsidR="00FB4FDB">
              <w:rPr>
                <w:rFonts w:eastAsiaTheme="minorEastAsia"/>
                <w:sz w:val="15"/>
                <w:szCs w:val="15"/>
              </w:rPr>
              <w:t>–</w:t>
            </w:r>
            <w:r w:rsidR="009C615B" w:rsidRPr="005964AB">
              <w:rPr>
                <w:rFonts w:eastAsiaTheme="minorEastAsia"/>
                <w:sz w:val="15"/>
                <w:szCs w:val="15"/>
              </w:rPr>
              <w:t>P between positions 183 and 184 of KPC-3</w:t>
            </w:r>
          </w:p>
        </w:tc>
        <w:tc>
          <w:tcPr>
            <w:tcW w:w="850" w:type="dxa"/>
          </w:tcPr>
          <w:p w14:paraId="72A3BE17"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Pr>
          <w:p w14:paraId="0EC05FE9"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052C2253"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UK</w:t>
            </w:r>
          </w:p>
        </w:tc>
        <w:tc>
          <w:tcPr>
            <w:tcW w:w="1701" w:type="dxa"/>
          </w:tcPr>
          <w:p w14:paraId="092D71DE"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K. pneumoniae</w:t>
            </w:r>
          </w:p>
        </w:tc>
        <w:tc>
          <w:tcPr>
            <w:tcW w:w="958" w:type="dxa"/>
          </w:tcPr>
          <w:p w14:paraId="2F760F77"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w:t>
            </w:r>
            <w:r w:rsidRPr="00176923">
              <w:rPr>
                <w:rFonts w:eastAsiaTheme="minorEastAsia"/>
                <w:sz w:val="15"/>
                <w:szCs w:val="15"/>
              </w:rPr>
              <w:t>]</w:t>
            </w:r>
          </w:p>
        </w:tc>
      </w:tr>
      <w:tr w:rsidR="009C615B" w:rsidRPr="007151CA" w14:paraId="7946E646" w14:textId="77777777" w:rsidTr="00356C43">
        <w:tc>
          <w:tcPr>
            <w:tcW w:w="1418" w:type="dxa"/>
            <w:vMerge/>
          </w:tcPr>
          <w:p w14:paraId="201C47EA" w14:textId="77777777" w:rsidR="009C615B" w:rsidRPr="005964AB" w:rsidRDefault="009C615B" w:rsidP="00356C43">
            <w:pPr>
              <w:jc w:val="both"/>
              <w:rPr>
                <w:rFonts w:eastAsiaTheme="minorEastAsia"/>
                <w:sz w:val="15"/>
                <w:szCs w:val="15"/>
              </w:rPr>
            </w:pPr>
          </w:p>
        </w:tc>
        <w:tc>
          <w:tcPr>
            <w:tcW w:w="5812" w:type="dxa"/>
          </w:tcPr>
          <w:p w14:paraId="77FF9134" w14:textId="52913C19"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Insertion of A-R between positions 265 and 266 of KPC-3</w:t>
            </w:r>
          </w:p>
        </w:tc>
        <w:tc>
          <w:tcPr>
            <w:tcW w:w="850" w:type="dxa"/>
          </w:tcPr>
          <w:p w14:paraId="227276B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Pr>
          <w:p w14:paraId="1C4244CC"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3555FD8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UK</w:t>
            </w:r>
          </w:p>
        </w:tc>
        <w:tc>
          <w:tcPr>
            <w:tcW w:w="1701" w:type="dxa"/>
          </w:tcPr>
          <w:p w14:paraId="3EED1A4F"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K. pneumoniae</w:t>
            </w:r>
          </w:p>
        </w:tc>
        <w:tc>
          <w:tcPr>
            <w:tcW w:w="958" w:type="dxa"/>
          </w:tcPr>
          <w:p w14:paraId="29172DDB"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w:t>
            </w:r>
            <w:r w:rsidRPr="00176923">
              <w:rPr>
                <w:rFonts w:eastAsiaTheme="minorEastAsia"/>
                <w:sz w:val="15"/>
                <w:szCs w:val="15"/>
              </w:rPr>
              <w:t>]</w:t>
            </w:r>
          </w:p>
        </w:tc>
      </w:tr>
      <w:tr w:rsidR="009C615B" w:rsidRPr="007151CA" w14:paraId="3F029DB8" w14:textId="77777777" w:rsidTr="00356C43">
        <w:tc>
          <w:tcPr>
            <w:tcW w:w="1418" w:type="dxa"/>
            <w:vMerge w:val="restart"/>
          </w:tcPr>
          <w:p w14:paraId="2FFD02B8"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KPC-2 mutants</w:t>
            </w:r>
          </w:p>
        </w:tc>
        <w:tc>
          <w:tcPr>
            <w:tcW w:w="5812" w:type="dxa"/>
          </w:tcPr>
          <w:p w14:paraId="185E06EA" w14:textId="57AB97A6"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R164A substitution of KPC-2</w:t>
            </w:r>
          </w:p>
        </w:tc>
        <w:tc>
          <w:tcPr>
            <w:tcW w:w="850" w:type="dxa"/>
          </w:tcPr>
          <w:p w14:paraId="6A3C1014"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Pr>
          <w:p w14:paraId="1D41BDA3"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7E14DF0B"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USA</w:t>
            </w:r>
          </w:p>
        </w:tc>
        <w:tc>
          <w:tcPr>
            <w:tcW w:w="1701" w:type="dxa"/>
          </w:tcPr>
          <w:p w14:paraId="01BD981E" w14:textId="5300BF19" w:rsidR="009C615B" w:rsidRPr="005964AB" w:rsidRDefault="00515484" w:rsidP="00356C43">
            <w:pPr>
              <w:autoSpaceDE w:val="0"/>
              <w:autoSpaceDN w:val="0"/>
              <w:adjustRightInd w:val="0"/>
              <w:jc w:val="both"/>
              <w:rPr>
                <w:rFonts w:eastAsiaTheme="minorEastAsia"/>
                <w:i/>
                <w:sz w:val="15"/>
                <w:szCs w:val="15"/>
              </w:rPr>
            </w:pPr>
            <w:r w:rsidRPr="00CA73A7">
              <w:rPr>
                <w:rFonts w:eastAsiaTheme="minorEastAsia"/>
                <w:i/>
                <w:sz w:val="15"/>
                <w:szCs w:val="15"/>
              </w:rPr>
              <w:t>Escherichia coli</w:t>
            </w:r>
          </w:p>
        </w:tc>
        <w:tc>
          <w:tcPr>
            <w:tcW w:w="958" w:type="dxa"/>
          </w:tcPr>
          <w:p w14:paraId="618178C2"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2</w:t>
            </w:r>
            <w:r w:rsidRPr="00176923">
              <w:rPr>
                <w:rFonts w:eastAsiaTheme="minorEastAsia"/>
                <w:sz w:val="15"/>
                <w:szCs w:val="15"/>
              </w:rPr>
              <w:t>]</w:t>
            </w:r>
          </w:p>
        </w:tc>
      </w:tr>
      <w:tr w:rsidR="009C615B" w:rsidRPr="007151CA" w14:paraId="38C22E8C" w14:textId="77777777" w:rsidTr="00356C43">
        <w:tc>
          <w:tcPr>
            <w:tcW w:w="1418" w:type="dxa"/>
            <w:vMerge/>
          </w:tcPr>
          <w:p w14:paraId="62697442" w14:textId="77777777" w:rsidR="009C615B" w:rsidRPr="005964AB" w:rsidRDefault="009C615B" w:rsidP="00356C43">
            <w:pPr>
              <w:jc w:val="both"/>
              <w:rPr>
                <w:rFonts w:eastAsiaTheme="minorEastAsia"/>
                <w:sz w:val="15"/>
                <w:szCs w:val="15"/>
              </w:rPr>
            </w:pPr>
          </w:p>
        </w:tc>
        <w:tc>
          <w:tcPr>
            <w:tcW w:w="5812" w:type="dxa"/>
          </w:tcPr>
          <w:p w14:paraId="029DEEB5" w14:textId="036C4277"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R164P substitution of KPC-2</w:t>
            </w:r>
          </w:p>
        </w:tc>
        <w:tc>
          <w:tcPr>
            <w:tcW w:w="850" w:type="dxa"/>
          </w:tcPr>
          <w:p w14:paraId="7FDB4A5A"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Pr>
          <w:p w14:paraId="1AC04C2C"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5E36E68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USA</w:t>
            </w:r>
          </w:p>
        </w:tc>
        <w:tc>
          <w:tcPr>
            <w:tcW w:w="1701" w:type="dxa"/>
          </w:tcPr>
          <w:p w14:paraId="7B37ED16" w14:textId="3084B48E" w:rsidR="009C615B" w:rsidRPr="005964AB" w:rsidRDefault="00515484" w:rsidP="00356C43">
            <w:pPr>
              <w:autoSpaceDE w:val="0"/>
              <w:autoSpaceDN w:val="0"/>
              <w:adjustRightInd w:val="0"/>
              <w:jc w:val="both"/>
              <w:rPr>
                <w:rFonts w:eastAsiaTheme="minorEastAsia"/>
                <w:i/>
                <w:sz w:val="15"/>
                <w:szCs w:val="15"/>
              </w:rPr>
            </w:pPr>
            <w:r w:rsidRPr="00CA73A7">
              <w:rPr>
                <w:rFonts w:eastAsiaTheme="minorEastAsia"/>
                <w:i/>
                <w:sz w:val="15"/>
                <w:szCs w:val="15"/>
              </w:rPr>
              <w:t>Escherichia coli</w:t>
            </w:r>
          </w:p>
        </w:tc>
        <w:tc>
          <w:tcPr>
            <w:tcW w:w="958" w:type="dxa"/>
          </w:tcPr>
          <w:p w14:paraId="2B8F6FD6"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2</w:t>
            </w:r>
            <w:r w:rsidRPr="00176923">
              <w:rPr>
                <w:rFonts w:eastAsiaTheme="minorEastAsia"/>
                <w:sz w:val="15"/>
                <w:szCs w:val="15"/>
              </w:rPr>
              <w:t>]</w:t>
            </w:r>
          </w:p>
        </w:tc>
      </w:tr>
      <w:tr w:rsidR="009C615B" w:rsidRPr="007151CA" w14:paraId="3297BBD5" w14:textId="77777777" w:rsidTr="00356C43">
        <w:tc>
          <w:tcPr>
            <w:tcW w:w="1418" w:type="dxa"/>
            <w:vMerge/>
          </w:tcPr>
          <w:p w14:paraId="0C80877B" w14:textId="77777777" w:rsidR="009C615B" w:rsidRPr="005964AB" w:rsidRDefault="009C615B" w:rsidP="00356C43">
            <w:pPr>
              <w:jc w:val="both"/>
              <w:rPr>
                <w:rFonts w:eastAsiaTheme="minorEastAsia"/>
                <w:sz w:val="15"/>
                <w:szCs w:val="15"/>
              </w:rPr>
            </w:pPr>
          </w:p>
        </w:tc>
        <w:tc>
          <w:tcPr>
            <w:tcW w:w="5812" w:type="dxa"/>
          </w:tcPr>
          <w:p w14:paraId="39DA2C43" w14:textId="5B96BC8E"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D179A substitution of KPC-2</w:t>
            </w:r>
          </w:p>
        </w:tc>
        <w:tc>
          <w:tcPr>
            <w:tcW w:w="850" w:type="dxa"/>
          </w:tcPr>
          <w:p w14:paraId="01E0D11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Pr>
          <w:p w14:paraId="28C35061"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67EF62F8"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USA</w:t>
            </w:r>
          </w:p>
        </w:tc>
        <w:tc>
          <w:tcPr>
            <w:tcW w:w="1701" w:type="dxa"/>
          </w:tcPr>
          <w:p w14:paraId="65B4AABE" w14:textId="35814695" w:rsidR="009C615B" w:rsidRPr="005964AB" w:rsidRDefault="00515484" w:rsidP="00356C43">
            <w:pPr>
              <w:autoSpaceDE w:val="0"/>
              <w:autoSpaceDN w:val="0"/>
              <w:adjustRightInd w:val="0"/>
              <w:jc w:val="both"/>
              <w:rPr>
                <w:rFonts w:eastAsiaTheme="minorEastAsia"/>
                <w:i/>
                <w:sz w:val="15"/>
                <w:szCs w:val="15"/>
              </w:rPr>
            </w:pPr>
            <w:r w:rsidRPr="00CA73A7">
              <w:rPr>
                <w:rFonts w:eastAsiaTheme="minorEastAsia"/>
                <w:i/>
                <w:sz w:val="15"/>
                <w:szCs w:val="15"/>
              </w:rPr>
              <w:t>Escherichia coli</w:t>
            </w:r>
          </w:p>
        </w:tc>
        <w:tc>
          <w:tcPr>
            <w:tcW w:w="958" w:type="dxa"/>
          </w:tcPr>
          <w:p w14:paraId="5F073561"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2</w:t>
            </w:r>
            <w:r w:rsidRPr="00176923">
              <w:rPr>
                <w:rFonts w:eastAsiaTheme="minorEastAsia"/>
                <w:sz w:val="15"/>
                <w:szCs w:val="15"/>
              </w:rPr>
              <w:t>]</w:t>
            </w:r>
          </w:p>
        </w:tc>
      </w:tr>
      <w:tr w:rsidR="009C615B" w:rsidRPr="007151CA" w14:paraId="46B8A932" w14:textId="77777777" w:rsidTr="00356C43">
        <w:tc>
          <w:tcPr>
            <w:tcW w:w="1418" w:type="dxa"/>
            <w:vMerge/>
          </w:tcPr>
          <w:p w14:paraId="020D9BF2" w14:textId="77777777" w:rsidR="009C615B" w:rsidRPr="005964AB" w:rsidRDefault="009C615B" w:rsidP="00356C43">
            <w:pPr>
              <w:jc w:val="both"/>
              <w:rPr>
                <w:rFonts w:eastAsiaTheme="minorEastAsia"/>
                <w:sz w:val="15"/>
                <w:szCs w:val="15"/>
              </w:rPr>
            </w:pPr>
          </w:p>
        </w:tc>
        <w:tc>
          <w:tcPr>
            <w:tcW w:w="5812" w:type="dxa"/>
          </w:tcPr>
          <w:p w14:paraId="5F2443EA" w14:textId="2B6C63A9"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D179Q substitution of KPC-2</w:t>
            </w:r>
          </w:p>
        </w:tc>
        <w:tc>
          <w:tcPr>
            <w:tcW w:w="850" w:type="dxa"/>
          </w:tcPr>
          <w:p w14:paraId="0D4E6046"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Pr>
          <w:p w14:paraId="12D01601"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53E8DD28"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USA</w:t>
            </w:r>
          </w:p>
        </w:tc>
        <w:tc>
          <w:tcPr>
            <w:tcW w:w="1701" w:type="dxa"/>
          </w:tcPr>
          <w:p w14:paraId="27793B99" w14:textId="22224D16" w:rsidR="009C615B" w:rsidRPr="005964AB" w:rsidRDefault="00515484" w:rsidP="00356C43">
            <w:pPr>
              <w:autoSpaceDE w:val="0"/>
              <w:autoSpaceDN w:val="0"/>
              <w:adjustRightInd w:val="0"/>
              <w:jc w:val="both"/>
              <w:rPr>
                <w:rFonts w:eastAsiaTheme="minorEastAsia"/>
                <w:i/>
                <w:sz w:val="15"/>
                <w:szCs w:val="15"/>
              </w:rPr>
            </w:pPr>
            <w:r w:rsidRPr="00CA73A7">
              <w:rPr>
                <w:rFonts w:eastAsiaTheme="minorEastAsia"/>
                <w:i/>
                <w:sz w:val="15"/>
                <w:szCs w:val="15"/>
              </w:rPr>
              <w:t>Escherichia coli</w:t>
            </w:r>
          </w:p>
        </w:tc>
        <w:tc>
          <w:tcPr>
            <w:tcW w:w="958" w:type="dxa"/>
          </w:tcPr>
          <w:p w14:paraId="70F01DEB"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2</w:t>
            </w:r>
            <w:r w:rsidRPr="00176923">
              <w:rPr>
                <w:rFonts w:eastAsiaTheme="minorEastAsia"/>
                <w:sz w:val="15"/>
                <w:szCs w:val="15"/>
              </w:rPr>
              <w:t>]</w:t>
            </w:r>
          </w:p>
        </w:tc>
      </w:tr>
      <w:tr w:rsidR="009C615B" w:rsidRPr="007151CA" w14:paraId="24AA84E0" w14:textId="77777777" w:rsidTr="00356C43">
        <w:tc>
          <w:tcPr>
            <w:tcW w:w="1418" w:type="dxa"/>
            <w:vMerge/>
          </w:tcPr>
          <w:p w14:paraId="353FC180" w14:textId="77777777" w:rsidR="009C615B" w:rsidRPr="005964AB" w:rsidRDefault="009C615B" w:rsidP="00356C43">
            <w:pPr>
              <w:jc w:val="both"/>
              <w:rPr>
                <w:rFonts w:eastAsiaTheme="minorEastAsia"/>
                <w:sz w:val="15"/>
                <w:szCs w:val="15"/>
              </w:rPr>
            </w:pPr>
          </w:p>
        </w:tc>
        <w:tc>
          <w:tcPr>
            <w:tcW w:w="5812" w:type="dxa"/>
          </w:tcPr>
          <w:p w14:paraId="69EF1946" w14:textId="483742E0"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D179N substitution of KPC-2</w:t>
            </w:r>
          </w:p>
        </w:tc>
        <w:tc>
          <w:tcPr>
            <w:tcW w:w="850" w:type="dxa"/>
          </w:tcPr>
          <w:p w14:paraId="14A9811A"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Pr>
          <w:p w14:paraId="45CA80C9"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04BB7DA8"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USA</w:t>
            </w:r>
          </w:p>
        </w:tc>
        <w:tc>
          <w:tcPr>
            <w:tcW w:w="1701" w:type="dxa"/>
          </w:tcPr>
          <w:p w14:paraId="27D05952" w14:textId="1B025127" w:rsidR="009C615B" w:rsidRPr="005964AB" w:rsidRDefault="00515484" w:rsidP="00356C43">
            <w:pPr>
              <w:autoSpaceDE w:val="0"/>
              <w:autoSpaceDN w:val="0"/>
              <w:adjustRightInd w:val="0"/>
              <w:jc w:val="both"/>
              <w:rPr>
                <w:rFonts w:eastAsiaTheme="minorEastAsia"/>
                <w:i/>
                <w:sz w:val="15"/>
                <w:szCs w:val="15"/>
              </w:rPr>
            </w:pPr>
            <w:r w:rsidRPr="00CA73A7">
              <w:rPr>
                <w:rFonts w:eastAsiaTheme="minorEastAsia"/>
                <w:i/>
                <w:sz w:val="15"/>
                <w:szCs w:val="15"/>
              </w:rPr>
              <w:t>Escherichia coli</w:t>
            </w:r>
          </w:p>
        </w:tc>
        <w:tc>
          <w:tcPr>
            <w:tcW w:w="958" w:type="dxa"/>
          </w:tcPr>
          <w:p w14:paraId="7EFF569B"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2</w:t>
            </w:r>
            <w:r w:rsidRPr="00176923">
              <w:rPr>
                <w:rFonts w:eastAsiaTheme="minorEastAsia"/>
                <w:sz w:val="15"/>
                <w:szCs w:val="15"/>
              </w:rPr>
              <w:t>]</w:t>
            </w:r>
          </w:p>
        </w:tc>
      </w:tr>
      <w:tr w:rsidR="009C615B" w:rsidRPr="007151CA" w14:paraId="495A3374" w14:textId="77777777" w:rsidTr="00356C43">
        <w:tc>
          <w:tcPr>
            <w:tcW w:w="1418" w:type="dxa"/>
            <w:vMerge w:val="restart"/>
          </w:tcPr>
          <w:p w14:paraId="3CB855EC"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CTX-M-15 mutants</w:t>
            </w:r>
          </w:p>
        </w:tc>
        <w:tc>
          <w:tcPr>
            <w:tcW w:w="5812" w:type="dxa"/>
          </w:tcPr>
          <w:p w14:paraId="06C522B1" w14:textId="0B0D6657"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L169Q and S130G substitution of CTX-M-15</w:t>
            </w:r>
          </w:p>
        </w:tc>
        <w:tc>
          <w:tcPr>
            <w:tcW w:w="850" w:type="dxa"/>
          </w:tcPr>
          <w:p w14:paraId="53D09F9D"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2018</w:t>
            </w:r>
          </w:p>
        </w:tc>
        <w:tc>
          <w:tcPr>
            <w:tcW w:w="1559" w:type="dxa"/>
          </w:tcPr>
          <w:p w14:paraId="05883689"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55A0D9D8"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France</w:t>
            </w:r>
          </w:p>
        </w:tc>
        <w:tc>
          <w:tcPr>
            <w:tcW w:w="1701" w:type="dxa"/>
          </w:tcPr>
          <w:p w14:paraId="16D21687"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Unclear</w:t>
            </w:r>
          </w:p>
        </w:tc>
        <w:tc>
          <w:tcPr>
            <w:tcW w:w="958" w:type="dxa"/>
          </w:tcPr>
          <w:p w14:paraId="14B6F178"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3</w:t>
            </w:r>
            <w:r w:rsidRPr="00176923">
              <w:rPr>
                <w:rFonts w:eastAsiaTheme="minorEastAsia"/>
                <w:sz w:val="15"/>
                <w:szCs w:val="15"/>
              </w:rPr>
              <w:t>]</w:t>
            </w:r>
          </w:p>
        </w:tc>
      </w:tr>
      <w:tr w:rsidR="009C615B" w:rsidRPr="007151CA" w14:paraId="510080FE" w14:textId="77777777" w:rsidTr="00356C43">
        <w:tc>
          <w:tcPr>
            <w:tcW w:w="1418" w:type="dxa"/>
            <w:vMerge/>
          </w:tcPr>
          <w:p w14:paraId="2474BF16" w14:textId="77777777" w:rsidR="009C615B" w:rsidRPr="005964AB" w:rsidRDefault="009C615B" w:rsidP="00356C43">
            <w:pPr>
              <w:jc w:val="both"/>
              <w:rPr>
                <w:rFonts w:eastAsiaTheme="minorEastAsia"/>
                <w:sz w:val="15"/>
                <w:szCs w:val="15"/>
              </w:rPr>
            </w:pPr>
          </w:p>
        </w:tc>
        <w:tc>
          <w:tcPr>
            <w:tcW w:w="5812" w:type="dxa"/>
          </w:tcPr>
          <w:p w14:paraId="2DD36F95" w14:textId="3650E0B7"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D182Y substitution of CTX-M-15</w:t>
            </w:r>
          </w:p>
        </w:tc>
        <w:tc>
          <w:tcPr>
            <w:tcW w:w="850" w:type="dxa"/>
          </w:tcPr>
          <w:p w14:paraId="236C70A3"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2018</w:t>
            </w:r>
          </w:p>
        </w:tc>
        <w:tc>
          <w:tcPr>
            <w:tcW w:w="1559" w:type="dxa"/>
          </w:tcPr>
          <w:p w14:paraId="1229D7F6"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6A4EBB6D"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UK and USA</w:t>
            </w:r>
          </w:p>
        </w:tc>
        <w:tc>
          <w:tcPr>
            <w:tcW w:w="1701" w:type="dxa"/>
          </w:tcPr>
          <w:p w14:paraId="6979343D" w14:textId="4181D4CC" w:rsidR="009C615B" w:rsidRPr="005964AB" w:rsidRDefault="00515484" w:rsidP="00356C43">
            <w:pPr>
              <w:autoSpaceDE w:val="0"/>
              <w:autoSpaceDN w:val="0"/>
              <w:adjustRightInd w:val="0"/>
              <w:jc w:val="both"/>
              <w:rPr>
                <w:rFonts w:eastAsiaTheme="minorEastAsia"/>
                <w:i/>
                <w:sz w:val="15"/>
                <w:szCs w:val="15"/>
              </w:rPr>
            </w:pPr>
            <w:r w:rsidRPr="00CA73A7">
              <w:rPr>
                <w:rFonts w:eastAsiaTheme="minorEastAsia"/>
                <w:i/>
                <w:sz w:val="15"/>
                <w:szCs w:val="15"/>
              </w:rPr>
              <w:t>Escherichia coli</w:t>
            </w:r>
          </w:p>
        </w:tc>
        <w:tc>
          <w:tcPr>
            <w:tcW w:w="958" w:type="dxa"/>
          </w:tcPr>
          <w:p w14:paraId="69D5FAB9"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4</w:t>
            </w:r>
            <w:r w:rsidRPr="00176923">
              <w:rPr>
                <w:rFonts w:eastAsiaTheme="minorEastAsia"/>
                <w:sz w:val="15"/>
                <w:szCs w:val="15"/>
              </w:rPr>
              <w:t>]</w:t>
            </w:r>
          </w:p>
        </w:tc>
      </w:tr>
      <w:tr w:rsidR="009C615B" w:rsidRPr="007151CA" w14:paraId="49134390" w14:textId="77777777" w:rsidTr="00356C43">
        <w:tc>
          <w:tcPr>
            <w:tcW w:w="1418" w:type="dxa"/>
          </w:tcPr>
          <w:p w14:paraId="1B617ECC"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OXA-48 mutant</w:t>
            </w:r>
          </w:p>
        </w:tc>
        <w:tc>
          <w:tcPr>
            <w:tcW w:w="5812" w:type="dxa"/>
          </w:tcPr>
          <w:p w14:paraId="064A0884" w14:textId="57C9B035"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P68A and Y211S substitution of OXA-48</w:t>
            </w:r>
          </w:p>
        </w:tc>
        <w:tc>
          <w:tcPr>
            <w:tcW w:w="850" w:type="dxa"/>
          </w:tcPr>
          <w:p w14:paraId="61357077"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2019</w:t>
            </w:r>
          </w:p>
        </w:tc>
        <w:tc>
          <w:tcPr>
            <w:tcW w:w="1559" w:type="dxa"/>
          </w:tcPr>
          <w:p w14:paraId="5A286E21"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Plasmid</w:t>
            </w:r>
          </w:p>
        </w:tc>
        <w:tc>
          <w:tcPr>
            <w:tcW w:w="1560" w:type="dxa"/>
          </w:tcPr>
          <w:p w14:paraId="5C15CD37"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Norway</w:t>
            </w:r>
          </w:p>
        </w:tc>
        <w:tc>
          <w:tcPr>
            <w:tcW w:w="1701" w:type="dxa"/>
          </w:tcPr>
          <w:p w14:paraId="4B6EA008" w14:textId="76D0E555" w:rsidR="009C615B" w:rsidRPr="005964AB" w:rsidRDefault="00515484" w:rsidP="00356C43">
            <w:pPr>
              <w:autoSpaceDE w:val="0"/>
              <w:autoSpaceDN w:val="0"/>
              <w:adjustRightInd w:val="0"/>
              <w:jc w:val="both"/>
              <w:rPr>
                <w:rFonts w:eastAsiaTheme="minorEastAsia"/>
                <w:i/>
                <w:sz w:val="15"/>
                <w:szCs w:val="15"/>
              </w:rPr>
            </w:pPr>
            <w:r w:rsidRPr="00CA73A7">
              <w:rPr>
                <w:rFonts w:eastAsiaTheme="minorEastAsia"/>
                <w:i/>
                <w:sz w:val="15"/>
                <w:szCs w:val="15"/>
              </w:rPr>
              <w:t>Escherichia coli</w:t>
            </w:r>
          </w:p>
        </w:tc>
        <w:tc>
          <w:tcPr>
            <w:tcW w:w="958" w:type="dxa"/>
          </w:tcPr>
          <w:p w14:paraId="6DFE1FB5"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5</w:t>
            </w:r>
            <w:r w:rsidRPr="00176923">
              <w:rPr>
                <w:rFonts w:eastAsiaTheme="minorEastAsia"/>
                <w:sz w:val="15"/>
                <w:szCs w:val="15"/>
              </w:rPr>
              <w:t>]</w:t>
            </w:r>
          </w:p>
        </w:tc>
      </w:tr>
      <w:tr w:rsidR="009C615B" w:rsidRPr="007151CA" w14:paraId="63BDE17F" w14:textId="77777777" w:rsidTr="00356C43">
        <w:tc>
          <w:tcPr>
            <w:tcW w:w="1418" w:type="dxa"/>
            <w:vMerge w:val="restart"/>
          </w:tcPr>
          <w:p w14:paraId="0313B8DE"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AmpD mutants</w:t>
            </w:r>
          </w:p>
        </w:tc>
        <w:tc>
          <w:tcPr>
            <w:tcW w:w="5812" w:type="dxa"/>
          </w:tcPr>
          <w:p w14:paraId="26A7D00D" w14:textId="37FCE60B"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Frameshifts of AmpD</w:t>
            </w:r>
          </w:p>
        </w:tc>
        <w:tc>
          <w:tcPr>
            <w:tcW w:w="850" w:type="dxa"/>
          </w:tcPr>
          <w:p w14:paraId="0EE54D6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2019</w:t>
            </w:r>
          </w:p>
        </w:tc>
        <w:tc>
          <w:tcPr>
            <w:tcW w:w="1559" w:type="dxa"/>
          </w:tcPr>
          <w:p w14:paraId="0DD8431D"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3C937452"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UK</w:t>
            </w:r>
          </w:p>
        </w:tc>
        <w:tc>
          <w:tcPr>
            <w:tcW w:w="1701" w:type="dxa"/>
          </w:tcPr>
          <w:p w14:paraId="7FE23DE2"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P. aeruginosa</w:t>
            </w:r>
          </w:p>
        </w:tc>
        <w:tc>
          <w:tcPr>
            <w:tcW w:w="958" w:type="dxa"/>
          </w:tcPr>
          <w:p w14:paraId="256D0DF9"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6</w:t>
            </w:r>
            <w:r w:rsidRPr="00176923">
              <w:rPr>
                <w:rFonts w:eastAsiaTheme="minorEastAsia"/>
                <w:sz w:val="15"/>
                <w:szCs w:val="15"/>
              </w:rPr>
              <w:t>]</w:t>
            </w:r>
          </w:p>
        </w:tc>
      </w:tr>
      <w:tr w:rsidR="009C615B" w:rsidRPr="007151CA" w14:paraId="50F54C13" w14:textId="77777777" w:rsidTr="00356C43">
        <w:tc>
          <w:tcPr>
            <w:tcW w:w="1418" w:type="dxa"/>
            <w:vMerge/>
          </w:tcPr>
          <w:p w14:paraId="0680AF64" w14:textId="77777777" w:rsidR="009C615B" w:rsidRPr="005964AB" w:rsidRDefault="009C615B" w:rsidP="00356C43">
            <w:pPr>
              <w:jc w:val="both"/>
              <w:rPr>
                <w:rFonts w:eastAsiaTheme="minorEastAsia"/>
                <w:sz w:val="15"/>
                <w:szCs w:val="15"/>
              </w:rPr>
            </w:pPr>
          </w:p>
        </w:tc>
        <w:tc>
          <w:tcPr>
            <w:tcW w:w="5812" w:type="dxa"/>
          </w:tcPr>
          <w:p w14:paraId="11D5322C" w14:textId="50404AEB"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H157R substitution of AmpD</w:t>
            </w:r>
          </w:p>
        </w:tc>
        <w:tc>
          <w:tcPr>
            <w:tcW w:w="850" w:type="dxa"/>
          </w:tcPr>
          <w:p w14:paraId="3AF28738"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2019</w:t>
            </w:r>
          </w:p>
        </w:tc>
        <w:tc>
          <w:tcPr>
            <w:tcW w:w="1559" w:type="dxa"/>
          </w:tcPr>
          <w:p w14:paraId="053A42E5"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2724EC9C"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UK</w:t>
            </w:r>
          </w:p>
        </w:tc>
        <w:tc>
          <w:tcPr>
            <w:tcW w:w="1701" w:type="dxa"/>
          </w:tcPr>
          <w:p w14:paraId="4E95F6F6"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P. aeruginosa</w:t>
            </w:r>
          </w:p>
        </w:tc>
        <w:tc>
          <w:tcPr>
            <w:tcW w:w="958" w:type="dxa"/>
          </w:tcPr>
          <w:p w14:paraId="6A30107C"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6</w:t>
            </w:r>
            <w:r w:rsidRPr="00176923">
              <w:rPr>
                <w:rFonts w:eastAsiaTheme="minorEastAsia"/>
                <w:sz w:val="15"/>
                <w:szCs w:val="15"/>
              </w:rPr>
              <w:t>]</w:t>
            </w:r>
          </w:p>
        </w:tc>
      </w:tr>
      <w:tr w:rsidR="009C615B" w:rsidRPr="007151CA" w14:paraId="27862403" w14:textId="77777777" w:rsidTr="00356C43">
        <w:tc>
          <w:tcPr>
            <w:tcW w:w="1418" w:type="dxa"/>
            <w:vMerge w:val="restart"/>
          </w:tcPr>
          <w:p w14:paraId="6D74455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AmpC mutants</w:t>
            </w:r>
          </w:p>
        </w:tc>
        <w:tc>
          <w:tcPr>
            <w:tcW w:w="5812" w:type="dxa"/>
          </w:tcPr>
          <w:p w14:paraId="209650DD" w14:textId="6711B9D3"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Deletions of various sizes of AmpC</w:t>
            </w:r>
          </w:p>
        </w:tc>
        <w:tc>
          <w:tcPr>
            <w:tcW w:w="850" w:type="dxa"/>
          </w:tcPr>
          <w:p w14:paraId="41A8F1CC"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2015</w:t>
            </w:r>
          </w:p>
        </w:tc>
        <w:tc>
          <w:tcPr>
            <w:tcW w:w="1559" w:type="dxa"/>
          </w:tcPr>
          <w:p w14:paraId="0950EBD7"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Chromosome</w:t>
            </w:r>
          </w:p>
        </w:tc>
        <w:tc>
          <w:tcPr>
            <w:tcW w:w="1560" w:type="dxa"/>
          </w:tcPr>
          <w:p w14:paraId="00744A96"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USA</w:t>
            </w:r>
          </w:p>
        </w:tc>
        <w:tc>
          <w:tcPr>
            <w:tcW w:w="1701" w:type="dxa"/>
          </w:tcPr>
          <w:p w14:paraId="085E07CE"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P. aeruginosa</w:t>
            </w:r>
          </w:p>
        </w:tc>
        <w:tc>
          <w:tcPr>
            <w:tcW w:w="958" w:type="dxa"/>
          </w:tcPr>
          <w:p w14:paraId="1A5E1CDE"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7</w:t>
            </w:r>
            <w:r w:rsidRPr="00176923">
              <w:rPr>
                <w:rFonts w:eastAsiaTheme="minorEastAsia"/>
                <w:sz w:val="15"/>
                <w:szCs w:val="15"/>
              </w:rPr>
              <w:t>]</w:t>
            </w:r>
          </w:p>
        </w:tc>
      </w:tr>
      <w:tr w:rsidR="009C615B" w:rsidRPr="007151CA" w14:paraId="1E440DDE" w14:textId="77777777" w:rsidTr="00356C43">
        <w:tc>
          <w:tcPr>
            <w:tcW w:w="1418" w:type="dxa"/>
            <w:vMerge/>
          </w:tcPr>
          <w:p w14:paraId="6020617D" w14:textId="77777777" w:rsidR="009C615B" w:rsidRPr="005964AB" w:rsidRDefault="009C615B" w:rsidP="00356C43">
            <w:pPr>
              <w:jc w:val="both"/>
              <w:rPr>
                <w:rFonts w:eastAsiaTheme="minorEastAsia"/>
                <w:sz w:val="15"/>
                <w:szCs w:val="15"/>
              </w:rPr>
            </w:pPr>
          </w:p>
        </w:tc>
        <w:tc>
          <w:tcPr>
            <w:tcW w:w="5812" w:type="dxa"/>
          </w:tcPr>
          <w:p w14:paraId="5548EB29" w14:textId="2E12C193"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R168P/H, G176R/D, N366Y, or small deletions around positions 309–314 of AmpC</w:t>
            </w:r>
          </w:p>
        </w:tc>
        <w:tc>
          <w:tcPr>
            <w:tcW w:w="850" w:type="dxa"/>
          </w:tcPr>
          <w:p w14:paraId="697277E2"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2018</w:t>
            </w:r>
          </w:p>
        </w:tc>
        <w:tc>
          <w:tcPr>
            <w:tcW w:w="1559" w:type="dxa"/>
          </w:tcPr>
          <w:p w14:paraId="676DF9D5"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01164D54"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UK and USA</w:t>
            </w:r>
          </w:p>
        </w:tc>
        <w:tc>
          <w:tcPr>
            <w:tcW w:w="1701" w:type="dxa"/>
          </w:tcPr>
          <w:p w14:paraId="4FA14709"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i/>
                <w:sz w:val="15"/>
                <w:szCs w:val="15"/>
              </w:rPr>
              <w:t>E. cloacae</w:t>
            </w:r>
            <w:r w:rsidRPr="005964AB">
              <w:rPr>
                <w:rFonts w:eastAsiaTheme="minorEastAsia"/>
                <w:sz w:val="15"/>
                <w:szCs w:val="15"/>
              </w:rPr>
              <w:t xml:space="preserve"> and </w:t>
            </w:r>
            <w:r w:rsidRPr="005964AB">
              <w:rPr>
                <w:rFonts w:eastAsiaTheme="minorEastAsia"/>
                <w:i/>
                <w:sz w:val="15"/>
                <w:szCs w:val="15"/>
              </w:rPr>
              <w:t>Citrobacter freundii</w:t>
            </w:r>
          </w:p>
        </w:tc>
        <w:tc>
          <w:tcPr>
            <w:tcW w:w="958" w:type="dxa"/>
          </w:tcPr>
          <w:p w14:paraId="792F14F6"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4</w:t>
            </w:r>
            <w:r w:rsidRPr="00176923">
              <w:rPr>
                <w:rFonts w:eastAsiaTheme="minorEastAsia"/>
                <w:sz w:val="15"/>
                <w:szCs w:val="15"/>
              </w:rPr>
              <w:t>]</w:t>
            </w:r>
          </w:p>
        </w:tc>
      </w:tr>
      <w:tr w:rsidR="009C615B" w:rsidRPr="007151CA" w14:paraId="3A100A89" w14:textId="77777777" w:rsidTr="00356C43">
        <w:tc>
          <w:tcPr>
            <w:tcW w:w="1418" w:type="dxa"/>
            <w:vMerge/>
          </w:tcPr>
          <w:p w14:paraId="33D4B1BA" w14:textId="77777777" w:rsidR="009C615B" w:rsidRPr="005964AB" w:rsidRDefault="009C615B" w:rsidP="00356C43">
            <w:pPr>
              <w:jc w:val="both"/>
              <w:rPr>
                <w:rFonts w:eastAsiaTheme="minorEastAsia"/>
                <w:iCs/>
                <w:sz w:val="15"/>
                <w:szCs w:val="15"/>
              </w:rPr>
            </w:pPr>
          </w:p>
        </w:tc>
        <w:tc>
          <w:tcPr>
            <w:tcW w:w="5812" w:type="dxa"/>
          </w:tcPr>
          <w:p w14:paraId="01B2E944" w14:textId="2ED30567"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N346Y substitution of AmpC</w:t>
            </w:r>
          </w:p>
        </w:tc>
        <w:tc>
          <w:tcPr>
            <w:tcW w:w="850" w:type="dxa"/>
          </w:tcPr>
          <w:p w14:paraId="47AB8E20"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2020</w:t>
            </w:r>
          </w:p>
        </w:tc>
        <w:tc>
          <w:tcPr>
            <w:tcW w:w="1559" w:type="dxa"/>
          </w:tcPr>
          <w:p w14:paraId="1B7832DA"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Chromosome and plasmid</w:t>
            </w:r>
          </w:p>
        </w:tc>
        <w:tc>
          <w:tcPr>
            <w:tcW w:w="1560" w:type="dxa"/>
          </w:tcPr>
          <w:p w14:paraId="6D439BC6"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France</w:t>
            </w:r>
          </w:p>
        </w:tc>
        <w:tc>
          <w:tcPr>
            <w:tcW w:w="1701" w:type="dxa"/>
          </w:tcPr>
          <w:p w14:paraId="55BBFF2D"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i/>
                <w:sz w:val="15"/>
                <w:szCs w:val="15"/>
              </w:rPr>
              <w:t>E. cloacae</w:t>
            </w:r>
            <w:r w:rsidRPr="005964AB">
              <w:rPr>
                <w:rFonts w:eastAsiaTheme="minorEastAsia"/>
                <w:sz w:val="15"/>
                <w:szCs w:val="15"/>
              </w:rPr>
              <w:t xml:space="preserve"> and </w:t>
            </w:r>
            <w:r w:rsidRPr="005964AB">
              <w:rPr>
                <w:rFonts w:eastAsiaTheme="minorEastAsia"/>
                <w:i/>
                <w:sz w:val="15"/>
                <w:szCs w:val="15"/>
              </w:rPr>
              <w:t>P. aeruginosa</w:t>
            </w:r>
          </w:p>
        </w:tc>
        <w:tc>
          <w:tcPr>
            <w:tcW w:w="958" w:type="dxa"/>
          </w:tcPr>
          <w:p w14:paraId="2839521E"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8</w:t>
            </w:r>
            <w:r w:rsidRPr="00176923">
              <w:rPr>
                <w:rFonts w:eastAsiaTheme="minorEastAsia"/>
                <w:sz w:val="15"/>
                <w:szCs w:val="15"/>
              </w:rPr>
              <w:t>]</w:t>
            </w:r>
          </w:p>
        </w:tc>
      </w:tr>
      <w:tr w:rsidR="009C615B" w:rsidRPr="007151CA" w14:paraId="48FF2497" w14:textId="77777777" w:rsidTr="00356C43">
        <w:tc>
          <w:tcPr>
            <w:tcW w:w="1418" w:type="dxa"/>
          </w:tcPr>
          <w:p w14:paraId="1471081B"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AmpC</w:t>
            </w:r>
          </w:p>
        </w:tc>
        <w:tc>
          <w:tcPr>
            <w:tcW w:w="5812" w:type="dxa"/>
          </w:tcPr>
          <w:p w14:paraId="4F50C195" w14:textId="70831B74"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Overexpression</w:t>
            </w:r>
          </w:p>
        </w:tc>
        <w:tc>
          <w:tcPr>
            <w:tcW w:w="850" w:type="dxa"/>
          </w:tcPr>
          <w:p w14:paraId="681F5FCC"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2018</w:t>
            </w:r>
          </w:p>
        </w:tc>
        <w:tc>
          <w:tcPr>
            <w:tcW w:w="1559" w:type="dxa"/>
          </w:tcPr>
          <w:p w14:paraId="16AAF9D1"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Chromosome</w:t>
            </w:r>
          </w:p>
        </w:tc>
        <w:tc>
          <w:tcPr>
            <w:tcW w:w="1560" w:type="dxa"/>
          </w:tcPr>
          <w:p w14:paraId="383E7F33"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USA, UK, Germany, and Belgium</w:t>
            </w:r>
          </w:p>
        </w:tc>
        <w:tc>
          <w:tcPr>
            <w:tcW w:w="1701" w:type="dxa"/>
          </w:tcPr>
          <w:p w14:paraId="50A28AD0"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P. aeruginosa</w:t>
            </w:r>
          </w:p>
        </w:tc>
        <w:tc>
          <w:tcPr>
            <w:tcW w:w="958" w:type="dxa"/>
          </w:tcPr>
          <w:p w14:paraId="06B42BC0"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9,10</w:t>
            </w:r>
            <w:r w:rsidRPr="00176923">
              <w:rPr>
                <w:rFonts w:eastAsiaTheme="minorEastAsia"/>
                <w:sz w:val="15"/>
                <w:szCs w:val="15"/>
              </w:rPr>
              <w:t>]</w:t>
            </w:r>
          </w:p>
        </w:tc>
      </w:tr>
      <w:tr w:rsidR="009C615B" w:rsidRPr="007151CA" w14:paraId="49C0935B" w14:textId="77777777" w:rsidTr="00356C43">
        <w:tc>
          <w:tcPr>
            <w:tcW w:w="1418" w:type="dxa"/>
          </w:tcPr>
          <w:p w14:paraId="7F2B8566"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MexAB-OprM</w:t>
            </w:r>
          </w:p>
        </w:tc>
        <w:tc>
          <w:tcPr>
            <w:tcW w:w="5812" w:type="dxa"/>
          </w:tcPr>
          <w:p w14:paraId="43A9A45F" w14:textId="70C12594"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Overexpression</w:t>
            </w:r>
          </w:p>
        </w:tc>
        <w:tc>
          <w:tcPr>
            <w:tcW w:w="850" w:type="dxa"/>
          </w:tcPr>
          <w:p w14:paraId="5E13B656"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2018</w:t>
            </w:r>
          </w:p>
        </w:tc>
        <w:tc>
          <w:tcPr>
            <w:tcW w:w="1559" w:type="dxa"/>
          </w:tcPr>
          <w:p w14:paraId="3546FBAD"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7F31EE0A"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UK, Germany, and Belgium</w:t>
            </w:r>
          </w:p>
        </w:tc>
        <w:tc>
          <w:tcPr>
            <w:tcW w:w="1701" w:type="dxa"/>
          </w:tcPr>
          <w:p w14:paraId="3985FFCD"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P. aeruginosa</w:t>
            </w:r>
          </w:p>
        </w:tc>
        <w:tc>
          <w:tcPr>
            <w:tcW w:w="958" w:type="dxa"/>
          </w:tcPr>
          <w:p w14:paraId="64B33336"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10</w:t>
            </w:r>
            <w:r w:rsidRPr="00176923">
              <w:rPr>
                <w:rFonts w:eastAsiaTheme="minorEastAsia"/>
                <w:sz w:val="15"/>
                <w:szCs w:val="15"/>
              </w:rPr>
              <w:t>]</w:t>
            </w:r>
          </w:p>
        </w:tc>
      </w:tr>
      <w:tr w:rsidR="009C615B" w:rsidRPr="007151CA" w14:paraId="6BAC7F6D" w14:textId="77777777" w:rsidTr="00356C43">
        <w:trPr>
          <w:trHeight w:val="488"/>
        </w:trPr>
        <w:tc>
          <w:tcPr>
            <w:tcW w:w="1418" w:type="dxa"/>
          </w:tcPr>
          <w:p w14:paraId="7BE1E3B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OmpK35</w:t>
            </w:r>
          </w:p>
        </w:tc>
        <w:tc>
          <w:tcPr>
            <w:tcW w:w="5812" w:type="dxa"/>
          </w:tcPr>
          <w:p w14:paraId="23EB007D" w14:textId="1ACA7624"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Deﬁciency</w:t>
            </w:r>
          </w:p>
        </w:tc>
        <w:tc>
          <w:tcPr>
            <w:tcW w:w="850" w:type="dxa"/>
          </w:tcPr>
          <w:p w14:paraId="097E76A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2017</w:t>
            </w:r>
          </w:p>
        </w:tc>
        <w:tc>
          <w:tcPr>
            <w:tcW w:w="1559" w:type="dxa"/>
          </w:tcPr>
          <w:p w14:paraId="539BBEB0"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18EF38BC"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China</w:t>
            </w:r>
          </w:p>
        </w:tc>
        <w:tc>
          <w:tcPr>
            <w:tcW w:w="1701" w:type="dxa"/>
          </w:tcPr>
          <w:p w14:paraId="2C60531F"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K. pneumoniae</w:t>
            </w:r>
          </w:p>
        </w:tc>
        <w:tc>
          <w:tcPr>
            <w:tcW w:w="958" w:type="dxa"/>
          </w:tcPr>
          <w:p w14:paraId="0661A967"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11</w:t>
            </w:r>
            <w:r w:rsidRPr="00176923">
              <w:rPr>
                <w:rFonts w:eastAsiaTheme="minorEastAsia"/>
                <w:sz w:val="15"/>
                <w:szCs w:val="15"/>
              </w:rPr>
              <w:t>]</w:t>
            </w:r>
          </w:p>
        </w:tc>
      </w:tr>
      <w:tr w:rsidR="009C615B" w:rsidRPr="007151CA" w14:paraId="6BE5C471" w14:textId="77777777" w:rsidTr="00356C43">
        <w:tc>
          <w:tcPr>
            <w:tcW w:w="1418" w:type="dxa"/>
          </w:tcPr>
          <w:p w14:paraId="53A15C7A"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OmpK35 mutant</w:t>
            </w:r>
          </w:p>
        </w:tc>
        <w:tc>
          <w:tcPr>
            <w:tcW w:w="5812" w:type="dxa"/>
          </w:tcPr>
          <w:p w14:paraId="7065931A" w14:textId="6422F4E7" w:rsidR="009C615B" w:rsidRPr="005964AB" w:rsidRDefault="00C35BEF" w:rsidP="00356C43">
            <w:pPr>
              <w:autoSpaceDE w:val="0"/>
              <w:autoSpaceDN w:val="0"/>
              <w:adjustRightInd w:val="0"/>
              <w:jc w:val="both"/>
              <w:rPr>
                <w:rFonts w:eastAsiaTheme="minorEastAsia"/>
                <w:sz w:val="15"/>
                <w:szCs w:val="15"/>
                <w:shd w:val="clear" w:color="auto" w:fill="FFFFFF"/>
              </w:rPr>
            </w:pPr>
            <w:r>
              <w:rPr>
                <w:rFonts w:eastAsiaTheme="minorEastAsia"/>
                <w:sz w:val="15"/>
                <w:szCs w:val="15"/>
              </w:rPr>
              <w:t xml:space="preserve">• </w:t>
            </w:r>
            <w:r w:rsidR="009C615B" w:rsidRPr="005964AB">
              <w:rPr>
                <w:rFonts w:eastAsiaTheme="minorEastAsia"/>
                <w:sz w:val="15"/>
                <w:szCs w:val="15"/>
              </w:rPr>
              <w:t>A premature stop codon in OmpK35</w:t>
            </w:r>
          </w:p>
        </w:tc>
        <w:tc>
          <w:tcPr>
            <w:tcW w:w="850" w:type="dxa"/>
          </w:tcPr>
          <w:p w14:paraId="03C94409"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2017</w:t>
            </w:r>
          </w:p>
        </w:tc>
        <w:tc>
          <w:tcPr>
            <w:tcW w:w="1559" w:type="dxa"/>
          </w:tcPr>
          <w:p w14:paraId="5B43BCD9"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50B0B7C8"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USA</w:t>
            </w:r>
          </w:p>
        </w:tc>
        <w:tc>
          <w:tcPr>
            <w:tcW w:w="1701" w:type="dxa"/>
          </w:tcPr>
          <w:p w14:paraId="26876387"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K. pneumoniae</w:t>
            </w:r>
          </w:p>
        </w:tc>
        <w:tc>
          <w:tcPr>
            <w:tcW w:w="958" w:type="dxa"/>
          </w:tcPr>
          <w:p w14:paraId="3301ECCA"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12</w:t>
            </w:r>
            <w:r w:rsidRPr="00176923">
              <w:rPr>
                <w:rFonts w:eastAsiaTheme="minorEastAsia"/>
                <w:sz w:val="15"/>
                <w:szCs w:val="15"/>
              </w:rPr>
              <w:t>]</w:t>
            </w:r>
          </w:p>
        </w:tc>
      </w:tr>
      <w:tr w:rsidR="009C615B" w:rsidRPr="007151CA" w14:paraId="70C957FB" w14:textId="77777777" w:rsidTr="00356C43">
        <w:tc>
          <w:tcPr>
            <w:tcW w:w="1418" w:type="dxa"/>
          </w:tcPr>
          <w:p w14:paraId="68AE12B1"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OmpK36</w:t>
            </w:r>
          </w:p>
        </w:tc>
        <w:tc>
          <w:tcPr>
            <w:tcW w:w="5812" w:type="dxa"/>
          </w:tcPr>
          <w:p w14:paraId="79100303" w14:textId="31F617EA" w:rsidR="009C615B" w:rsidRPr="005964AB" w:rsidRDefault="00C35BEF" w:rsidP="00356C43">
            <w:pPr>
              <w:autoSpaceDE w:val="0"/>
              <w:autoSpaceDN w:val="0"/>
              <w:adjustRightInd w:val="0"/>
              <w:jc w:val="both"/>
              <w:rPr>
                <w:rFonts w:eastAsiaTheme="minorEastAsia"/>
                <w:sz w:val="15"/>
                <w:szCs w:val="15"/>
                <w:shd w:val="clear" w:color="auto" w:fill="FFFFFF"/>
              </w:rPr>
            </w:pPr>
            <w:r>
              <w:rPr>
                <w:rFonts w:eastAsiaTheme="minorEastAsia"/>
                <w:sz w:val="15"/>
                <w:szCs w:val="15"/>
              </w:rPr>
              <w:t xml:space="preserve">• </w:t>
            </w:r>
            <w:r w:rsidR="009C615B" w:rsidRPr="005964AB">
              <w:rPr>
                <w:rFonts w:eastAsiaTheme="minorEastAsia"/>
                <w:sz w:val="15"/>
                <w:szCs w:val="15"/>
              </w:rPr>
              <w:t>Decreased expression</w:t>
            </w:r>
          </w:p>
        </w:tc>
        <w:tc>
          <w:tcPr>
            <w:tcW w:w="850" w:type="dxa"/>
          </w:tcPr>
          <w:p w14:paraId="76508DD0"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2017</w:t>
            </w:r>
          </w:p>
        </w:tc>
        <w:tc>
          <w:tcPr>
            <w:tcW w:w="1559" w:type="dxa"/>
          </w:tcPr>
          <w:p w14:paraId="0B5D4AFE"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1512B171"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USA</w:t>
            </w:r>
          </w:p>
        </w:tc>
        <w:tc>
          <w:tcPr>
            <w:tcW w:w="1701" w:type="dxa"/>
          </w:tcPr>
          <w:p w14:paraId="092DF440"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K. pneumoniae</w:t>
            </w:r>
          </w:p>
        </w:tc>
        <w:tc>
          <w:tcPr>
            <w:tcW w:w="958" w:type="dxa"/>
          </w:tcPr>
          <w:p w14:paraId="42FFF791"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12</w:t>
            </w:r>
            <w:r w:rsidRPr="00176923">
              <w:rPr>
                <w:rFonts w:eastAsiaTheme="minorEastAsia"/>
                <w:sz w:val="15"/>
                <w:szCs w:val="15"/>
              </w:rPr>
              <w:t>]</w:t>
            </w:r>
          </w:p>
        </w:tc>
      </w:tr>
      <w:tr w:rsidR="009C615B" w:rsidRPr="007151CA" w14:paraId="63B6390F" w14:textId="77777777" w:rsidTr="00356C43">
        <w:tc>
          <w:tcPr>
            <w:tcW w:w="1418" w:type="dxa"/>
          </w:tcPr>
          <w:p w14:paraId="77411E02"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OmpK36</w:t>
            </w:r>
          </w:p>
        </w:tc>
        <w:tc>
          <w:tcPr>
            <w:tcW w:w="5812" w:type="dxa"/>
          </w:tcPr>
          <w:p w14:paraId="18292D3D" w14:textId="078DF8B8"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Insertions in OmpK36</w:t>
            </w:r>
          </w:p>
        </w:tc>
        <w:tc>
          <w:tcPr>
            <w:tcW w:w="850" w:type="dxa"/>
          </w:tcPr>
          <w:p w14:paraId="7EB93008"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2017</w:t>
            </w:r>
          </w:p>
        </w:tc>
        <w:tc>
          <w:tcPr>
            <w:tcW w:w="1559" w:type="dxa"/>
          </w:tcPr>
          <w:p w14:paraId="2174AFEC"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148DC4E2"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USA</w:t>
            </w:r>
          </w:p>
        </w:tc>
        <w:tc>
          <w:tcPr>
            <w:tcW w:w="1701" w:type="dxa"/>
          </w:tcPr>
          <w:p w14:paraId="1DC6C4E8"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K. pneumoniae</w:t>
            </w:r>
          </w:p>
        </w:tc>
        <w:tc>
          <w:tcPr>
            <w:tcW w:w="958" w:type="dxa"/>
          </w:tcPr>
          <w:p w14:paraId="6D7CB199"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12</w:t>
            </w:r>
            <w:r w:rsidRPr="00176923">
              <w:rPr>
                <w:rFonts w:eastAsiaTheme="minorEastAsia"/>
                <w:sz w:val="15"/>
                <w:szCs w:val="15"/>
              </w:rPr>
              <w:t>]</w:t>
            </w:r>
          </w:p>
        </w:tc>
      </w:tr>
      <w:tr w:rsidR="009C615B" w:rsidRPr="007151CA" w14:paraId="7BCD6F39" w14:textId="77777777" w:rsidTr="00356C43">
        <w:tc>
          <w:tcPr>
            <w:tcW w:w="1418" w:type="dxa"/>
          </w:tcPr>
          <w:p w14:paraId="60B7E5AA"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OmpK37</w:t>
            </w:r>
          </w:p>
        </w:tc>
        <w:tc>
          <w:tcPr>
            <w:tcW w:w="5812" w:type="dxa"/>
          </w:tcPr>
          <w:p w14:paraId="09F29635" w14:textId="614B75A0"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Insertions in OmpK37</w:t>
            </w:r>
          </w:p>
        </w:tc>
        <w:tc>
          <w:tcPr>
            <w:tcW w:w="850" w:type="dxa"/>
          </w:tcPr>
          <w:p w14:paraId="3A7934DD"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2017</w:t>
            </w:r>
          </w:p>
        </w:tc>
        <w:tc>
          <w:tcPr>
            <w:tcW w:w="1559" w:type="dxa"/>
          </w:tcPr>
          <w:p w14:paraId="56EDD24F"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Pr>
          <w:p w14:paraId="7CA9FA3C"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USA</w:t>
            </w:r>
          </w:p>
        </w:tc>
        <w:tc>
          <w:tcPr>
            <w:tcW w:w="1701" w:type="dxa"/>
          </w:tcPr>
          <w:p w14:paraId="1FF1D253"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K. pneumoniae</w:t>
            </w:r>
          </w:p>
        </w:tc>
        <w:tc>
          <w:tcPr>
            <w:tcW w:w="958" w:type="dxa"/>
          </w:tcPr>
          <w:p w14:paraId="1B1E7DD1"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12</w:t>
            </w:r>
            <w:r w:rsidRPr="00176923">
              <w:rPr>
                <w:rFonts w:eastAsiaTheme="minorEastAsia"/>
                <w:sz w:val="15"/>
                <w:szCs w:val="15"/>
              </w:rPr>
              <w:t>]</w:t>
            </w:r>
          </w:p>
        </w:tc>
      </w:tr>
      <w:tr w:rsidR="009C615B" w:rsidRPr="007151CA" w14:paraId="0145BB23" w14:textId="77777777" w:rsidTr="00356C43">
        <w:tc>
          <w:tcPr>
            <w:tcW w:w="1418" w:type="dxa"/>
            <w:tcBorders>
              <w:bottom w:val="single" w:sz="4" w:space="0" w:color="auto"/>
            </w:tcBorders>
          </w:tcPr>
          <w:p w14:paraId="1330D5AC"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OprD</w:t>
            </w:r>
          </w:p>
        </w:tc>
        <w:tc>
          <w:tcPr>
            <w:tcW w:w="5812" w:type="dxa"/>
            <w:tcBorders>
              <w:bottom w:val="single" w:sz="4" w:space="0" w:color="auto"/>
            </w:tcBorders>
          </w:tcPr>
          <w:p w14:paraId="5381D39E" w14:textId="344B5216" w:rsidR="009C615B" w:rsidRPr="005964AB" w:rsidRDefault="00C35BEF" w:rsidP="00356C43">
            <w:pPr>
              <w:autoSpaceDE w:val="0"/>
              <w:autoSpaceDN w:val="0"/>
              <w:adjustRightInd w:val="0"/>
              <w:jc w:val="both"/>
              <w:rPr>
                <w:rFonts w:eastAsiaTheme="minorEastAsia"/>
                <w:sz w:val="15"/>
                <w:szCs w:val="15"/>
              </w:rPr>
            </w:pPr>
            <w:r>
              <w:rPr>
                <w:rFonts w:eastAsiaTheme="minorEastAsia"/>
                <w:sz w:val="15"/>
                <w:szCs w:val="15"/>
              </w:rPr>
              <w:t xml:space="preserve">• </w:t>
            </w:r>
            <w:r w:rsidR="009C615B" w:rsidRPr="005964AB">
              <w:rPr>
                <w:rFonts w:eastAsiaTheme="minorEastAsia"/>
                <w:sz w:val="15"/>
                <w:szCs w:val="15"/>
              </w:rPr>
              <w:t>Loss</w:t>
            </w:r>
          </w:p>
        </w:tc>
        <w:tc>
          <w:tcPr>
            <w:tcW w:w="850" w:type="dxa"/>
            <w:tcBorders>
              <w:bottom w:val="single" w:sz="4" w:space="0" w:color="auto"/>
            </w:tcBorders>
          </w:tcPr>
          <w:p w14:paraId="36A02DB7"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2018</w:t>
            </w:r>
          </w:p>
        </w:tc>
        <w:tc>
          <w:tcPr>
            <w:tcW w:w="1559" w:type="dxa"/>
            <w:tcBorders>
              <w:bottom w:val="single" w:sz="4" w:space="0" w:color="auto"/>
            </w:tcBorders>
          </w:tcPr>
          <w:p w14:paraId="3A068CBD"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NA</w:t>
            </w:r>
          </w:p>
        </w:tc>
        <w:tc>
          <w:tcPr>
            <w:tcW w:w="1560" w:type="dxa"/>
            <w:tcBorders>
              <w:bottom w:val="single" w:sz="4" w:space="0" w:color="auto"/>
            </w:tcBorders>
          </w:tcPr>
          <w:p w14:paraId="2851FE89" w14:textId="77777777" w:rsidR="009C615B" w:rsidRPr="005964AB" w:rsidRDefault="009C615B" w:rsidP="00356C43">
            <w:pPr>
              <w:autoSpaceDE w:val="0"/>
              <w:autoSpaceDN w:val="0"/>
              <w:adjustRightInd w:val="0"/>
              <w:jc w:val="both"/>
              <w:rPr>
                <w:rFonts w:eastAsiaTheme="minorEastAsia"/>
                <w:sz w:val="15"/>
                <w:szCs w:val="15"/>
              </w:rPr>
            </w:pPr>
            <w:r w:rsidRPr="005964AB">
              <w:rPr>
                <w:rFonts w:eastAsiaTheme="minorEastAsia"/>
                <w:sz w:val="15"/>
                <w:szCs w:val="15"/>
              </w:rPr>
              <w:t>USA</w:t>
            </w:r>
          </w:p>
        </w:tc>
        <w:tc>
          <w:tcPr>
            <w:tcW w:w="1701" w:type="dxa"/>
            <w:tcBorders>
              <w:bottom w:val="single" w:sz="4" w:space="0" w:color="auto"/>
            </w:tcBorders>
          </w:tcPr>
          <w:p w14:paraId="6C9E995F" w14:textId="77777777" w:rsidR="009C615B" w:rsidRPr="005964AB" w:rsidRDefault="009C615B" w:rsidP="00356C43">
            <w:pPr>
              <w:autoSpaceDE w:val="0"/>
              <w:autoSpaceDN w:val="0"/>
              <w:adjustRightInd w:val="0"/>
              <w:jc w:val="both"/>
              <w:rPr>
                <w:rFonts w:eastAsiaTheme="minorEastAsia"/>
                <w:i/>
                <w:sz w:val="15"/>
                <w:szCs w:val="15"/>
              </w:rPr>
            </w:pPr>
            <w:r w:rsidRPr="005964AB">
              <w:rPr>
                <w:rFonts w:eastAsiaTheme="minorEastAsia"/>
                <w:i/>
                <w:sz w:val="15"/>
                <w:szCs w:val="15"/>
              </w:rPr>
              <w:t>P. aeruginosa</w:t>
            </w:r>
          </w:p>
        </w:tc>
        <w:tc>
          <w:tcPr>
            <w:tcW w:w="958" w:type="dxa"/>
            <w:tcBorders>
              <w:bottom w:val="single" w:sz="4" w:space="0" w:color="auto"/>
            </w:tcBorders>
          </w:tcPr>
          <w:p w14:paraId="1B6EB5EB" w14:textId="77777777" w:rsidR="009C615B" w:rsidRPr="00176923" w:rsidRDefault="009C615B" w:rsidP="00356C43">
            <w:pPr>
              <w:autoSpaceDE w:val="0"/>
              <w:autoSpaceDN w:val="0"/>
              <w:adjustRightInd w:val="0"/>
              <w:jc w:val="both"/>
              <w:rPr>
                <w:rFonts w:eastAsiaTheme="minorEastAsia"/>
                <w:sz w:val="15"/>
                <w:szCs w:val="15"/>
              </w:rPr>
            </w:pPr>
            <w:r w:rsidRPr="00176923">
              <w:rPr>
                <w:rFonts w:eastAsiaTheme="minorEastAsia"/>
                <w:sz w:val="15"/>
                <w:szCs w:val="15"/>
              </w:rPr>
              <w:t xml:space="preserve"> [</w:t>
            </w:r>
            <w:r w:rsidRPr="00176923">
              <w:rPr>
                <w:rStyle w:val="citebib"/>
                <w:rFonts w:eastAsiaTheme="minorEastAsia"/>
                <w:sz w:val="15"/>
                <w:szCs w:val="15"/>
                <w:shd w:val="clear" w:color="auto" w:fill="auto"/>
              </w:rPr>
              <w:t>9</w:t>
            </w:r>
            <w:r w:rsidRPr="00176923">
              <w:rPr>
                <w:rFonts w:eastAsiaTheme="minorEastAsia"/>
                <w:sz w:val="15"/>
                <w:szCs w:val="15"/>
              </w:rPr>
              <w:t>]</w:t>
            </w:r>
          </w:p>
        </w:tc>
      </w:tr>
    </w:tbl>
    <w:p w14:paraId="6B28DB1E" w14:textId="2FFF32BA" w:rsidR="009C615B" w:rsidRDefault="00FB4FDB" w:rsidP="009C615B">
      <w:pPr>
        <w:autoSpaceDE w:val="0"/>
        <w:autoSpaceDN w:val="0"/>
        <w:adjustRightInd w:val="0"/>
        <w:rPr>
          <w:rFonts w:eastAsiaTheme="minorEastAsia"/>
          <w:sz w:val="18"/>
          <w:szCs w:val="18"/>
        </w:rPr>
      </w:pPr>
      <w:r>
        <w:rPr>
          <w:rFonts w:eastAsiaTheme="minorEastAsia"/>
          <w:sz w:val="18"/>
          <w:szCs w:val="18"/>
        </w:rPr>
        <w:t xml:space="preserve">R: </w:t>
      </w:r>
      <w:r>
        <w:rPr>
          <w:rFonts w:eastAsiaTheme="minorEastAsia" w:hint="eastAsia"/>
          <w:sz w:val="18"/>
          <w:szCs w:val="18"/>
          <w:lang w:eastAsia="zh-CN"/>
        </w:rPr>
        <w:t>arginine</w:t>
      </w:r>
      <w:r>
        <w:rPr>
          <w:rFonts w:eastAsiaTheme="minorEastAsia"/>
          <w:sz w:val="18"/>
          <w:szCs w:val="18"/>
          <w:lang w:eastAsia="zh-CN"/>
        </w:rPr>
        <w:t xml:space="preserve">; </w:t>
      </w:r>
      <w:r w:rsidRPr="00FB4FDB">
        <w:rPr>
          <w:rFonts w:eastAsiaTheme="minorEastAsia"/>
          <w:sz w:val="18"/>
          <w:szCs w:val="18"/>
        </w:rPr>
        <w:t xml:space="preserve">A: alanine; </w:t>
      </w:r>
      <w:r w:rsidRPr="00FB4FDB">
        <w:rPr>
          <w:rFonts w:eastAsiaTheme="minorEastAsia"/>
          <w:sz w:val="18"/>
          <w:szCs w:val="18"/>
        </w:rPr>
        <w:t xml:space="preserve">T: threonine; </w:t>
      </w:r>
      <w:r>
        <w:rPr>
          <w:rFonts w:eastAsiaTheme="minorEastAsia"/>
          <w:sz w:val="18"/>
          <w:szCs w:val="18"/>
        </w:rPr>
        <w:t xml:space="preserve">S: serine; </w:t>
      </w:r>
      <w:r w:rsidRPr="00FB4FDB">
        <w:rPr>
          <w:rFonts w:eastAsiaTheme="minorEastAsia"/>
          <w:sz w:val="18"/>
          <w:szCs w:val="18"/>
        </w:rPr>
        <w:t xml:space="preserve">P: proline; </w:t>
      </w:r>
      <w:r w:rsidR="009C615B" w:rsidRPr="005964AB">
        <w:rPr>
          <w:rFonts w:eastAsiaTheme="minorEastAsia"/>
          <w:sz w:val="18"/>
          <w:szCs w:val="18"/>
        </w:rPr>
        <w:t xml:space="preserve">NA: </w:t>
      </w:r>
      <w:r w:rsidR="00515484">
        <w:rPr>
          <w:rFonts w:eastAsiaTheme="minorEastAsia" w:hint="eastAsia"/>
          <w:sz w:val="18"/>
          <w:szCs w:val="18"/>
          <w:lang w:eastAsia="zh-CN"/>
        </w:rPr>
        <w:t>n</w:t>
      </w:r>
      <w:r w:rsidR="009C615B" w:rsidRPr="005964AB">
        <w:rPr>
          <w:rFonts w:eastAsiaTheme="minorEastAsia"/>
          <w:sz w:val="18"/>
          <w:szCs w:val="18"/>
        </w:rPr>
        <w:t>ot available</w:t>
      </w:r>
      <w:r w:rsidR="009C615B">
        <w:rPr>
          <w:rFonts w:eastAsiaTheme="minorEastAsia"/>
          <w:sz w:val="18"/>
          <w:szCs w:val="18"/>
        </w:rPr>
        <w:t>.</w:t>
      </w:r>
    </w:p>
    <w:p w14:paraId="196B10F4" w14:textId="77777777" w:rsidR="008D7966" w:rsidRDefault="008D7966" w:rsidP="009C615B">
      <w:pPr>
        <w:autoSpaceDE w:val="0"/>
        <w:autoSpaceDN w:val="0"/>
        <w:adjustRightInd w:val="0"/>
        <w:rPr>
          <w:rFonts w:eastAsiaTheme="minorEastAsia"/>
          <w:sz w:val="18"/>
          <w:szCs w:val="18"/>
        </w:rPr>
      </w:pPr>
    </w:p>
    <w:p w14:paraId="3B7613D1" w14:textId="371A12C1" w:rsidR="008D7966" w:rsidRDefault="00515484" w:rsidP="00426A23">
      <w:pPr>
        <w:autoSpaceDE w:val="0"/>
        <w:autoSpaceDN w:val="0"/>
        <w:adjustRightInd w:val="0"/>
        <w:jc w:val="center"/>
        <w:rPr>
          <w:rFonts w:eastAsiaTheme="minorEastAsia"/>
          <w:sz w:val="18"/>
          <w:szCs w:val="18"/>
        </w:rPr>
      </w:pPr>
      <w:r w:rsidRPr="00515484">
        <w:rPr>
          <w:rFonts w:eastAsiaTheme="minorEastAsia"/>
          <w:noProof/>
          <w:sz w:val="18"/>
          <w:szCs w:val="18"/>
          <w:lang w:eastAsia="zh-CN"/>
        </w:rPr>
        <w:lastRenderedPageBreak/>
        <w:drawing>
          <wp:inline distT="0" distB="0" distL="0" distR="0" wp14:anchorId="5AA7F590" wp14:editId="710710BD">
            <wp:extent cx="5762625" cy="5895975"/>
            <wp:effectExtent l="0" t="0" r="9525" b="9525"/>
            <wp:docPr id="4" name="图片 4" descr="C:\Users\WJM\Desktop\未出版\自由投稿\ENG-D-20-00974王老师待编辑\Figure S1R-revised-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JM\Desktop\未出版\自由投稿\ENG-D-20-00974王老师待编辑\Figure S1R-revised-1.t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2625" cy="5895975"/>
                    </a:xfrm>
                    <a:prstGeom prst="rect">
                      <a:avLst/>
                    </a:prstGeom>
                    <a:noFill/>
                    <a:ln>
                      <a:noFill/>
                    </a:ln>
                  </pic:spPr>
                </pic:pic>
              </a:graphicData>
            </a:graphic>
          </wp:inline>
        </w:drawing>
      </w:r>
    </w:p>
    <w:p w14:paraId="7E4E45C2" w14:textId="15982028" w:rsidR="00515484" w:rsidRDefault="00515484" w:rsidP="00426A23">
      <w:pPr>
        <w:autoSpaceDE w:val="0"/>
        <w:autoSpaceDN w:val="0"/>
        <w:adjustRightInd w:val="0"/>
        <w:jc w:val="center"/>
        <w:rPr>
          <w:rFonts w:eastAsiaTheme="minorEastAsia"/>
          <w:sz w:val="18"/>
          <w:szCs w:val="18"/>
        </w:rPr>
      </w:pPr>
      <w:r w:rsidRPr="00515484">
        <w:rPr>
          <w:rFonts w:eastAsiaTheme="minorEastAsia"/>
          <w:noProof/>
          <w:sz w:val="18"/>
          <w:szCs w:val="18"/>
          <w:lang w:eastAsia="zh-CN"/>
        </w:rPr>
        <w:lastRenderedPageBreak/>
        <w:drawing>
          <wp:inline distT="0" distB="0" distL="0" distR="0" wp14:anchorId="466EB0CE" wp14:editId="6D66A36B">
            <wp:extent cx="5762625" cy="6205855"/>
            <wp:effectExtent l="0" t="0" r="9525" b="4445"/>
            <wp:docPr id="5" name="图片 5" descr="C:\Users\WJM\Desktop\未出版\自由投稿\ENG-D-20-00974王老师待编辑\Figure S1-continued-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JM\Desktop\未出版\自由投稿\ENG-D-20-00974王老师待编辑\Figure S1-continued-2.t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2625" cy="6205855"/>
                    </a:xfrm>
                    <a:prstGeom prst="rect">
                      <a:avLst/>
                    </a:prstGeom>
                    <a:noFill/>
                    <a:ln>
                      <a:noFill/>
                    </a:ln>
                  </pic:spPr>
                </pic:pic>
              </a:graphicData>
            </a:graphic>
          </wp:inline>
        </w:drawing>
      </w:r>
    </w:p>
    <w:p w14:paraId="081661BF" w14:textId="6433A839" w:rsidR="00515484" w:rsidRDefault="00515484" w:rsidP="00426A23">
      <w:pPr>
        <w:autoSpaceDE w:val="0"/>
        <w:autoSpaceDN w:val="0"/>
        <w:adjustRightInd w:val="0"/>
        <w:jc w:val="center"/>
        <w:rPr>
          <w:rFonts w:eastAsiaTheme="minorEastAsia"/>
          <w:sz w:val="18"/>
          <w:szCs w:val="18"/>
        </w:rPr>
      </w:pPr>
      <w:r w:rsidRPr="00515484">
        <w:rPr>
          <w:rFonts w:eastAsiaTheme="minorEastAsia"/>
          <w:noProof/>
          <w:sz w:val="18"/>
          <w:szCs w:val="18"/>
          <w:lang w:eastAsia="zh-CN"/>
        </w:rPr>
        <w:lastRenderedPageBreak/>
        <w:drawing>
          <wp:inline distT="0" distB="0" distL="0" distR="0" wp14:anchorId="4CEF5F6C" wp14:editId="7F0E572F">
            <wp:extent cx="5762625" cy="6186805"/>
            <wp:effectExtent l="0" t="0" r="9525" b="4445"/>
            <wp:docPr id="6" name="图片 6" descr="C:\Users\WJM\Desktop\未出版\自由投稿\ENG-D-20-00974王老师待编辑\Figure S1-continued-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JM\Desktop\未出版\自由投稿\ENG-D-20-00974王老师待编辑\Figure S1-continued-3.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2625" cy="6186805"/>
                    </a:xfrm>
                    <a:prstGeom prst="rect">
                      <a:avLst/>
                    </a:prstGeom>
                    <a:noFill/>
                    <a:ln>
                      <a:noFill/>
                    </a:ln>
                  </pic:spPr>
                </pic:pic>
              </a:graphicData>
            </a:graphic>
          </wp:inline>
        </w:drawing>
      </w:r>
    </w:p>
    <w:p w14:paraId="3BE31517" w14:textId="4132CBF9" w:rsidR="008D7966" w:rsidRDefault="008D7966" w:rsidP="00426A23">
      <w:pPr>
        <w:autoSpaceDE w:val="0"/>
        <w:autoSpaceDN w:val="0"/>
        <w:adjustRightInd w:val="0"/>
        <w:jc w:val="center"/>
        <w:rPr>
          <w:rFonts w:eastAsiaTheme="minorEastAsia"/>
          <w:sz w:val="18"/>
          <w:szCs w:val="18"/>
        </w:rPr>
      </w:pPr>
      <w:r w:rsidRPr="00426A23">
        <w:rPr>
          <w:rFonts w:eastAsiaTheme="minorEastAsia"/>
          <w:b/>
          <w:sz w:val="18"/>
          <w:szCs w:val="18"/>
        </w:rPr>
        <w:t xml:space="preserve">Fig. </w:t>
      </w:r>
      <w:r w:rsidR="00426A23" w:rsidRPr="00426A23">
        <w:rPr>
          <w:rFonts w:eastAsiaTheme="minorEastAsia"/>
          <w:b/>
          <w:sz w:val="18"/>
          <w:szCs w:val="18"/>
        </w:rPr>
        <w:t>S</w:t>
      </w:r>
      <w:r w:rsidRPr="00426A23">
        <w:rPr>
          <w:rFonts w:eastAsiaTheme="minorEastAsia"/>
          <w:b/>
          <w:sz w:val="18"/>
          <w:szCs w:val="18"/>
        </w:rPr>
        <w:t xml:space="preserve">1. </w:t>
      </w:r>
      <w:r w:rsidRPr="00426A23">
        <w:rPr>
          <w:rFonts w:eastAsiaTheme="minorEastAsia"/>
          <w:bCs/>
          <w:sz w:val="18"/>
          <w:szCs w:val="18"/>
        </w:rPr>
        <w:t>Sequence alignment of KPC variants;</w:t>
      </w:r>
      <w:r w:rsidRPr="00426A23">
        <w:rPr>
          <w:rFonts w:eastAsiaTheme="minorEastAsia"/>
          <w:sz w:val="18"/>
          <w:szCs w:val="18"/>
        </w:rPr>
        <w:t xml:space="preserve"> deleted residues are indicated with a slash.</w:t>
      </w:r>
    </w:p>
    <w:p w14:paraId="2CC9802E" w14:textId="77777777" w:rsidR="00515484" w:rsidRDefault="00515484" w:rsidP="00AA4FB2">
      <w:pPr>
        <w:autoSpaceDE w:val="0"/>
        <w:autoSpaceDN w:val="0"/>
        <w:adjustRightInd w:val="0"/>
        <w:rPr>
          <w:rFonts w:eastAsiaTheme="minorEastAsia"/>
          <w:b/>
        </w:rPr>
      </w:pPr>
    </w:p>
    <w:p w14:paraId="493D9127" w14:textId="77777777" w:rsidR="00AA4FB2" w:rsidRPr="00E6565C" w:rsidRDefault="00AA4FB2" w:rsidP="00AA4FB2">
      <w:pPr>
        <w:autoSpaceDE w:val="0"/>
        <w:autoSpaceDN w:val="0"/>
        <w:adjustRightInd w:val="0"/>
        <w:rPr>
          <w:rFonts w:eastAsiaTheme="minorEastAsia"/>
        </w:rPr>
      </w:pPr>
      <w:r w:rsidRPr="00E6565C">
        <w:rPr>
          <w:rFonts w:eastAsiaTheme="minorEastAsia"/>
          <w:b/>
        </w:rPr>
        <w:lastRenderedPageBreak/>
        <w:t>References</w:t>
      </w:r>
    </w:p>
    <w:p w14:paraId="59F65EB5" w14:textId="24C0CA49" w:rsidR="00AA4FB2" w:rsidRPr="00E6565C" w:rsidRDefault="00AA4FB2" w:rsidP="00AA4FB2">
      <w:pPr>
        <w:pStyle w:val="hreference"/>
        <w:rPr>
          <w:szCs w:val="17"/>
        </w:rPr>
      </w:pPr>
      <w:r w:rsidRPr="00E6565C">
        <w:rPr>
          <w:szCs w:val="17"/>
        </w:rPr>
        <w:t>[</w:t>
      </w:r>
      <w:r w:rsidRPr="00E6565C">
        <w:rPr>
          <w:rStyle w:val="bibnumber"/>
          <w:rFonts w:eastAsiaTheme="minorEastAsia"/>
          <w:sz w:val="17"/>
          <w:szCs w:val="17"/>
          <w:shd w:val="clear" w:color="auto" w:fill="auto"/>
        </w:rPr>
        <w:t>1</w:t>
      </w:r>
      <w:r w:rsidRPr="00E6565C">
        <w:rPr>
          <w:szCs w:val="17"/>
        </w:rPr>
        <w:t>]</w:t>
      </w:r>
      <w:r w:rsidRPr="00E6565C">
        <w:rPr>
          <w:szCs w:val="17"/>
        </w:rPr>
        <w:tab/>
      </w:r>
      <w:r w:rsidRPr="00E6565C">
        <w:rPr>
          <w:rStyle w:val="bibsurname"/>
          <w:rFonts w:eastAsiaTheme="minorEastAsia"/>
          <w:sz w:val="17"/>
          <w:szCs w:val="17"/>
          <w:shd w:val="clear" w:color="auto" w:fill="auto"/>
        </w:rPr>
        <w:t>Livermore</w:t>
      </w:r>
      <w:r w:rsidRPr="00E6565C">
        <w:rPr>
          <w:szCs w:val="17"/>
        </w:rPr>
        <w:t xml:space="preserve"> </w:t>
      </w:r>
      <w:r w:rsidRPr="00E6565C">
        <w:rPr>
          <w:rStyle w:val="bibfname"/>
          <w:rFonts w:eastAsiaTheme="minorEastAsia"/>
          <w:sz w:val="17"/>
          <w:szCs w:val="17"/>
          <w:shd w:val="clear" w:color="auto" w:fill="auto"/>
        </w:rPr>
        <w:t>DM</w:t>
      </w:r>
      <w:r w:rsidRPr="00E6565C">
        <w:rPr>
          <w:szCs w:val="17"/>
        </w:rPr>
        <w:t xml:space="preserve">, </w:t>
      </w:r>
      <w:r w:rsidRPr="00E6565C">
        <w:rPr>
          <w:rStyle w:val="bibsurname"/>
          <w:rFonts w:eastAsiaTheme="minorEastAsia"/>
          <w:sz w:val="17"/>
          <w:szCs w:val="17"/>
          <w:shd w:val="clear" w:color="auto" w:fill="auto"/>
        </w:rPr>
        <w:t>Warner</w:t>
      </w:r>
      <w:r w:rsidRPr="00E6565C">
        <w:rPr>
          <w:szCs w:val="17"/>
        </w:rPr>
        <w:t xml:space="preserve"> </w:t>
      </w:r>
      <w:r w:rsidRPr="00E6565C">
        <w:rPr>
          <w:rStyle w:val="bibfname"/>
          <w:rFonts w:eastAsiaTheme="minorEastAsia"/>
          <w:sz w:val="17"/>
          <w:szCs w:val="17"/>
          <w:shd w:val="clear" w:color="auto" w:fill="auto"/>
        </w:rPr>
        <w:t>M</w:t>
      </w:r>
      <w:r w:rsidRPr="00E6565C">
        <w:rPr>
          <w:szCs w:val="17"/>
        </w:rPr>
        <w:t xml:space="preserve">, </w:t>
      </w:r>
      <w:r w:rsidRPr="00E6565C">
        <w:rPr>
          <w:rStyle w:val="bibsurname"/>
          <w:rFonts w:eastAsiaTheme="minorEastAsia"/>
          <w:sz w:val="17"/>
          <w:szCs w:val="17"/>
          <w:shd w:val="clear" w:color="auto" w:fill="auto"/>
        </w:rPr>
        <w:t>Jamrozy</w:t>
      </w:r>
      <w:r w:rsidRPr="00E6565C">
        <w:rPr>
          <w:szCs w:val="17"/>
        </w:rPr>
        <w:t xml:space="preserve"> </w:t>
      </w:r>
      <w:r w:rsidRPr="00E6565C">
        <w:rPr>
          <w:rStyle w:val="bibfname"/>
          <w:rFonts w:eastAsiaTheme="minorEastAsia"/>
          <w:sz w:val="17"/>
          <w:szCs w:val="17"/>
          <w:shd w:val="clear" w:color="auto" w:fill="auto"/>
        </w:rPr>
        <w:t>D</w:t>
      </w:r>
      <w:r w:rsidRPr="00E6565C">
        <w:rPr>
          <w:szCs w:val="17"/>
        </w:rPr>
        <w:t xml:space="preserve">, </w:t>
      </w:r>
      <w:r w:rsidRPr="00E6565C">
        <w:rPr>
          <w:rStyle w:val="bibsurname"/>
          <w:rFonts w:eastAsiaTheme="minorEastAsia"/>
          <w:sz w:val="17"/>
          <w:szCs w:val="17"/>
          <w:shd w:val="clear" w:color="auto" w:fill="auto"/>
        </w:rPr>
        <w:t>Mushtaq</w:t>
      </w:r>
      <w:r w:rsidRPr="00E6565C">
        <w:rPr>
          <w:szCs w:val="17"/>
        </w:rPr>
        <w:t xml:space="preserve"> </w:t>
      </w:r>
      <w:r w:rsidRPr="00E6565C">
        <w:rPr>
          <w:rStyle w:val="bibfname"/>
          <w:rFonts w:eastAsiaTheme="minorEastAsia"/>
          <w:sz w:val="17"/>
          <w:szCs w:val="17"/>
          <w:shd w:val="clear" w:color="auto" w:fill="auto"/>
        </w:rPr>
        <w:t>S</w:t>
      </w:r>
      <w:r w:rsidRPr="00E6565C">
        <w:rPr>
          <w:szCs w:val="17"/>
        </w:rPr>
        <w:t xml:space="preserve">, </w:t>
      </w:r>
      <w:r w:rsidRPr="00E6565C">
        <w:rPr>
          <w:rStyle w:val="bibsurname"/>
          <w:rFonts w:eastAsiaTheme="minorEastAsia"/>
          <w:sz w:val="17"/>
          <w:szCs w:val="17"/>
          <w:shd w:val="clear" w:color="auto" w:fill="auto"/>
        </w:rPr>
        <w:t>Nichols</w:t>
      </w:r>
      <w:r w:rsidRPr="00E6565C">
        <w:rPr>
          <w:szCs w:val="17"/>
        </w:rPr>
        <w:t xml:space="preserve"> </w:t>
      </w:r>
      <w:r w:rsidRPr="00E6565C">
        <w:rPr>
          <w:rStyle w:val="bibfname"/>
          <w:rFonts w:eastAsiaTheme="minorEastAsia"/>
          <w:sz w:val="17"/>
          <w:szCs w:val="17"/>
          <w:shd w:val="clear" w:color="auto" w:fill="auto"/>
        </w:rPr>
        <w:t>WW</w:t>
      </w:r>
      <w:r w:rsidRPr="00E6565C">
        <w:rPr>
          <w:szCs w:val="17"/>
        </w:rPr>
        <w:t xml:space="preserve">, </w:t>
      </w:r>
      <w:r w:rsidRPr="00E6565C">
        <w:rPr>
          <w:rStyle w:val="bibsurname"/>
          <w:rFonts w:eastAsiaTheme="minorEastAsia"/>
          <w:sz w:val="17"/>
          <w:szCs w:val="17"/>
          <w:shd w:val="clear" w:color="auto" w:fill="auto"/>
        </w:rPr>
        <w:t>Mustafa</w:t>
      </w:r>
      <w:r w:rsidRPr="00E6565C">
        <w:rPr>
          <w:szCs w:val="17"/>
        </w:rPr>
        <w:t xml:space="preserve"> </w:t>
      </w:r>
      <w:r w:rsidRPr="00E6565C">
        <w:rPr>
          <w:rStyle w:val="bibfname"/>
          <w:rFonts w:eastAsiaTheme="minorEastAsia"/>
          <w:sz w:val="17"/>
          <w:szCs w:val="17"/>
          <w:shd w:val="clear" w:color="auto" w:fill="auto"/>
        </w:rPr>
        <w:t>N</w:t>
      </w:r>
      <w:r w:rsidRPr="00E6565C">
        <w:rPr>
          <w:szCs w:val="17"/>
        </w:rPr>
        <w:t xml:space="preserve">, </w:t>
      </w:r>
      <w:r w:rsidRPr="00E6565C">
        <w:rPr>
          <w:rStyle w:val="bibetal"/>
          <w:rFonts w:eastAsiaTheme="minorEastAsia"/>
          <w:sz w:val="17"/>
          <w:szCs w:val="17"/>
          <w:shd w:val="clear" w:color="auto" w:fill="auto"/>
        </w:rPr>
        <w:t>et al.</w:t>
      </w:r>
      <w:r w:rsidRPr="00E6565C">
        <w:rPr>
          <w:szCs w:val="17"/>
        </w:rPr>
        <w:t xml:space="preserve"> </w:t>
      </w:r>
      <w:r w:rsidRPr="00E6565C">
        <w:rPr>
          <w:rStyle w:val="bibarticle"/>
          <w:rFonts w:eastAsiaTheme="minorEastAsia"/>
          <w:i/>
          <w:sz w:val="17"/>
          <w:szCs w:val="17"/>
          <w:shd w:val="clear" w:color="auto" w:fill="auto"/>
        </w:rPr>
        <w:t>In vitro</w:t>
      </w:r>
      <w:r w:rsidRPr="00E6565C">
        <w:rPr>
          <w:rStyle w:val="bibarticle"/>
          <w:rFonts w:eastAsiaTheme="minorEastAsia"/>
          <w:sz w:val="17"/>
          <w:szCs w:val="17"/>
          <w:shd w:val="clear" w:color="auto" w:fill="auto"/>
        </w:rPr>
        <w:t xml:space="preserve"> selection of ceftazidime</w:t>
      </w:r>
      <w:r w:rsidR="004179FD">
        <w:rPr>
          <w:rStyle w:val="bibarticle"/>
          <w:rFonts w:eastAsiaTheme="minorEastAsia"/>
          <w:sz w:val="17"/>
          <w:szCs w:val="17"/>
          <w:shd w:val="clear" w:color="auto" w:fill="auto"/>
        </w:rPr>
        <w:t>–</w:t>
      </w:r>
      <w:r w:rsidRPr="00E6565C">
        <w:rPr>
          <w:rStyle w:val="bibarticle"/>
          <w:rFonts w:eastAsiaTheme="minorEastAsia"/>
          <w:sz w:val="17"/>
          <w:szCs w:val="17"/>
          <w:shd w:val="clear" w:color="auto" w:fill="auto"/>
        </w:rPr>
        <w:t xml:space="preserve">avibactam resistance in </w:t>
      </w:r>
      <w:r w:rsidRPr="00E6565C">
        <w:rPr>
          <w:rStyle w:val="bibarticle"/>
          <w:rFonts w:eastAsiaTheme="minorEastAsia"/>
          <w:i/>
          <w:sz w:val="17"/>
          <w:szCs w:val="17"/>
          <w:shd w:val="clear" w:color="auto" w:fill="auto"/>
        </w:rPr>
        <w:t>Enterobacteriaceae</w:t>
      </w:r>
      <w:r w:rsidRPr="00E6565C">
        <w:rPr>
          <w:rStyle w:val="bibarticle"/>
          <w:rFonts w:eastAsiaTheme="minorEastAsia"/>
          <w:sz w:val="17"/>
          <w:szCs w:val="17"/>
          <w:shd w:val="clear" w:color="auto" w:fill="auto"/>
        </w:rPr>
        <w:t xml:space="preserve"> with KPC-3 carbapenemase.</w:t>
      </w:r>
      <w:r w:rsidRPr="00E6565C">
        <w:rPr>
          <w:szCs w:val="17"/>
        </w:rPr>
        <w:t xml:space="preserve"> </w:t>
      </w:r>
      <w:r w:rsidRPr="00E6565C">
        <w:rPr>
          <w:rStyle w:val="bibjournal"/>
          <w:rFonts w:eastAsiaTheme="minorEastAsia"/>
          <w:sz w:val="17"/>
          <w:szCs w:val="17"/>
          <w:shd w:val="clear" w:color="auto" w:fill="auto"/>
        </w:rPr>
        <w:t>Antimicrob Agents Chemother</w:t>
      </w:r>
      <w:r w:rsidRPr="00E6565C">
        <w:rPr>
          <w:szCs w:val="17"/>
        </w:rPr>
        <w:t xml:space="preserve"> </w:t>
      </w:r>
      <w:r w:rsidRPr="00E6565C">
        <w:rPr>
          <w:rStyle w:val="bibyear"/>
          <w:rFonts w:eastAsiaTheme="minorEastAsia"/>
          <w:sz w:val="17"/>
          <w:szCs w:val="17"/>
          <w:shd w:val="clear" w:color="auto" w:fill="auto"/>
        </w:rPr>
        <w:t>2015</w:t>
      </w:r>
      <w:r w:rsidRPr="00E6565C">
        <w:rPr>
          <w:szCs w:val="17"/>
        </w:rPr>
        <w:t>;</w:t>
      </w:r>
      <w:r w:rsidRPr="00E6565C">
        <w:rPr>
          <w:rStyle w:val="bibvolume"/>
          <w:rFonts w:eastAsiaTheme="minorEastAsia"/>
          <w:sz w:val="17"/>
          <w:szCs w:val="17"/>
          <w:shd w:val="clear" w:color="auto" w:fill="auto"/>
        </w:rPr>
        <w:t>59</w:t>
      </w:r>
      <w:r w:rsidRPr="00E6565C">
        <w:rPr>
          <w:szCs w:val="17"/>
        </w:rPr>
        <w:t>(</w:t>
      </w:r>
      <w:r w:rsidRPr="00E6565C">
        <w:rPr>
          <w:rStyle w:val="bibissue"/>
          <w:rFonts w:eastAsiaTheme="minorEastAsia"/>
          <w:sz w:val="17"/>
          <w:szCs w:val="17"/>
          <w:shd w:val="clear" w:color="auto" w:fill="auto"/>
        </w:rPr>
        <w:t>9</w:t>
      </w:r>
      <w:r w:rsidRPr="00E6565C">
        <w:rPr>
          <w:szCs w:val="17"/>
        </w:rPr>
        <w:t>):</w:t>
      </w:r>
      <w:r w:rsidRPr="00E6565C">
        <w:rPr>
          <w:rStyle w:val="bibfpage"/>
          <w:rFonts w:eastAsiaTheme="minorEastAsia"/>
          <w:sz w:val="17"/>
          <w:szCs w:val="17"/>
          <w:shd w:val="clear" w:color="auto" w:fill="auto"/>
        </w:rPr>
        <w:t>5324</w:t>
      </w:r>
      <w:r w:rsidRPr="00E6565C">
        <w:rPr>
          <w:szCs w:val="17"/>
        </w:rPr>
        <w:t>–</w:t>
      </w:r>
      <w:r w:rsidRPr="00E6565C">
        <w:rPr>
          <w:rStyle w:val="biblpage"/>
          <w:rFonts w:eastAsiaTheme="minorEastAsia"/>
          <w:sz w:val="17"/>
          <w:szCs w:val="17"/>
          <w:shd w:val="clear" w:color="auto" w:fill="auto"/>
        </w:rPr>
        <w:t>30.</w:t>
      </w:r>
      <w:r w:rsidRPr="00E6565C">
        <w:rPr>
          <w:szCs w:val="17"/>
        </w:rPr>
        <w:t xml:space="preserve"> </w:t>
      </w:r>
    </w:p>
    <w:p w14:paraId="5B9C21EA" w14:textId="77777777" w:rsidR="00AA4FB2" w:rsidRPr="00E6565C" w:rsidRDefault="00AA4FB2" w:rsidP="00AA4FB2">
      <w:pPr>
        <w:pStyle w:val="hreference"/>
        <w:rPr>
          <w:szCs w:val="17"/>
        </w:rPr>
      </w:pPr>
      <w:r w:rsidRPr="00E6565C">
        <w:rPr>
          <w:szCs w:val="17"/>
        </w:rPr>
        <w:t>[</w:t>
      </w:r>
      <w:r w:rsidRPr="00E6565C">
        <w:rPr>
          <w:rStyle w:val="bibnumber"/>
          <w:rFonts w:eastAsiaTheme="minorEastAsia"/>
          <w:sz w:val="17"/>
          <w:szCs w:val="17"/>
          <w:shd w:val="clear" w:color="auto" w:fill="auto"/>
        </w:rPr>
        <w:t>2</w:t>
      </w:r>
      <w:r w:rsidRPr="00E6565C">
        <w:rPr>
          <w:szCs w:val="17"/>
        </w:rPr>
        <w:t>]</w:t>
      </w:r>
      <w:r w:rsidRPr="00E6565C">
        <w:rPr>
          <w:szCs w:val="17"/>
        </w:rPr>
        <w:tab/>
      </w:r>
      <w:r w:rsidRPr="00E6565C">
        <w:rPr>
          <w:rStyle w:val="bibsurname"/>
          <w:rFonts w:eastAsiaTheme="minorEastAsia"/>
          <w:sz w:val="17"/>
          <w:szCs w:val="17"/>
          <w:shd w:val="clear" w:color="auto" w:fill="auto"/>
        </w:rPr>
        <w:t>Winkler</w:t>
      </w:r>
      <w:r w:rsidRPr="00E6565C">
        <w:rPr>
          <w:szCs w:val="17"/>
        </w:rPr>
        <w:t xml:space="preserve"> </w:t>
      </w:r>
      <w:r w:rsidRPr="00E6565C">
        <w:rPr>
          <w:rStyle w:val="bibfname"/>
          <w:rFonts w:eastAsiaTheme="minorEastAsia"/>
          <w:sz w:val="17"/>
          <w:szCs w:val="17"/>
          <w:shd w:val="clear" w:color="auto" w:fill="auto"/>
        </w:rPr>
        <w:t>ML</w:t>
      </w:r>
      <w:r w:rsidRPr="00E6565C">
        <w:rPr>
          <w:szCs w:val="17"/>
        </w:rPr>
        <w:t xml:space="preserve">, </w:t>
      </w:r>
      <w:r w:rsidRPr="00E6565C">
        <w:rPr>
          <w:rStyle w:val="bibsurname"/>
          <w:rFonts w:eastAsiaTheme="minorEastAsia"/>
          <w:sz w:val="17"/>
          <w:szCs w:val="17"/>
          <w:shd w:val="clear" w:color="auto" w:fill="auto"/>
        </w:rPr>
        <w:t>Papp-Wallace</w:t>
      </w:r>
      <w:r w:rsidRPr="00E6565C">
        <w:rPr>
          <w:szCs w:val="17"/>
        </w:rPr>
        <w:t xml:space="preserve"> </w:t>
      </w:r>
      <w:r w:rsidRPr="00E6565C">
        <w:rPr>
          <w:rStyle w:val="bibfname"/>
          <w:rFonts w:eastAsiaTheme="minorEastAsia"/>
          <w:sz w:val="17"/>
          <w:szCs w:val="17"/>
          <w:shd w:val="clear" w:color="auto" w:fill="auto"/>
        </w:rPr>
        <w:t>KM</w:t>
      </w:r>
      <w:r w:rsidRPr="00E6565C">
        <w:rPr>
          <w:szCs w:val="17"/>
        </w:rPr>
        <w:t xml:space="preserve">, </w:t>
      </w:r>
      <w:r w:rsidRPr="00E6565C">
        <w:rPr>
          <w:rStyle w:val="bibsurname"/>
          <w:rFonts w:eastAsiaTheme="minorEastAsia"/>
          <w:sz w:val="17"/>
          <w:szCs w:val="17"/>
          <w:shd w:val="clear" w:color="auto" w:fill="auto"/>
        </w:rPr>
        <w:t>Bonomo</w:t>
      </w:r>
      <w:r w:rsidRPr="00E6565C">
        <w:rPr>
          <w:szCs w:val="17"/>
        </w:rPr>
        <w:t xml:space="preserve"> </w:t>
      </w:r>
      <w:r w:rsidRPr="00E6565C">
        <w:rPr>
          <w:rStyle w:val="bibfname"/>
          <w:rFonts w:eastAsiaTheme="minorEastAsia"/>
          <w:sz w:val="17"/>
          <w:szCs w:val="17"/>
          <w:shd w:val="clear" w:color="auto" w:fill="auto"/>
        </w:rPr>
        <w:t>RA</w:t>
      </w:r>
      <w:r w:rsidRPr="00E6565C">
        <w:rPr>
          <w:szCs w:val="17"/>
        </w:rPr>
        <w:t xml:space="preserve">. </w:t>
      </w:r>
      <w:r w:rsidRPr="00E6565C">
        <w:rPr>
          <w:rStyle w:val="bibarticle"/>
          <w:rFonts w:eastAsiaTheme="minorEastAsia"/>
          <w:sz w:val="17"/>
          <w:szCs w:val="17"/>
          <w:shd w:val="clear" w:color="auto" w:fill="auto"/>
        </w:rPr>
        <w:t xml:space="preserve">Activity of ceftazidime/avibactam against isogenic strains of </w:t>
      </w:r>
      <w:r w:rsidRPr="00E6565C">
        <w:rPr>
          <w:rStyle w:val="bibarticle"/>
          <w:rFonts w:eastAsiaTheme="minorEastAsia"/>
          <w:i/>
          <w:sz w:val="17"/>
          <w:szCs w:val="17"/>
          <w:shd w:val="clear" w:color="auto" w:fill="auto"/>
        </w:rPr>
        <w:t>Escherichia coli</w:t>
      </w:r>
      <w:r w:rsidRPr="00E6565C">
        <w:rPr>
          <w:rStyle w:val="bibarticle"/>
          <w:rFonts w:eastAsiaTheme="minorEastAsia"/>
          <w:sz w:val="17"/>
          <w:szCs w:val="17"/>
          <w:shd w:val="clear" w:color="auto" w:fill="auto"/>
        </w:rPr>
        <w:t xml:space="preserve"> containing KPC and SHV </w:t>
      </w:r>
      <w:r w:rsidRPr="004179FD">
        <w:rPr>
          <w:rStyle w:val="bibarticle"/>
          <w:rFonts w:eastAsia="Times New Roman"/>
          <w:sz w:val="17"/>
          <w:szCs w:val="17"/>
          <w:shd w:val="clear" w:color="auto" w:fill="auto"/>
        </w:rPr>
        <w:t>β</w:t>
      </w:r>
      <w:r w:rsidRPr="00E6565C">
        <w:rPr>
          <w:rStyle w:val="bibarticle"/>
          <w:rFonts w:eastAsiaTheme="minorEastAsia"/>
          <w:sz w:val="17"/>
          <w:szCs w:val="17"/>
          <w:shd w:val="clear" w:color="auto" w:fill="auto"/>
        </w:rPr>
        <w:t xml:space="preserve">-lactamases with single amino acid substitutions in the </w:t>
      </w:r>
      <w:r w:rsidRPr="00E6565C">
        <w:rPr>
          <w:rStyle w:val="bibarticle"/>
          <w:rFonts w:eastAsia="Times New Roman"/>
          <w:sz w:val="17"/>
          <w:szCs w:val="17"/>
          <w:shd w:val="clear" w:color="auto" w:fill="auto"/>
        </w:rPr>
        <w:t>Ω</w:t>
      </w:r>
      <w:r w:rsidRPr="00E6565C">
        <w:rPr>
          <w:rStyle w:val="bibarticle"/>
          <w:rFonts w:eastAsiaTheme="minorEastAsia"/>
          <w:sz w:val="17"/>
          <w:szCs w:val="17"/>
          <w:shd w:val="clear" w:color="auto" w:fill="auto"/>
        </w:rPr>
        <w:t>-loop.</w:t>
      </w:r>
      <w:r w:rsidRPr="00E6565C">
        <w:rPr>
          <w:szCs w:val="17"/>
        </w:rPr>
        <w:t xml:space="preserve"> </w:t>
      </w:r>
      <w:r w:rsidRPr="00E6565C">
        <w:rPr>
          <w:rStyle w:val="bibjournal"/>
          <w:rFonts w:eastAsiaTheme="minorEastAsia"/>
          <w:sz w:val="17"/>
          <w:szCs w:val="17"/>
          <w:shd w:val="clear" w:color="auto" w:fill="auto"/>
        </w:rPr>
        <w:t>J Antimicrob Chemother</w:t>
      </w:r>
      <w:r w:rsidRPr="00E6565C">
        <w:rPr>
          <w:szCs w:val="17"/>
        </w:rPr>
        <w:t xml:space="preserve"> </w:t>
      </w:r>
      <w:r w:rsidRPr="00E6565C">
        <w:rPr>
          <w:rStyle w:val="bibyear"/>
          <w:rFonts w:eastAsiaTheme="minorEastAsia"/>
          <w:sz w:val="17"/>
          <w:szCs w:val="17"/>
          <w:shd w:val="clear" w:color="auto" w:fill="auto"/>
        </w:rPr>
        <w:t>2015</w:t>
      </w:r>
      <w:r w:rsidRPr="00E6565C">
        <w:rPr>
          <w:szCs w:val="17"/>
        </w:rPr>
        <w:t>;</w:t>
      </w:r>
      <w:r w:rsidRPr="00E6565C">
        <w:rPr>
          <w:rStyle w:val="bibvolume"/>
          <w:rFonts w:eastAsiaTheme="minorEastAsia"/>
          <w:sz w:val="17"/>
          <w:szCs w:val="17"/>
          <w:shd w:val="clear" w:color="auto" w:fill="auto"/>
        </w:rPr>
        <w:t>70</w:t>
      </w:r>
      <w:r w:rsidRPr="00E6565C">
        <w:rPr>
          <w:szCs w:val="17"/>
        </w:rPr>
        <w:t>(</w:t>
      </w:r>
      <w:r w:rsidRPr="00E6565C">
        <w:rPr>
          <w:rStyle w:val="bibissue"/>
          <w:rFonts w:eastAsiaTheme="minorEastAsia"/>
          <w:sz w:val="17"/>
          <w:szCs w:val="17"/>
          <w:shd w:val="clear" w:color="auto" w:fill="auto"/>
        </w:rPr>
        <w:t>8</w:t>
      </w:r>
      <w:r w:rsidRPr="00E6565C">
        <w:rPr>
          <w:szCs w:val="17"/>
        </w:rPr>
        <w:t>):</w:t>
      </w:r>
      <w:r w:rsidRPr="00E6565C">
        <w:rPr>
          <w:rStyle w:val="bibfpage"/>
          <w:rFonts w:eastAsiaTheme="minorEastAsia"/>
          <w:sz w:val="17"/>
          <w:szCs w:val="17"/>
          <w:shd w:val="clear" w:color="auto" w:fill="auto"/>
        </w:rPr>
        <w:t>2279</w:t>
      </w:r>
      <w:r w:rsidRPr="00E6565C">
        <w:rPr>
          <w:szCs w:val="17"/>
        </w:rPr>
        <w:t>–</w:t>
      </w:r>
      <w:r w:rsidRPr="00E6565C">
        <w:rPr>
          <w:rStyle w:val="biblpage"/>
          <w:rFonts w:eastAsiaTheme="minorEastAsia"/>
          <w:sz w:val="17"/>
          <w:szCs w:val="17"/>
          <w:shd w:val="clear" w:color="auto" w:fill="auto"/>
        </w:rPr>
        <w:t>86.</w:t>
      </w:r>
      <w:r w:rsidRPr="00E6565C">
        <w:rPr>
          <w:szCs w:val="17"/>
        </w:rPr>
        <w:t xml:space="preserve"> </w:t>
      </w:r>
    </w:p>
    <w:p w14:paraId="0FCDF7E2" w14:textId="60474216" w:rsidR="00AA4FB2" w:rsidRPr="00E6565C" w:rsidRDefault="00AA4FB2" w:rsidP="00AA4FB2">
      <w:pPr>
        <w:pStyle w:val="hreference"/>
        <w:rPr>
          <w:szCs w:val="17"/>
        </w:rPr>
      </w:pPr>
      <w:r w:rsidRPr="00E6565C">
        <w:rPr>
          <w:szCs w:val="17"/>
        </w:rPr>
        <w:t>[</w:t>
      </w:r>
      <w:r w:rsidRPr="00E6565C">
        <w:rPr>
          <w:rStyle w:val="bibnumber"/>
          <w:rFonts w:eastAsiaTheme="minorEastAsia"/>
          <w:sz w:val="17"/>
          <w:szCs w:val="17"/>
          <w:shd w:val="clear" w:color="auto" w:fill="auto"/>
        </w:rPr>
        <w:t>3</w:t>
      </w:r>
      <w:r w:rsidRPr="00E6565C">
        <w:rPr>
          <w:szCs w:val="17"/>
        </w:rPr>
        <w:t>]</w:t>
      </w:r>
      <w:r w:rsidRPr="00E6565C">
        <w:rPr>
          <w:szCs w:val="17"/>
        </w:rPr>
        <w:tab/>
      </w:r>
      <w:r w:rsidRPr="00E6565C">
        <w:rPr>
          <w:rStyle w:val="bibsurname"/>
          <w:rFonts w:eastAsiaTheme="minorEastAsia"/>
          <w:sz w:val="17"/>
          <w:szCs w:val="17"/>
          <w:shd w:val="clear" w:color="auto" w:fill="auto"/>
        </w:rPr>
        <w:t>Compain</w:t>
      </w:r>
      <w:r w:rsidRPr="00E6565C">
        <w:rPr>
          <w:szCs w:val="17"/>
        </w:rPr>
        <w:t xml:space="preserve"> </w:t>
      </w:r>
      <w:r w:rsidRPr="00E6565C">
        <w:rPr>
          <w:rStyle w:val="bibfname"/>
          <w:rFonts w:eastAsiaTheme="minorEastAsia"/>
          <w:sz w:val="17"/>
          <w:szCs w:val="17"/>
          <w:shd w:val="clear" w:color="auto" w:fill="auto"/>
        </w:rPr>
        <w:t>F</w:t>
      </w:r>
      <w:r w:rsidRPr="00E6565C">
        <w:rPr>
          <w:szCs w:val="17"/>
        </w:rPr>
        <w:t xml:space="preserve">, </w:t>
      </w:r>
      <w:r w:rsidRPr="00E6565C">
        <w:rPr>
          <w:rStyle w:val="bibsurname"/>
          <w:rFonts w:eastAsiaTheme="minorEastAsia"/>
          <w:sz w:val="17"/>
          <w:szCs w:val="17"/>
          <w:shd w:val="clear" w:color="auto" w:fill="auto"/>
        </w:rPr>
        <w:t>Dorchène</w:t>
      </w:r>
      <w:r w:rsidRPr="00E6565C">
        <w:rPr>
          <w:szCs w:val="17"/>
        </w:rPr>
        <w:t xml:space="preserve"> </w:t>
      </w:r>
      <w:r w:rsidRPr="00E6565C">
        <w:rPr>
          <w:rStyle w:val="bibfname"/>
          <w:rFonts w:eastAsiaTheme="minorEastAsia"/>
          <w:sz w:val="17"/>
          <w:szCs w:val="17"/>
          <w:shd w:val="clear" w:color="auto" w:fill="auto"/>
        </w:rPr>
        <w:t>D</w:t>
      </w:r>
      <w:r w:rsidRPr="00E6565C">
        <w:rPr>
          <w:szCs w:val="17"/>
        </w:rPr>
        <w:t xml:space="preserve">, </w:t>
      </w:r>
      <w:r w:rsidRPr="00E6565C">
        <w:rPr>
          <w:rStyle w:val="bibsurname"/>
          <w:rFonts w:eastAsiaTheme="minorEastAsia"/>
          <w:sz w:val="17"/>
          <w:szCs w:val="17"/>
          <w:shd w:val="clear" w:color="auto" w:fill="auto"/>
        </w:rPr>
        <w:t>Arthur</w:t>
      </w:r>
      <w:r w:rsidRPr="00E6565C">
        <w:rPr>
          <w:szCs w:val="17"/>
        </w:rPr>
        <w:t xml:space="preserve"> </w:t>
      </w:r>
      <w:r w:rsidRPr="00E6565C">
        <w:rPr>
          <w:rStyle w:val="bibfname"/>
          <w:rFonts w:eastAsiaTheme="minorEastAsia"/>
          <w:sz w:val="17"/>
          <w:szCs w:val="17"/>
          <w:shd w:val="clear" w:color="auto" w:fill="auto"/>
        </w:rPr>
        <w:t>M</w:t>
      </w:r>
      <w:r w:rsidRPr="00E6565C">
        <w:rPr>
          <w:szCs w:val="17"/>
        </w:rPr>
        <w:t xml:space="preserve">. </w:t>
      </w:r>
      <w:r w:rsidRPr="00E6565C">
        <w:rPr>
          <w:rStyle w:val="bibarticle"/>
          <w:rFonts w:eastAsiaTheme="minorEastAsia"/>
          <w:sz w:val="17"/>
          <w:szCs w:val="17"/>
          <w:shd w:val="clear" w:color="auto" w:fill="auto"/>
        </w:rPr>
        <w:t>Combination of amino acid substitutions leading to CTX-M-15-mediated resistance to the ceftazidime</w:t>
      </w:r>
      <w:r w:rsidR="004179FD">
        <w:rPr>
          <w:rStyle w:val="bibarticle"/>
          <w:rFonts w:eastAsiaTheme="minorEastAsia"/>
          <w:sz w:val="17"/>
          <w:szCs w:val="17"/>
          <w:shd w:val="clear" w:color="auto" w:fill="auto"/>
        </w:rPr>
        <w:t>–</w:t>
      </w:r>
      <w:r w:rsidRPr="00E6565C">
        <w:rPr>
          <w:rStyle w:val="bibarticle"/>
          <w:rFonts w:eastAsiaTheme="minorEastAsia"/>
          <w:sz w:val="17"/>
          <w:szCs w:val="17"/>
          <w:shd w:val="clear" w:color="auto" w:fill="auto"/>
        </w:rPr>
        <w:t>avibactam combination.</w:t>
      </w:r>
      <w:r w:rsidRPr="00E6565C">
        <w:rPr>
          <w:szCs w:val="17"/>
        </w:rPr>
        <w:t xml:space="preserve"> </w:t>
      </w:r>
      <w:r w:rsidRPr="00E6565C">
        <w:rPr>
          <w:rStyle w:val="bibjournal"/>
          <w:rFonts w:eastAsiaTheme="minorEastAsia"/>
          <w:sz w:val="17"/>
          <w:szCs w:val="17"/>
          <w:shd w:val="clear" w:color="auto" w:fill="auto"/>
        </w:rPr>
        <w:t>Antimicrob Agents Chemother</w:t>
      </w:r>
      <w:r w:rsidRPr="00E6565C">
        <w:rPr>
          <w:szCs w:val="17"/>
        </w:rPr>
        <w:t xml:space="preserve"> </w:t>
      </w:r>
      <w:r w:rsidRPr="00E6565C">
        <w:rPr>
          <w:rStyle w:val="bibyear"/>
          <w:rFonts w:eastAsiaTheme="minorEastAsia"/>
          <w:sz w:val="17"/>
          <w:szCs w:val="17"/>
          <w:shd w:val="clear" w:color="auto" w:fill="auto"/>
        </w:rPr>
        <w:t>2018</w:t>
      </w:r>
      <w:r w:rsidRPr="00E6565C">
        <w:rPr>
          <w:szCs w:val="17"/>
        </w:rPr>
        <w:t>;</w:t>
      </w:r>
      <w:r w:rsidRPr="00E6565C">
        <w:rPr>
          <w:rStyle w:val="bibvolume"/>
          <w:rFonts w:eastAsiaTheme="minorEastAsia"/>
          <w:sz w:val="17"/>
          <w:szCs w:val="17"/>
          <w:shd w:val="clear" w:color="auto" w:fill="auto"/>
        </w:rPr>
        <w:t>62</w:t>
      </w:r>
      <w:r w:rsidRPr="00E6565C">
        <w:rPr>
          <w:szCs w:val="17"/>
        </w:rPr>
        <w:t>(</w:t>
      </w:r>
      <w:r w:rsidRPr="00E6565C">
        <w:rPr>
          <w:rStyle w:val="bibissue"/>
          <w:rFonts w:eastAsiaTheme="minorEastAsia"/>
          <w:sz w:val="17"/>
          <w:szCs w:val="17"/>
          <w:shd w:val="clear" w:color="auto" w:fill="auto"/>
        </w:rPr>
        <w:t>9</w:t>
      </w:r>
      <w:r w:rsidRPr="00E6565C">
        <w:rPr>
          <w:szCs w:val="17"/>
        </w:rPr>
        <w:t>):</w:t>
      </w:r>
      <w:r w:rsidRPr="00E6565C">
        <w:rPr>
          <w:rStyle w:val="bibfpage"/>
          <w:rFonts w:eastAsiaTheme="minorEastAsia"/>
          <w:sz w:val="17"/>
          <w:szCs w:val="17"/>
          <w:shd w:val="clear" w:color="auto" w:fill="auto"/>
        </w:rPr>
        <w:t>e00357</w:t>
      </w:r>
      <w:r w:rsidRPr="00E6565C">
        <w:rPr>
          <w:szCs w:val="17"/>
        </w:rPr>
        <w:t>–</w:t>
      </w:r>
      <w:r w:rsidRPr="00E6565C">
        <w:rPr>
          <w:rStyle w:val="biblpage"/>
          <w:rFonts w:eastAsiaTheme="minorEastAsia"/>
          <w:sz w:val="17"/>
          <w:szCs w:val="17"/>
          <w:shd w:val="clear" w:color="auto" w:fill="auto"/>
        </w:rPr>
        <w:t>18.</w:t>
      </w:r>
      <w:r w:rsidRPr="00E6565C">
        <w:rPr>
          <w:szCs w:val="17"/>
        </w:rPr>
        <w:t xml:space="preserve"> </w:t>
      </w:r>
    </w:p>
    <w:p w14:paraId="6BAB65D3" w14:textId="77777777" w:rsidR="00AA4FB2" w:rsidRPr="00E6565C" w:rsidRDefault="00AA4FB2" w:rsidP="00AA4FB2">
      <w:pPr>
        <w:pStyle w:val="hreference"/>
        <w:rPr>
          <w:szCs w:val="17"/>
        </w:rPr>
      </w:pPr>
      <w:r w:rsidRPr="00E6565C">
        <w:rPr>
          <w:szCs w:val="17"/>
        </w:rPr>
        <w:t>[</w:t>
      </w:r>
      <w:r w:rsidRPr="00E6565C">
        <w:rPr>
          <w:rStyle w:val="bibnumber"/>
          <w:rFonts w:eastAsiaTheme="minorEastAsia"/>
          <w:sz w:val="17"/>
          <w:szCs w:val="17"/>
          <w:shd w:val="clear" w:color="auto" w:fill="auto"/>
        </w:rPr>
        <w:t>4</w:t>
      </w:r>
      <w:r w:rsidRPr="00E6565C">
        <w:rPr>
          <w:szCs w:val="17"/>
        </w:rPr>
        <w:t>]</w:t>
      </w:r>
      <w:r w:rsidRPr="00E6565C">
        <w:rPr>
          <w:szCs w:val="17"/>
        </w:rPr>
        <w:tab/>
      </w:r>
      <w:r w:rsidRPr="00E6565C">
        <w:rPr>
          <w:rStyle w:val="bibsurname"/>
          <w:rFonts w:eastAsiaTheme="minorEastAsia"/>
          <w:sz w:val="17"/>
          <w:szCs w:val="17"/>
          <w:shd w:val="clear" w:color="auto" w:fill="auto"/>
        </w:rPr>
        <w:t>Livermore</w:t>
      </w:r>
      <w:r w:rsidRPr="00E6565C">
        <w:rPr>
          <w:szCs w:val="17"/>
        </w:rPr>
        <w:t xml:space="preserve"> </w:t>
      </w:r>
      <w:r w:rsidRPr="00E6565C">
        <w:rPr>
          <w:rStyle w:val="bibfname"/>
          <w:rFonts w:eastAsiaTheme="minorEastAsia"/>
          <w:sz w:val="17"/>
          <w:szCs w:val="17"/>
          <w:shd w:val="clear" w:color="auto" w:fill="auto"/>
        </w:rPr>
        <w:t>DM</w:t>
      </w:r>
      <w:r w:rsidRPr="00E6565C">
        <w:rPr>
          <w:szCs w:val="17"/>
        </w:rPr>
        <w:t xml:space="preserve">, </w:t>
      </w:r>
      <w:r w:rsidRPr="00E6565C">
        <w:rPr>
          <w:rStyle w:val="bibsurname"/>
          <w:rFonts w:eastAsiaTheme="minorEastAsia"/>
          <w:sz w:val="17"/>
          <w:szCs w:val="17"/>
          <w:shd w:val="clear" w:color="auto" w:fill="auto"/>
        </w:rPr>
        <w:t>Mushtaq</w:t>
      </w:r>
      <w:r w:rsidRPr="00E6565C">
        <w:rPr>
          <w:szCs w:val="17"/>
        </w:rPr>
        <w:t xml:space="preserve"> </w:t>
      </w:r>
      <w:r w:rsidRPr="00E6565C">
        <w:rPr>
          <w:rStyle w:val="bibfname"/>
          <w:rFonts w:eastAsiaTheme="minorEastAsia"/>
          <w:sz w:val="17"/>
          <w:szCs w:val="17"/>
          <w:shd w:val="clear" w:color="auto" w:fill="auto"/>
        </w:rPr>
        <w:t>S</w:t>
      </w:r>
      <w:r w:rsidRPr="00E6565C">
        <w:rPr>
          <w:szCs w:val="17"/>
        </w:rPr>
        <w:t xml:space="preserve">, </w:t>
      </w:r>
      <w:r w:rsidRPr="00E6565C">
        <w:rPr>
          <w:rStyle w:val="bibsurname"/>
          <w:rFonts w:eastAsiaTheme="minorEastAsia"/>
          <w:sz w:val="17"/>
          <w:szCs w:val="17"/>
          <w:shd w:val="clear" w:color="auto" w:fill="auto"/>
        </w:rPr>
        <w:t>Doumith</w:t>
      </w:r>
      <w:r w:rsidRPr="00E6565C">
        <w:rPr>
          <w:szCs w:val="17"/>
        </w:rPr>
        <w:t xml:space="preserve"> </w:t>
      </w:r>
      <w:r w:rsidRPr="00E6565C">
        <w:rPr>
          <w:rStyle w:val="bibfname"/>
          <w:rFonts w:eastAsiaTheme="minorEastAsia"/>
          <w:sz w:val="17"/>
          <w:szCs w:val="17"/>
          <w:shd w:val="clear" w:color="auto" w:fill="auto"/>
        </w:rPr>
        <w:t>M</w:t>
      </w:r>
      <w:r w:rsidRPr="00E6565C">
        <w:rPr>
          <w:szCs w:val="17"/>
        </w:rPr>
        <w:t xml:space="preserve">, </w:t>
      </w:r>
      <w:r w:rsidRPr="00E6565C">
        <w:rPr>
          <w:rStyle w:val="bibsurname"/>
          <w:rFonts w:eastAsiaTheme="minorEastAsia"/>
          <w:sz w:val="17"/>
          <w:szCs w:val="17"/>
          <w:shd w:val="clear" w:color="auto" w:fill="auto"/>
        </w:rPr>
        <w:t>Jamrozy</w:t>
      </w:r>
      <w:r w:rsidRPr="00E6565C">
        <w:rPr>
          <w:szCs w:val="17"/>
        </w:rPr>
        <w:t xml:space="preserve"> </w:t>
      </w:r>
      <w:r w:rsidRPr="00E6565C">
        <w:rPr>
          <w:rStyle w:val="bibfname"/>
          <w:rFonts w:eastAsiaTheme="minorEastAsia"/>
          <w:sz w:val="17"/>
          <w:szCs w:val="17"/>
          <w:shd w:val="clear" w:color="auto" w:fill="auto"/>
        </w:rPr>
        <w:t>D</w:t>
      </w:r>
      <w:r w:rsidRPr="00E6565C">
        <w:rPr>
          <w:szCs w:val="17"/>
        </w:rPr>
        <w:t xml:space="preserve">, </w:t>
      </w:r>
      <w:r w:rsidRPr="00E6565C">
        <w:rPr>
          <w:rStyle w:val="bibsurname"/>
          <w:rFonts w:eastAsiaTheme="minorEastAsia"/>
          <w:sz w:val="17"/>
          <w:szCs w:val="17"/>
          <w:shd w:val="clear" w:color="auto" w:fill="auto"/>
        </w:rPr>
        <w:t>Nichols</w:t>
      </w:r>
      <w:r w:rsidRPr="00E6565C">
        <w:rPr>
          <w:szCs w:val="17"/>
        </w:rPr>
        <w:t xml:space="preserve"> </w:t>
      </w:r>
      <w:r w:rsidRPr="00E6565C">
        <w:rPr>
          <w:rStyle w:val="bibfname"/>
          <w:rFonts w:eastAsiaTheme="minorEastAsia"/>
          <w:sz w:val="17"/>
          <w:szCs w:val="17"/>
          <w:shd w:val="clear" w:color="auto" w:fill="auto"/>
        </w:rPr>
        <w:t>WW</w:t>
      </w:r>
      <w:r w:rsidRPr="00E6565C">
        <w:rPr>
          <w:szCs w:val="17"/>
        </w:rPr>
        <w:t xml:space="preserve">, </w:t>
      </w:r>
      <w:r w:rsidRPr="00E6565C">
        <w:rPr>
          <w:rStyle w:val="bibsurname"/>
          <w:rFonts w:eastAsiaTheme="minorEastAsia"/>
          <w:sz w:val="17"/>
          <w:szCs w:val="17"/>
          <w:shd w:val="clear" w:color="auto" w:fill="auto"/>
        </w:rPr>
        <w:t>Woodford</w:t>
      </w:r>
      <w:r w:rsidRPr="00E6565C">
        <w:rPr>
          <w:szCs w:val="17"/>
        </w:rPr>
        <w:t xml:space="preserve"> </w:t>
      </w:r>
      <w:r w:rsidRPr="00E6565C">
        <w:rPr>
          <w:rStyle w:val="bibfname"/>
          <w:rFonts w:eastAsiaTheme="minorEastAsia"/>
          <w:sz w:val="17"/>
          <w:szCs w:val="17"/>
          <w:shd w:val="clear" w:color="auto" w:fill="auto"/>
        </w:rPr>
        <w:t>N</w:t>
      </w:r>
      <w:r w:rsidRPr="00E6565C">
        <w:rPr>
          <w:szCs w:val="17"/>
        </w:rPr>
        <w:t xml:space="preserve">. </w:t>
      </w:r>
      <w:r w:rsidRPr="00E6565C">
        <w:rPr>
          <w:rStyle w:val="bibarticle"/>
          <w:rFonts w:eastAsiaTheme="minorEastAsia"/>
          <w:sz w:val="17"/>
          <w:szCs w:val="17"/>
          <w:shd w:val="clear" w:color="auto" w:fill="auto"/>
        </w:rPr>
        <w:t xml:space="preserve">Selection of mutants with resistance or diminished susceptibility to ceftazidime/avibactam from ESBL- and AmpC-producing </w:t>
      </w:r>
      <w:r w:rsidRPr="00E6565C">
        <w:rPr>
          <w:rStyle w:val="bibarticle"/>
          <w:rFonts w:eastAsiaTheme="minorEastAsia"/>
          <w:i/>
          <w:sz w:val="17"/>
          <w:szCs w:val="17"/>
          <w:shd w:val="clear" w:color="auto" w:fill="auto"/>
        </w:rPr>
        <w:t>Enterobacteriaceae.</w:t>
      </w:r>
      <w:r w:rsidRPr="00E6565C">
        <w:rPr>
          <w:szCs w:val="17"/>
        </w:rPr>
        <w:t xml:space="preserve"> </w:t>
      </w:r>
      <w:r w:rsidRPr="00E6565C">
        <w:rPr>
          <w:rStyle w:val="bibjournal"/>
          <w:rFonts w:eastAsiaTheme="minorEastAsia"/>
          <w:sz w:val="17"/>
          <w:szCs w:val="17"/>
          <w:shd w:val="clear" w:color="auto" w:fill="auto"/>
        </w:rPr>
        <w:t>J Antimicrob Chemother</w:t>
      </w:r>
      <w:r w:rsidRPr="00E6565C">
        <w:rPr>
          <w:szCs w:val="17"/>
        </w:rPr>
        <w:t xml:space="preserve"> </w:t>
      </w:r>
      <w:r w:rsidRPr="00E6565C">
        <w:rPr>
          <w:rStyle w:val="bibyear"/>
          <w:rFonts w:eastAsiaTheme="minorEastAsia"/>
          <w:sz w:val="17"/>
          <w:szCs w:val="17"/>
          <w:shd w:val="clear" w:color="auto" w:fill="auto"/>
        </w:rPr>
        <w:t>2018</w:t>
      </w:r>
      <w:r w:rsidRPr="00E6565C">
        <w:rPr>
          <w:szCs w:val="17"/>
        </w:rPr>
        <w:t>;</w:t>
      </w:r>
      <w:r w:rsidRPr="00E6565C">
        <w:rPr>
          <w:rStyle w:val="bibvolume"/>
          <w:rFonts w:eastAsiaTheme="minorEastAsia"/>
          <w:sz w:val="17"/>
          <w:szCs w:val="17"/>
          <w:shd w:val="clear" w:color="auto" w:fill="auto"/>
        </w:rPr>
        <w:t>73</w:t>
      </w:r>
      <w:r w:rsidRPr="00E6565C">
        <w:rPr>
          <w:szCs w:val="17"/>
        </w:rPr>
        <w:t>(</w:t>
      </w:r>
      <w:r w:rsidRPr="00E6565C">
        <w:rPr>
          <w:rStyle w:val="bibissue"/>
          <w:rFonts w:eastAsiaTheme="minorEastAsia"/>
          <w:sz w:val="17"/>
          <w:szCs w:val="17"/>
          <w:shd w:val="clear" w:color="auto" w:fill="auto"/>
        </w:rPr>
        <w:t>12</w:t>
      </w:r>
      <w:r w:rsidRPr="00E6565C">
        <w:rPr>
          <w:szCs w:val="17"/>
        </w:rPr>
        <w:t>):</w:t>
      </w:r>
      <w:r w:rsidRPr="00E6565C">
        <w:rPr>
          <w:rStyle w:val="bibfpage"/>
          <w:rFonts w:eastAsiaTheme="minorEastAsia"/>
          <w:sz w:val="17"/>
          <w:szCs w:val="17"/>
          <w:shd w:val="clear" w:color="auto" w:fill="auto"/>
        </w:rPr>
        <w:t>3336</w:t>
      </w:r>
      <w:r w:rsidRPr="00E6565C">
        <w:rPr>
          <w:szCs w:val="17"/>
        </w:rPr>
        <w:t>–</w:t>
      </w:r>
      <w:r w:rsidRPr="00E6565C">
        <w:rPr>
          <w:rStyle w:val="biblpage"/>
          <w:rFonts w:eastAsiaTheme="minorEastAsia"/>
          <w:sz w:val="17"/>
          <w:szCs w:val="17"/>
          <w:shd w:val="clear" w:color="auto" w:fill="auto"/>
        </w:rPr>
        <w:t>45.</w:t>
      </w:r>
      <w:r w:rsidRPr="00E6565C">
        <w:rPr>
          <w:szCs w:val="17"/>
        </w:rPr>
        <w:t xml:space="preserve"> </w:t>
      </w:r>
    </w:p>
    <w:p w14:paraId="296E4FDB" w14:textId="47E45829" w:rsidR="00AA4FB2" w:rsidRPr="00E6565C" w:rsidRDefault="00AA4FB2" w:rsidP="00AA4FB2">
      <w:pPr>
        <w:pStyle w:val="hreference"/>
        <w:rPr>
          <w:szCs w:val="17"/>
        </w:rPr>
      </w:pPr>
      <w:r w:rsidRPr="00E6565C">
        <w:rPr>
          <w:szCs w:val="17"/>
        </w:rPr>
        <w:t>[</w:t>
      </w:r>
      <w:r w:rsidRPr="00E6565C">
        <w:rPr>
          <w:rStyle w:val="bibnumber"/>
          <w:rFonts w:eastAsiaTheme="minorEastAsia"/>
          <w:sz w:val="17"/>
          <w:szCs w:val="17"/>
          <w:shd w:val="clear" w:color="auto" w:fill="auto"/>
        </w:rPr>
        <w:t>5</w:t>
      </w:r>
      <w:r w:rsidRPr="00E6565C">
        <w:rPr>
          <w:szCs w:val="17"/>
        </w:rPr>
        <w:t>]</w:t>
      </w:r>
      <w:r w:rsidRPr="00E6565C">
        <w:rPr>
          <w:szCs w:val="17"/>
        </w:rPr>
        <w:tab/>
      </w:r>
      <w:r w:rsidRPr="00E6565C">
        <w:rPr>
          <w:rStyle w:val="bibsurname"/>
          <w:rFonts w:eastAsiaTheme="minorEastAsia"/>
          <w:sz w:val="17"/>
          <w:szCs w:val="17"/>
          <w:shd w:val="clear" w:color="auto" w:fill="auto"/>
        </w:rPr>
        <w:t>Fröhlich</w:t>
      </w:r>
      <w:r w:rsidRPr="00E6565C">
        <w:rPr>
          <w:szCs w:val="17"/>
        </w:rPr>
        <w:t xml:space="preserve"> </w:t>
      </w:r>
      <w:r w:rsidRPr="00E6565C">
        <w:rPr>
          <w:rStyle w:val="bibfname"/>
          <w:rFonts w:eastAsiaTheme="minorEastAsia"/>
          <w:sz w:val="17"/>
          <w:szCs w:val="17"/>
          <w:shd w:val="clear" w:color="auto" w:fill="auto"/>
        </w:rPr>
        <w:t>C</w:t>
      </w:r>
      <w:r w:rsidRPr="00E6565C">
        <w:rPr>
          <w:szCs w:val="17"/>
        </w:rPr>
        <w:t xml:space="preserve">, </w:t>
      </w:r>
      <w:r w:rsidRPr="00E6565C">
        <w:rPr>
          <w:rStyle w:val="bibsurname"/>
          <w:rFonts w:eastAsiaTheme="minorEastAsia"/>
          <w:sz w:val="17"/>
          <w:szCs w:val="17"/>
          <w:shd w:val="clear" w:color="auto" w:fill="auto"/>
        </w:rPr>
        <w:t>Sørum</w:t>
      </w:r>
      <w:r w:rsidRPr="00E6565C">
        <w:rPr>
          <w:szCs w:val="17"/>
        </w:rPr>
        <w:t xml:space="preserve"> </w:t>
      </w:r>
      <w:r w:rsidRPr="00E6565C">
        <w:rPr>
          <w:rStyle w:val="bibfname"/>
          <w:rFonts w:eastAsiaTheme="minorEastAsia"/>
          <w:sz w:val="17"/>
          <w:szCs w:val="17"/>
          <w:shd w:val="clear" w:color="auto" w:fill="auto"/>
        </w:rPr>
        <w:t>V</w:t>
      </w:r>
      <w:r w:rsidRPr="00E6565C">
        <w:rPr>
          <w:szCs w:val="17"/>
        </w:rPr>
        <w:t xml:space="preserve">, </w:t>
      </w:r>
      <w:r w:rsidRPr="00E6565C">
        <w:rPr>
          <w:rStyle w:val="bibsurname"/>
          <w:rFonts w:eastAsiaTheme="minorEastAsia"/>
          <w:sz w:val="17"/>
          <w:szCs w:val="17"/>
          <w:shd w:val="clear" w:color="auto" w:fill="auto"/>
        </w:rPr>
        <w:t>Thomassen</w:t>
      </w:r>
      <w:r w:rsidRPr="00E6565C">
        <w:rPr>
          <w:szCs w:val="17"/>
        </w:rPr>
        <w:t xml:space="preserve"> </w:t>
      </w:r>
      <w:r w:rsidRPr="00E6565C">
        <w:rPr>
          <w:rStyle w:val="bibfname"/>
          <w:rFonts w:eastAsiaTheme="minorEastAsia"/>
          <w:sz w:val="17"/>
          <w:szCs w:val="17"/>
          <w:shd w:val="clear" w:color="auto" w:fill="auto"/>
        </w:rPr>
        <w:t>AM</w:t>
      </w:r>
      <w:r w:rsidRPr="00E6565C">
        <w:rPr>
          <w:szCs w:val="17"/>
        </w:rPr>
        <w:t>, Johnsen PJ, Leiros HKS, Samuelsen Ø. OXA-48-mediated ceftazidime</w:t>
      </w:r>
      <w:r w:rsidR="004179FD">
        <w:rPr>
          <w:szCs w:val="17"/>
        </w:rPr>
        <w:t>–</w:t>
      </w:r>
      <w:r w:rsidRPr="00E6565C">
        <w:rPr>
          <w:szCs w:val="17"/>
        </w:rPr>
        <w:t xml:space="preserve">avibactam resistance is associated with evolutionary trade-offs. </w:t>
      </w:r>
      <w:r w:rsidRPr="00E6565C">
        <w:rPr>
          <w:iCs/>
          <w:szCs w:val="17"/>
        </w:rPr>
        <w:t>mSphere</w:t>
      </w:r>
      <w:r w:rsidRPr="00E6565C">
        <w:rPr>
          <w:szCs w:val="17"/>
        </w:rPr>
        <w:t xml:space="preserve"> </w:t>
      </w:r>
      <w:r w:rsidRPr="00E6565C">
        <w:rPr>
          <w:rStyle w:val="bibyear"/>
          <w:rFonts w:eastAsiaTheme="minorEastAsia"/>
          <w:sz w:val="17"/>
          <w:szCs w:val="17"/>
          <w:shd w:val="clear" w:color="auto" w:fill="auto"/>
        </w:rPr>
        <w:t>2019</w:t>
      </w:r>
      <w:r w:rsidRPr="00E6565C">
        <w:rPr>
          <w:szCs w:val="17"/>
        </w:rPr>
        <w:t>;4(2):e00024–19.</w:t>
      </w:r>
    </w:p>
    <w:p w14:paraId="07FA564F" w14:textId="77777777" w:rsidR="00AA4FB2" w:rsidRPr="00E6565C" w:rsidRDefault="00AA4FB2" w:rsidP="00AA4FB2">
      <w:pPr>
        <w:pStyle w:val="hreference"/>
        <w:rPr>
          <w:szCs w:val="17"/>
        </w:rPr>
      </w:pPr>
      <w:r w:rsidRPr="00E6565C">
        <w:rPr>
          <w:szCs w:val="17"/>
        </w:rPr>
        <w:t>[</w:t>
      </w:r>
      <w:r w:rsidRPr="00E6565C">
        <w:rPr>
          <w:rStyle w:val="bibnumber"/>
          <w:rFonts w:eastAsiaTheme="minorEastAsia"/>
          <w:sz w:val="17"/>
          <w:szCs w:val="17"/>
          <w:shd w:val="clear" w:color="auto" w:fill="auto"/>
        </w:rPr>
        <w:t>6</w:t>
      </w:r>
      <w:r w:rsidRPr="00E6565C">
        <w:rPr>
          <w:szCs w:val="17"/>
        </w:rPr>
        <w:t>]</w:t>
      </w:r>
      <w:r w:rsidRPr="00E6565C">
        <w:rPr>
          <w:szCs w:val="17"/>
        </w:rPr>
        <w:tab/>
      </w:r>
      <w:r w:rsidRPr="00E6565C">
        <w:rPr>
          <w:rStyle w:val="bibsurname"/>
          <w:rFonts w:eastAsiaTheme="minorEastAsia"/>
          <w:sz w:val="17"/>
          <w:szCs w:val="17"/>
          <w:shd w:val="clear" w:color="auto" w:fill="auto"/>
        </w:rPr>
        <w:t>Zamudio</w:t>
      </w:r>
      <w:r w:rsidRPr="00E6565C">
        <w:rPr>
          <w:szCs w:val="17"/>
        </w:rPr>
        <w:t xml:space="preserve"> </w:t>
      </w:r>
      <w:r w:rsidRPr="00E6565C">
        <w:rPr>
          <w:rStyle w:val="bibfname"/>
          <w:rFonts w:eastAsiaTheme="minorEastAsia"/>
          <w:sz w:val="17"/>
          <w:szCs w:val="17"/>
          <w:shd w:val="clear" w:color="auto" w:fill="auto"/>
        </w:rPr>
        <w:t>R</w:t>
      </w:r>
      <w:r w:rsidRPr="00E6565C">
        <w:rPr>
          <w:szCs w:val="17"/>
        </w:rPr>
        <w:t xml:space="preserve">, </w:t>
      </w:r>
      <w:r w:rsidRPr="00E6565C">
        <w:rPr>
          <w:rStyle w:val="bibsurname"/>
          <w:rFonts w:eastAsiaTheme="minorEastAsia"/>
          <w:sz w:val="17"/>
          <w:szCs w:val="17"/>
          <w:shd w:val="clear" w:color="auto" w:fill="auto"/>
        </w:rPr>
        <w:t>Hijazi</w:t>
      </w:r>
      <w:r w:rsidRPr="00E6565C">
        <w:rPr>
          <w:szCs w:val="17"/>
        </w:rPr>
        <w:t xml:space="preserve"> </w:t>
      </w:r>
      <w:r w:rsidRPr="00E6565C">
        <w:rPr>
          <w:rStyle w:val="bibfname"/>
          <w:rFonts w:eastAsiaTheme="minorEastAsia"/>
          <w:sz w:val="17"/>
          <w:szCs w:val="17"/>
          <w:shd w:val="clear" w:color="auto" w:fill="auto"/>
        </w:rPr>
        <w:t>K</w:t>
      </w:r>
      <w:r w:rsidRPr="00E6565C">
        <w:rPr>
          <w:szCs w:val="17"/>
        </w:rPr>
        <w:t xml:space="preserve">, </w:t>
      </w:r>
      <w:r w:rsidRPr="00E6565C">
        <w:rPr>
          <w:rStyle w:val="bibsurname"/>
          <w:rFonts w:eastAsiaTheme="minorEastAsia"/>
          <w:sz w:val="17"/>
          <w:szCs w:val="17"/>
          <w:shd w:val="clear" w:color="auto" w:fill="auto"/>
        </w:rPr>
        <w:t>Joshi</w:t>
      </w:r>
      <w:r w:rsidRPr="00E6565C">
        <w:rPr>
          <w:szCs w:val="17"/>
        </w:rPr>
        <w:t xml:space="preserve"> </w:t>
      </w:r>
      <w:r w:rsidRPr="00E6565C">
        <w:rPr>
          <w:rStyle w:val="bibfname"/>
          <w:rFonts w:eastAsiaTheme="minorEastAsia"/>
          <w:sz w:val="17"/>
          <w:szCs w:val="17"/>
          <w:shd w:val="clear" w:color="auto" w:fill="auto"/>
        </w:rPr>
        <w:t>C</w:t>
      </w:r>
      <w:r w:rsidRPr="00E6565C">
        <w:rPr>
          <w:szCs w:val="17"/>
        </w:rPr>
        <w:t xml:space="preserve">, </w:t>
      </w:r>
      <w:r w:rsidRPr="00E6565C">
        <w:rPr>
          <w:rStyle w:val="bibsurname"/>
          <w:rFonts w:eastAsiaTheme="minorEastAsia"/>
          <w:sz w:val="17"/>
          <w:szCs w:val="17"/>
          <w:shd w:val="clear" w:color="auto" w:fill="auto"/>
        </w:rPr>
        <w:t>Aitken</w:t>
      </w:r>
      <w:r w:rsidRPr="00E6565C">
        <w:rPr>
          <w:szCs w:val="17"/>
        </w:rPr>
        <w:t xml:space="preserve"> </w:t>
      </w:r>
      <w:r w:rsidRPr="00E6565C">
        <w:rPr>
          <w:rStyle w:val="bibfname"/>
          <w:rFonts w:eastAsiaTheme="minorEastAsia"/>
          <w:sz w:val="17"/>
          <w:szCs w:val="17"/>
          <w:shd w:val="clear" w:color="auto" w:fill="auto"/>
        </w:rPr>
        <w:t>E</w:t>
      </w:r>
      <w:r w:rsidRPr="00E6565C">
        <w:rPr>
          <w:szCs w:val="17"/>
        </w:rPr>
        <w:t xml:space="preserve">, </w:t>
      </w:r>
      <w:r w:rsidRPr="00E6565C">
        <w:rPr>
          <w:rStyle w:val="bibsurname"/>
          <w:rFonts w:eastAsiaTheme="minorEastAsia"/>
          <w:sz w:val="17"/>
          <w:szCs w:val="17"/>
          <w:shd w:val="clear" w:color="auto" w:fill="auto"/>
        </w:rPr>
        <w:t>Oggioni</w:t>
      </w:r>
      <w:r w:rsidRPr="00E6565C">
        <w:rPr>
          <w:szCs w:val="17"/>
        </w:rPr>
        <w:t xml:space="preserve"> </w:t>
      </w:r>
      <w:r w:rsidRPr="00E6565C">
        <w:rPr>
          <w:rStyle w:val="bibfname"/>
          <w:rFonts w:eastAsiaTheme="minorEastAsia"/>
          <w:sz w:val="17"/>
          <w:szCs w:val="17"/>
          <w:shd w:val="clear" w:color="auto" w:fill="auto"/>
        </w:rPr>
        <w:t>MR</w:t>
      </w:r>
      <w:r w:rsidRPr="00E6565C">
        <w:rPr>
          <w:szCs w:val="17"/>
        </w:rPr>
        <w:t xml:space="preserve">, </w:t>
      </w:r>
      <w:r w:rsidRPr="00E6565C">
        <w:rPr>
          <w:rStyle w:val="bibsurname"/>
          <w:rFonts w:eastAsiaTheme="minorEastAsia"/>
          <w:sz w:val="17"/>
          <w:szCs w:val="17"/>
          <w:shd w:val="clear" w:color="auto" w:fill="auto"/>
        </w:rPr>
        <w:t>Gould</w:t>
      </w:r>
      <w:r w:rsidRPr="00E6565C">
        <w:rPr>
          <w:szCs w:val="17"/>
        </w:rPr>
        <w:t xml:space="preserve"> </w:t>
      </w:r>
      <w:r w:rsidRPr="00E6565C">
        <w:rPr>
          <w:rStyle w:val="bibfname"/>
          <w:rFonts w:eastAsiaTheme="minorEastAsia"/>
          <w:sz w:val="17"/>
          <w:szCs w:val="17"/>
          <w:shd w:val="clear" w:color="auto" w:fill="auto"/>
        </w:rPr>
        <w:t>IM</w:t>
      </w:r>
      <w:r w:rsidRPr="00E6565C">
        <w:rPr>
          <w:szCs w:val="17"/>
        </w:rPr>
        <w:t xml:space="preserve">. </w:t>
      </w:r>
      <w:r w:rsidRPr="00E6565C">
        <w:rPr>
          <w:rStyle w:val="bibarticle"/>
          <w:rFonts w:eastAsiaTheme="minorEastAsia"/>
          <w:sz w:val="17"/>
          <w:szCs w:val="17"/>
          <w:shd w:val="clear" w:color="auto" w:fill="auto"/>
        </w:rPr>
        <w:t xml:space="preserve">Phylogenetic analysis of resistance to ceftazidime/avibactam, ceftolozane/tazobactam and carbapenems in piperacillin/tazobactam-resistant </w:t>
      </w:r>
      <w:r w:rsidRPr="00E6565C">
        <w:rPr>
          <w:rStyle w:val="bibarticle"/>
          <w:rFonts w:eastAsiaTheme="minorEastAsia"/>
          <w:i/>
          <w:sz w:val="17"/>
          <w:szCs w:val="17"/>
          <w:shd w:val="clear" w:color="auto" w:fill="auto"/>
        </w:rPr>
        <w:t>Pseudomonas aeruginosa</w:t>
      </w:r>
      <w:r w:rsidRPr="00E6565C">
        <w:rPr>
          <w:rStyle w:val="bibarticle"/>
          <w:rFonts w:eastAsiaTheme="minorEastAsia"/>
          <w:sz w:val="17"/>
          <w:szCs w:val="17"/>
          <w:shd w:val="clear" w:color="auto" w:fill="auto"/>
        </w:rPr>
        <w:t xml:space="preserve"> from cystic fibrosis patients.</w:t>
      </w:r>
      <w:r w:rsidRPr="00E6565C">
        <w:rPr>
          <w:szCs w:val="17"/>
        </w:rPr>
        <w:t xml:space="preserve"> </w:t>
      </w:r>
      <w:r w:rsidRPr="00E6565C">
        <w:rPr>
          <w:rStyle w:val="bibjournal"/>
          <w:rFonts w:eastAsiaTheme="minorEastAsia"/>
          <w:sz w:val="17"/>
          <w:szCs w:val="17"/>
          <w:shd w:val="clear" w:color="auto" w:fill="auto"/>
        </w:rPr>
        <w:t>Int J Antimicrob Agents</w:t>
      </w:r>
      <w:r w:rsidRPr="00E6565C">
        <w:rPr>
          <w:szCs w:val="17"/>
        </w:rPr>
        <w:t xml:space="preserve"> </w:t>
      </w:r>
      <w:r w:rsidRPr="00E6565C">
        <w:rPr>
          <w:rStyle w:val="bibyear"/>
          <w:rFonts w:eastAsiaTheme="minorEastAsia"/>
          <w:sz w:val="17"/>
          <w:szCs w:val="17"/>
          <w:shd w:val="clear" w:color="auto" w:fill="auto"/>
        </w:rPr>
        <w:t>2019</w:t>
      </w:r>
      <w:r w:rsidRPr="00E6565C">
        <w:rPr>
          <w:szCs w:val="17"/>
        </w:rPr>
        <w:t>;</w:t>
      </w:r>
      <w:r w:rsidRPr="00E6565C">
        <w:rPr>
          <w:rStyle w:val="bibvolume"/>
          <w:rFonts w:eastAsiaTheme="minorEastAsia"/>
          <w:sz w:val="17"/>
          <w:szCs w:val="17"/>
          <w:shd w:val="clear" w:color="auto" w:fill="auto"/>
        </w:rPr>
        <w:t>53</w:t>
      </w:r>
      <w:r w:rsidRPr="00E6565C">
        <w:rPr>
          <w:szCs w:val="17"/>
        </w:rPr>
        <w:t>(</w:t>
      </w:r>
      <w:r w:rsidRPr="00E6565C">
        <w:rPr>
          <w:rStyle w:val="bibissue"/>
          <w:rFonts w:eastAsiaTheme="minorEastAsia"/>
          <w:sz w:val="17"/>
          <w:szCs w:val="17"/>
          <w:shd w:val="clear" w:color="auto" w:fill="auto"/>
        </w:rPr>
        <w:t>6</w:t>
      </w:r>
      <w:r w:rsidRPr="00E6565C">
        <w:rPr>
          <w:szCs w:val="17"/>
        </w:rPr>
        <w:t>):</w:t>
      </w:r>
      <w:r w:rsidRPr="00E6565C">
        <w:rPr>
          <w:rStyle w:val="bibfpage"/>
          <w:rFonts w:eastAsiaTheme="minorEastAsia"/>
          <w:sz w:val="17"/>
          <w:szCs w:val="17"/>
          <w:shd w:val="clear" w:color="auto" w:fill="auto"/>
        </w:rPr>
        <w:t>774</w:t>
      </w:r>
      <w:r w:rsidRPr="00E6565C">
        <w:rPr>
          <w:szCs w:val="17"/>
        </w:rPr>
        <w:t>–</w:t>
      </w:r>
      <w:r w:rsidRPr="00E6565C">
        <w:rPr>
          <w:rStyle w:val="biblpage"/>
          <w:rFonts w:eastAsiaTheme="minorEastAsia"/>
          <w:sz w:val="17"/>
          <w:szCs w:val="17"/>
          <w:shd w:val="clear" w:color="auto" w:fill="auto"/>
        </w:rPr>
        <w:t>80.</w:t>
      </w:r>
      <w:r w:rsidRPr="00E6565C">
        <w:rPr>
          <w:szCs w:val="17"/>
        </w:rPr>
        <w:t xml:space="preserve"> </w:t>
      </w:r>
    </w:p>
    <w:p w14:paraId="29CDCEB2" w14:textId="77777777" w:rsidR="00AA4FB2" w:rsidRPr="00E6565C" w:rsidRDefault="00AA4FB2" w:rsidP="00AA4FB2">
      <w:pPr>
        <w:pStyle w:val="hreference"/>
        <w:rPr>
          <w:szCs w:val="17"/>
        </w:rPr>
      </w:pPr>
      <w:r w:rsidRPr="00E6565C">
        <w:rPr>
          <w:szCs w:val="17"/>
        </w:rPr>
        <w:t>[</w:t>
      </w:r>
      <w:r w:rsidRPr="00E6565C">
        <w:rPr>
          <w:rStyle w:val="bibnumber"/>
          <w:rFonts w:eastAsiaTheme="minorEastAsia"/>
          <w:sz w:val="17"/>
          <w:szCs w:val="17"/>
          <w:shd w:val="clear" w:color="auto" w:fill="auto"/>
        </w:rPr>
        <w:t>7</w:t>
      </w:r>
      <w:r w:rsidRPr="00E6565C">
        <w:rPr>
          <w:szCs w:val="17"/>
        </w:rPr>
        <w:t>]</w:t>
      </w:r>
      <w:r w:rsidRPr="00E6565C">
        <w:rPr>
          <w:szCs w:val="17"/>
        </w:rPr>
        <w:tab/>
      </w:r>
      <w:r w:rsidRPr="00E6565C">
        <w:rPr>
          <w:rStyle w:val="bibsurname"/>
          <w:rFonts w:eastAsiaTheme="minorEastAsia"/>
          <w:sz w:val="17"/>
          <w:szCs w:val="17"/>
          <w:shd w:val="clear" w:color="auto" w:fill="auto"/>
        </w:rPr>
        <w:t>Lahiri</w:t>
      </w:r>
      <w:r w:rsidRPr="00E6565C">
        <w:rPr>
          <w:szCs w:val="17"/>
        </w:rPr>
        <w:t xml:space="preserve"> </w:t>
      </w:r>
      <w:r w:rsidRPr="00E6565C">
        <w:rPr>
          <w:rStyle w:val="bibfname"/>
          <w:rFonts w:eastAsiaTheme="minorEastAsia"/>
          <w:sz w:val="17"/>
          <w:szCs w:val="17"/>
          <w:shd w:val="clear" w:color="auto" w:fill="auto"/>
        </w:rPr>
        <w:t>SD</w:t>
      </w:r>
      <w:r w:rsidRPr="00E6565C">
        <w:rPr>
          <w:szCs w:val="17"/>
        </w:rPr>
        <w:t xml:space="preserve">, </w:t>
      </w:r>
      <w:r w:rsidRPr="00E6565C">
        <w:rPr>
          <w:rStyle w:val="bibsurname"/>
          <w:rFonts w:eastAsiaTheme="minorEastAsia"/>
          <w:sz w:val="17"/>
          <w:szCs w:val="17"/>
          <w:shd w:val="clear" w:color="auto" w:fill="auto"/>
        </w:rPr>
        <w:t>Walkup</w:t>
      </w:r>
      <w:r w:rsidRPr="00E6565C">
        <w:rPr>
          <w:szCs w:val="17"/>
        </w:rPr>
        <w:t xml:space="preserve"> </w:t>
      </w:r>
      <w:r w:rsidRPr="00E6565C">
        <w:rPr>
          <w:rStyle w:val="bibfname"/>
          <w:rFonts w:eastAsiaTheme="minorEastAsia"/>
          <w:sz w:val="17"/>
          <w:szCs w:val="17"/>
          <w:shd w:val="clear" w:color="auto" w:fill="auto"/>
        </w:rPr>
        <w:t>GK</w:t>
      </w:r>
      <w:r w:rsidRPr="00E6565C">
        <w:rPr>
          <w:szCs w:val="17"/>
        </w:rPr>
        <w:t xml:space="preserve">, </w:t>
      </w:r>
      <w:r w:rsidRPr="00E6565C">
        <w:rPr>
          <w:rStyle w:val="bibsurname"/>
          <w:rFonts w:eastAsiaTheme="minorEastAsia"/>
          <w:sz w:val="17"/>
          <w:szCs w:val="17"/>
          <w:shd w:val="clear" w:color="auto" w:fill="auto"/>
        </w:rPr>
        <w:t>Whiteaker</w:t>
      </w:r>
      <w:r w:rsidRPr="00E6565C">
        <w:rPr>
          <w:szCs w:val="17"/>
        </w:rPr>
        <w:t xml:space="preserve"> </w:t>
      </w:r>
      <w:r w:rsidRPr="00E6565C">
        <w:rPr>
          <w:rStyle w:val="bibfname"/>
          <w:rFonts w:eastAsiaTheme="minorEastAsia"/>
          <w:sz w:val="17"/>
          <w:szCs w:val="17"/>
          <w:shd w:val="clear" w:color="auto" w:fill="auto"/>
        </w:rPr>
        <w:t>JD</w:t>
      </w:r>
      <w:r w:rsidRPr="00E6565C">
        <w:rPr>
          <w:szCs w:val="17"/>
        </w:rPr>
        <w:t xml:space="preserve">, </w:t>
      </w:r>
      <w:r w:rsidRPr="00E6565C">
        <w:rPr>
          <w:rStyle w:val="bibsurname"/>
          <w:rFonts w:eastAsiaTheme="minorEastAsia"/>
          <w:sz w:val="17"/>
          <w:szCs w:val="17"/>
          <w:shd w:val="clear" w:color="auto" w:fill="auto"/>
        </w:rPr>
        <w:t>Palmer</w:t>
      </w:r>
      <w:r w:rsidRPr="00E6565C">
        <w:rPr>
          <w:szCs w:val="17"/>
        </w:rPr>
        <w:t xml:space="preserve"> </w:t>
      </w:r>
      <w:r w:rsidRPr="00E6565C">
        <w:rPr>
          <w:rStyle w:val="bibfname"/>
          <w:rFonts w:eastAsiaTheme="minorEastAsia"/>
          <w:sz w:val="17"/>
          <w:szCs w:val="17"/>
          <w:shd w:val="clear" w:color="auto" w:fill="auto"/>
        </w:rPr>
        <w:t>T</w:t>
      </w:r>
      <w:r w:rsidRPr="00E6565C">
        <w:rPr>
          <w:szCs w:val="17"/>
        </w:rPr>
        <w:t xml:space="preserve">, </w:t>
      </w:r>
      <w:r w:rsidRPr="00E6565C">
        <w:rPr>
          <w:rStyle w:val="bibsurname"/>
          <w:rFonts w:eastAsiaTheme="minorEastAsia"/>
          <w:sz w:val="17"/>
          <w:szCs w:val="17"/>
          <w:shd w:val="clear" w:color="auto" w:fill="auto"/>
        </w:rPr>
        <w:t>McCormack</w:t>
      </w:r>
      <w:r w:rsidRPr="00E6565C">
        <w:rPr>
          <w:szCs w:val="17"/>
        </w:rPr>
        <w:t xml:space="preserve"> </w:t>
      </w:r>
      <w:r w:rsidRPr="00E6565C">
        <w:rPr>
          <w:rStyle w:val="bibfname"/>
          <w:rFonts w:eastAsiaTheme="minorEastAsia"/>
          <w:sz w:val="17"/>
          <w:szCs w:val="17"/>
          <w:shd w:val="clear" w:color="auto" w:fill="auto"/>
        </w:rPr>
        <w:t>K</w:t>
      </w:r>
      <w:r w:rsidRPr="00E6565C">
        <w:rPr>
          <w:szCs w:val="17"/>
        </w:rPr>
        <w:t xml:space="preserve">, </w:t>
      </w:r>
      <w:r w:rsidRPr="00E6565C">
        <w:rPr>
          <w:rStyle w:val="bibsurname"/>
          <w:rFonts w:eastAsiaTheme="minorEastAsia"/>
          <w:sz w:val="17"/>
          <w:szCs w:val="17"/>
          <w:shd w:val="clear" w:color="auto" w:fill="auto"/>
        </w:rPr>
        <w:t>Tanudra</w:t>
      </w:r>
      <w:r w:rsidRPr="00E6565C">
        <w:rPr>
          <w:szCs w:val="17"/>
        </w:rPr>
        <w:t xml:space="preserve"> </w:t>
      </w:r>
      <w:r w:rsidRPr="00E6565C">
        <w:rPr>
          <w:rStyle w:val="bibfname"/>
          <w:rFonts w:eastAsiaTheme="minorEastAsia"/>
          <w:sz w:val="17"/>
          <w:szCs w:val="17"/>
          <w:shd w:val="clear" w:color="auto" w:fill="auto"/>
        </w:rPr>
        <w:t>MA</w:t>
      </w:r>
      <w:r w:rsidRPr="00E6565C">
        <w:rPr>
          <w:szCs w:val="17"/>
        </w:rPr>
        <w:t xml:space="preserve">, </w:t>
      </w:r>
      <w:r w:rsidRPr="00E6565C">
        <w:rPr>
          <w:rStyle w:val="bibetal"/>
          <w:rFonts w:eastAsiaTheme="minorEastAsia"/>
          <w:sz w:val="17"/>
          <w:szCs w:val="17"/>
          <w:shd w:val="clear" w:color="auto" w:fill="auto"/>
        </w:rPr>
        <w:t>et al.</w:t>
      </w:r>
      <w:r w:rsidRPr="00E6565C">
        <w:rPr>
          <w:szCs w:val="17"/>
        </w:rPr>
        <w:t xml:space="preserve"> </w:t>
      </w:r>
      <w:r w:rsidRPr="00E6565C">
        <w:rPr>
          <w:rStyle w:val="bibarticle"/>
          <w:rFonts w:eastAsiaTheme="minorEastAsia"/>
          <w:sz w:val="17"/>
          <w:szCs w:val="17"/>
          <w:shd w:val="clear" w:color="auto" w:fill="auto"/>
        </w:rPr>
        <w:t xml:space="preserve">Selection and molecular characterization of ceftazidime/avibactam-resistant mutants in </w:t>
      </w:r>
      <w:r w:rsidRPr="00E6565C">
        <w:rPr>
          <w:rStyle w:val="bibarticle"/>
          <w:rFonts w:eastAsiaTheme="minorEastAsia"/>
          <w:i/>
          <w:sz w:val="17"/>
          <w:szCs w:val="17"/>
          <w:shd w:val="clear" w:color="auto" w:fill="auto"/>
        </w:rPr>
        <w:t>Pseudomonas aeruginosa</w:t>
      </w:r>
      <w:r w:rsidRPr="00E6565C">
        <w:rPr>
          <w:rStyle w:val="bibarticle"/>
          <w:rFonts w:eastAsiaTheme="minorEastAsia"/>
          <w:sz w:val="17"/>
          <w:szCs w:val="17"/>
          <w:shd w:val="clear" w:color="auto" w:fill="auto"/>
        </w:rPr>
        <w:t xml:space="preserve"> strains containing derepressed AmpC.</w:t>
      </w:r>
      <w:r w:rsidRPr="00E6565C">
        <w:rPr>
          <w:szCs w:val="17"/>
        </w:rPr>
        <w:t xml:space="preserve"> </w:t>
      </w:r>
      <w:r w:rsidRPr="00E6565C">
        <w:rPr>
          <w:rStyle w:val="bibjournal"/>
          <w:rFonts w:eastAsiaTheme="minorEastAsia"/>
          <w:sz w:val="17"/>
          <w:szCs w:val="17"/>
          <w:shd w:val="clear" w:color="auto" w:fill="auto"/>
        </w:rPr>
        <w:t>J Antimicrob Chemother</w:t>
      </w:r>
      <w:r w:rsidRPr="00E6565C">
        <w:rPr>
          <w:szCs w:val="17"/>
        </w:rPr>
        <w:t xml:space="preserve"> </w:t>
      </w:r>
      <w:r w:rsidRPr="00E6565C">
        <w:rPr>
          <w:rStyle w:val="bibyear"/>
          <w:rFonts w:eastAsiaTheme="minorEastAsia"/>
          <w:sz w:val="17"/>
          <w:szCs w:val="17"/>
          <w:shd w:val="clear" w:color="auto" w:fill="auto"/>
        </w:rPr>
        <w:t>2015</w:t>
      </w:r>
      <w:r w:rsidRPr="00E6565C">
        <w:rPr>
          <w:szCs w:val="17"/>
        </w:rPr>
        <w:t>;</w:t>
      </w:r>
      <w:r w:rsidRPr="00E6565C">
        <w:rPr>
          <w:rStyle w:val="bibvolume"/>
          <w:rFonts w:eastAsiaTheme="minorEastAsia"/>
          <w:sz w:val="17"/>
          <w:szCs w:val="17"/>
          <w:shd w:val="clear" w:color="auto" w:fill="auto"/>
        </w:rPr>
        <w:t>70</w:t>
      </w:r>
      <w:r w:rsidRPr="00E6565C">
        <w:rPr>
          <w:szCs w:val="17"/>
        </w:rPr>
        <w:t>(</w:t>
      </w:r>
      <w:r w:rsidRPr="00E6565C">
        <w:rPr>
          <w:rStyle w:val="bibissue"/>
          <w:rFonts w:eastAsiaTheme="minorEastAsia"/>
          <w:sz w:val="17"/>
          <w:szCs w:val="17"/>
          <w:shd w:val="clear" w:color="auto" w:fill="auto"/>
        </w:rPr>
        <w:t>6</w:t>
      </w:r>
      <w:r w:rsidRPr="00E6565C">
        <w:rPr>
          <w:szCs w:val="17"/>
        </w:rPr>
        <w:t>):</w:t>
      </w:r>
      <w:r w:rsidRPr="00E6565C">
        <w:rPr>
          <w:rStyle w:val="bibfpage"/>
          <w:rFonts w:eastAsiaTheme="minorEastAsia"/>
          <w:sz w:val="17"/>
          <w:szCs w:val="17"/>
          <w:shd w:val="clear" w:color="auto" w:fill="auto"/>
        </w:rPr>
        <w:t>1650</w:t>
      </w:r>
      <w:r w:rsidRPr="00E6565C">
        <w:rPr>
          <w:szCs w:val="17"/>
        </w:rPr>
        <w:t>–</w:t>
      </w:r>
      <w:r w:rsidRPr="00E6565C">
        <w:rPr>
          <w:rStyle w:val="biblpage"/>
          <w:rFonts w:eastAsiaTheme="minorEastAsia"/>
          <w:sz w:val="17"/>
          <w:szCs w:val="17"/>
          <w:shd w:val="clear" w:color="auto" w:fill="auto"/>
        </w:rPr>
        <w:t>8.</w:t>
      </w:r>
      <w:r w:rsidRPr="00E6565C">
        <w:rPr>
          <w:szCs w:val="17"/>
        </w:rPr>
        <w:t xml:space="preserve"> </w:t>
      </w:r>
    </w:p>
    <w:p w14:paraId="577F4CC4" w14:textId="74855F20" w:rsidR="00AA4FB2" w:rsidRPr="00E6565C" w:rsidRDefault="00AA4FB2" w:rsidP="00AA4FB2">
      <w:pPr>
        <w:pStyle w:val="hreference"/>
        <w:rPr>
          <w:szCs w:val="17"/>
        </w:rPr>
      </w:pPr>
      <w:r w:rsidRPr="00E6565C">
        <w:rPr>
          <w:szCs w:val="17"/>
        </w:rPr>
        <w:t>[</w:t>
      </w:r>
      <w:r w:rsidRPr="00E6565C">
        <w:rPr>
          <w:rStyle w:val="bibnumber"/>
          <w:rFonts w:eastAsiaTheme="minorEastAsia"/>
          <w:sz w:val="17"/>
          <w:szCs w:val="17"/>
          <w:shd w:val="clear" w:color="auto" w:fill="auto"/>
        </w:rPr>
        <w:t>8</w:t>
      </w:r>
      <w:r w:rsidRPr="00E6565C">
        <w:rPr>
          <w:szCs w:val="17"/>
        </w:rPr>
        <w:t>]</w:t>
      </w:r>
      <w:r w:rsidRPr="00E6565C">
        <w:rPr>
          <w:szCs w:val="17"/>
        </w:rPr>
        <w:tab/>
      </w:r>
      <w:r w:rsidRPr="00E6565C">
        <w:rPr>
          <w:rStyle w:val="bibsurname"/>
          <w:rFonts w:eastAsiaTheme="minorEastAsia"/>
          <w:sz w:val="17"/>
          <w:szCs w:val="17"/>
          <w:shd w:val="clear" w:color="auto" w:fill="auto"/>
        </w:rPr>
        <w:t>Compain</w:t>
      </w:r>
      <w:r w:rsidRPr="00E6565C">
        <w:rPr>
          <w:szCs w:val="17"/>
        </w:rPr>
        <w:t xml:space="preserve"> </w:t>
      </w:r>
      <w:r w:rsidRPr="00E6565C">
        <w:rPr>
          <w:rStyle w:val="bibfname"/>
          <w:rFonts w:eastAsiaTheme="minorEastAsia"/>
          <w:sz w:val="17"/>
          <w:szCs w:val="17"/>
          <w:shd w:val="clear" w:color="auto" w:fill="auto"/>
        </w:rPr>
        <w:t>F</w:t>
      </w:r>
      <w:r w:rsidRPr="00E6565C">
        <w:rPr>
          <w:szCs w:val="17"/>
        </w:rPr>
        <w:t xml:space="preserve">, </w:t>
      </w:r>
      <w:r w:rsidRPr="00E6565C">
        <w:rPr>
          <w:rStyle w:val="bibsurname"/>
          <w:rFonts w:eastAsiaTheme="minorEastAsia"/>
          <w:sz w:val="17"/>
          <w:szCs w:val="17"/>
          <w:shd w:val="clear" w:color="auto" w:fill="auto"/>
        </w:rPr>
        <w:t>Debray</w:t>
      </w:r>
      <w:r w:rsidRPr="00E6565C">
        <w:rPr>
          <w:szCs w:val="17"/>
        </w:rPr>
        <w:t xml:space="preserve"> </w:t>
      </w:r>
      <w:r w:rsidRPr="00E6565C">
        <w:rPr>
          <w:rStyle w:val="bibfname"/>
          <w:rFonts w:eastAsiaTheme="minorEastAsia"/>
          <w:sz w:val="17"/>
          <w:szCs w:val="17"/>
          <w:shd w:val="clear" w:color="auto" w:fill="auto"/>
        </w:rPr>
        <w:t>A</w:t>
      </w:r>
      <w:r w:rsidRPr="00E6565C">
        <w:rPr>
          <w:szCs w:val="17"/>
        </w:rPr>
        <w:t xml:space="preserve">, </w:t>
      </w:r>
      <w:r w:rsidRPr="00E6565C">
        <w:rPr>
          <w:rStyle w:val="bibsurname"/>
          <w:rFonts w:eastAsiaTheme="minorEastAsia"/>
          <w:sz w:val="17"/>
          <w:szCs w:val="17"/>
          <w:shd w:val="clear" w:color="auto" w:fill="auto"/>
        </w:rPr>
        <w:t>Adjadj</w:t>
      </w:r>
      <w:r w:rsidRPr="00E6565C">
        <w:rPr>
          <w:szCs w:val="17"/>
        </w:rPr>
        <w:t xml:space="preserve"> </w:t>
      </w:r>
      <w:r w:rsidRPr="00E6565C">
        <w:rPr>
          <w:rStyle w:val="bibfname"/>
          <w:rFonts w:eastAsiaTheme="minorEastAsia"/>
          <w:sz w:val="17"/>
          <w:szCs w:val="17"/>
          <w:shd w:val="clear" w:color="auto" w:fill="auto"/>
        </w:rPr>
        <w:t>P</w:t>
      </w:r>
      <w:r w:rsidRPr="00E6565C">
        <w:rPr>
          <w:szCs w:val="17"/>
        </w:rPr>
        <w:t>, Dorchêne D, Arthur M. Ceftazidime</w:t>
      </w:r>
      <w:r w:rsidR="004179FD">
        <w:rPr>
          <w:szCs w:val="17"/>
        </w:rPr>
        <w:t>–</w:t>
      </w:r>
      <w:r w:rsidRPr="00E6565C">
        <w:rPr>
          <w:szCs w:val="17"/>
        </w:rPr>
        <w:t>avibactam resistance mediated by the N</w:t>
      </w:r>
      <w:r w:rsidRPr="00E6565C">
        <w:rPr>
          <w:szCs w:val="17"/>
          <w:vertAlign w:val="superscript"/>
        </w:rPr>
        <w:t>346</w:t>
      </w:r>
      <w:r w:rsidRPr="00E6565C">
        <w:rPr>
          <w:szCs w:val="17"/>
        </w:rPr>
        <w:t xml:space="preserve">Y substitution in various AmpC </w:t>
      </w:r>
      <w:r w:rsidRPr="004179FD">
        <w:rPr>
          <w:rFonts w:eastAsia="Times New Roman"/>
          <w:szCs w:val="17"/>
        </w:rPr>
        <w:t>β</w:t>
      </w:r>
      <w:r w:rsidRPr="00E6565C">
        <w:rPr>
          <w:szCs w:val="17"/>
        </w:rPr>
        <w:t xml:space="preserve">-lactamases. </w:t>
      </w:r>
      <w:r w:rsidRPr="00E6565C">
        <w:rPr>
          <w:iCs/>
          <w:szCs w:val="17"/>
        </w:rPr>
        <w:t>Antimicrob Agents Ch</w:t>
      </w:r>
      <w:r w:rsidRPr="00E6565C">
        <w:rPr>
          <w:szCs w:val="17"/>
        </w:rPr>
        <w:t xml:space="preserve">emother </w:t>
      </w:r>
      <w:r w:rsidRPr="00E6565C">
        <w:rPr>
          <w:rStyle w:val="bibyear"/>
          <w:rFonts w:eastAsiaTheme="minorEastAsia"/>
          <w:sz w:val="17"/>
          <w:szCs w:val="17"/>
          <w:shd w:val="clear" w:color="auto" w:fill="auto"/>
        </w:rPr>
        <w:t>2020</w:t>
      </w:r>
      <w:r w:rsidRPr="00E6565C">
        <w:rPr>
          <w:szCs w:val="17"/>
        </w:rPr>
        <w:t xml:space="preserve">;64(6):e02311–19. </w:t>
      </w:r>
    </w:p>
    <w:p w14:paraId="49B0EDB1" w14:textId="69D0CA7D" w:rsidR="00AA4FB2" w:rsidRPr="00E6565C" w:rsidRDefault="00AA4FB2" w:rsidP="00AA4FB2">
      <w:pPr>
        <w:pStyle w:val="hreference"/>
        <w:rPr>
          <w:szCs w:val="17"/>
        </w:rPr>
      </w:pPr>
      <w:r w:rsidRPr="00E6565C">
        <w:rPr>
          <w:szCs w:val="17"/>
        </w:rPr>
        <w:t>[</w:t>
      </w:r>
      <w:r w:rsidRPr="00E6565C">
        <w:rPr>
          <w:rStyle w:val="bibnumber"/>
          <w:rFonts w:eastAsiaTheme="minorEastAsia"/>
          <w:sz w:val="17"/>
          <w:szCs w:val="17"/>
          <w:shd w:val="clear" w:color="auto" w:fill="auto"/>
        </w:rPr>
        <w:t>9</w:t>
      </w:r>
      <w:r w:rsidRPr="00E6565C">
        <w:rPr>
          <w:szCs w:val="17"/>
        </w:rPr>
        <w:t>]</w:t>
      </w:r>
      <w:r w:rsidRPr="00E6565C">
        <w:rPr>
          <w:szCs w:val="17"/>
        </w:rPr>
        <w:tab/>
      </w:r>
      <w:r w:rsidRPr="00E6565C">
        <w:rPr>
          <w:rStyle w:val="bibsurname"/>
          <w:rFonts w:eastAsiaTheme="minorEastAsia"/>
          <w:sz w:val="17"/>
          <w:szCs w:val="17"/>
          <w:shd w:val="clear" w:color="auto" w:fill="auto"/>
        </w:rPr>
        <w:t>Atkin</w:t>
      </w:r>
      <w:r w:rsidRPr="00E6565C">
        <w:rPr>
          <w:szCs w:val="17"/>
        </w:rPr>
        <w:t xml:space="preserve"> </w:t>
      </w:r>
      <w:r w:rsidRPr="00E6565C">
        <w:rPr>
          <w:rStyle w:val="bibfname"/>
          <w:rFonts w:eastAsiaTheme="minorEastAsia"/>
          <w:sz w:val="17"/>
          <w:szCs w:val="17"/>
          <w:shd w:val="clear" w:color="auto" w:fill="auto"/>
        </w:rPr>
        <w:t>SD</w:t>
      </w:r>
      <w:r w:rsidRPr="00E6565C">
        <w:rPr>
          <w:szCs w:val="17"/>
        </w:rPr>
        <w:t xml:space="preserve">, </w:t>
      </w:r>
      <w:r w:rsidRPr="00E6565C">
        <w:rPr>
          <w:rStyle w:val="bibsurname"/>
          <w:rFonts w:eastAsiaTheme="minorEastAsia"/>
          <w:sz w:val="17"/>
          <w:szCs w:val="17"/>
          <w:shd w:val="clear" w:color="auto" w:fill="auto"/>
        </w:rPr>
        <w:t>Abid</w:t>
      </w:r>
      <w:r w:rsidRPr="00E6565C">
        <w:rPr>
          <w:szCs w:val="17"/>
        </w:rPr>
        <w:t xml:space="preserve"> </w:t>
      </w:r>
      <w:r w:rsidRPr="00E6565C">
        <w:rPr>
          <w:rStyle w:val="bibfname"/>
          <w:rFonts w:eastAsiaTheme="minorEastAsia"/>
          <w:sz w:val="17"/>
          <w:szCs w:val="17"/>
          <w:shd w:val="clear" w:color="auto" w:fill="auto"/>
        </w:rPr>
        <w:t>S</w:t>
      </w:r>
      <w:r w:rsidRPr="00E6565C">
        <w:rPr>
          <w:szCs w:val="17"/>
        </w:rPr>
        <w:t xml:space="preserve">, </w:t>
      </w:r>
      <w:r w:rsidRPr="00E6565C">
        <w:rPr>
          <w:rStyle w:val="bibsurname"/>
          <w:rFonts w:eastAsiaTheme="minorEastAsia"/>
          <w:sz w:val="17"/>
          <w:szCs w:val="17"/>
          <w:shd w:val="clear" w:color="auto" w:fill="auto"/>
        </w:rPr>
        <w:t>Foster</w:t>
      </w:r>
      <w:r w:rsidRPr="00E6565C">
        <w:rPr>
          <w:szCs w:val="17"/>
        </w:rPr>
        <w:t xml:space="preserve"> </w:t>
      </w:r>
      <w:r w:rsidRPr="00E6565C">
        <w:rPr>
          <w:rStyle w:val="bibfname"/>
          <w:rFonts w:eastAsiaTheme="minorEastAsia"/>
          <w:sz w:val="17"/>
          <w:szCs w:val="17"/>
          <w:shd w:val="clear" w:color="auto" w:fill="auto"/>
        </w:rPr>
        <w:t>M</w:t>
      </w:r>
      <w:r w:rsidRPr="00E6565C">
        <w:rPr>
          <w:szCs w:val="17"/>
        </w:rPr>
        <w:t xml:space="preserve">, </w:t>
      </w:r>
      <w:r w:rsidRPr="00E6565C">
        <w:rPr>
          <w:rStyle w:val="bibsurname"/>
          <w:rFonts w:eastAsiaTheme="minorEastAsia"/>
          <w:sz w:val="17"/>
          <w:szCs w:val="17"/>
          <w:shd w:val="clear" w:color="auto" w:fill="auto"/>
        </w:rPr>
        <w:t>Bose</w:t>
      </w:r>
      <w:r w:rsidRPr="00E6565C">
        <w:rPr>
          <w:szCs w:val="17"/>
        </w:rPr>
        <w:t xml:space="preserve"> </w:t>
      </w:r>
      <w:r w:rsidRPr="00E6565C">
        <w:rPr>
          <w:rStyle w:val="bibfname"/>
          <w:rFonts w:eastAsiaTheme="minorEastAsia"/>
          <w:sz w:val="17"/>
          <w:szCs w:val="17"/>
          <w:shd w:val="clear" w:color="auto" w:fill="auto"/>
        </w:rPr>
        <w:t>M</w:t>
      </w:r>
      <w:r w:rsidRPr="00E6565C">
        <w:rPr>
          <w:szCs w:val="17"/>
        </w:rPr>
        <w:t xml:space="preserve">, </w:t>
      </w:r>
      <w:r w:rsidRPr="00E6565C">
        <w:rPr>
          <w:rStyle w:val="bibsurname"/>
          <w:rFonts w:eastAsiaTheme="minorEastAsia"/>
          <w:sz w:val="17"/>
          <w:szCs w:val="17"/>
          <w:shd w:val="clear" w:color="auto" w:fill="auto"/>
        </w:rPr>
        <w:t>Keller</w:t>
      </w:r>
      <w:r w:rsidRPr="00E6565C">
        <w:rPr>
          <w:szCs w:val="17"/>
        </w:rPr>
        <w:t xml:space="preserve"> </w:t>
      </w:r>
      <w:r w:rsidRPr="00E6565C">
        <w:rPr>
          <w:rStyle w:val="bibfname"/>
          <w:rFonts w:eastAsiaTheme="minorEastAsia"/>
          <w:sz w:val="17"/>
          <w:szCs w:val="17"/>
          <w:shd w:val="clear" w:color="auto" w:fill="auto"/>
        </w:rPr>
        <w:t>A</w:t>
      </w:r>
      <w:r w:rsidRPr="00E6565C">
        <w:rPr>
          <w:szCs w:val="17"/>
        </w:rPr>
        <w:t xml:space="preserve">, </w:t>
      </w:r>
      <w:r w:rsidRPr="00E6565C">
        <w:rPr>
          <w:rStyle w:val="bibsurname"/>
          <w:rFonts w:eastAsiaTheme="minorEastAsia"/>
          <w:sz w:val="17"/>
          <w:szCs w:val="17"/>
          <w:shd w:val="clear" w:color="auto" w:fill="auto"/>
        </w:rPr>
        <w:t>Hollaway</w:t>
      </w:r>
      <w:r w:rsidRPr="00E6565C">
        <w:rPr>
          <w:szCs w:val="17"/>
        </w:rPr>
        <w:t xml:space="preserve"> </w:t>
      </w:r>
      <w:r w:rsidRPr="00E6565C">
        <w:rPr>
          <w:rStyle w:val="bibfname"/>
          <w:rFonts w:eastAsiaTheme="minorEastAsia"/>
          <w:sz w:val="17"/>
          <w:szCs w:val="17"/>
          <w:shd w:val="clear" w:color="auto" w:fill="auto"/>
        </w:rPr>
        <w:t>R</w:t>
      </w:r>
      <w:r w:rsidRPr="00E6565C">
        <w:rPr>
          <w:szCs w:val="17"/>
        </w:rPr>
        <w:t xml:space="preserve">, </w:t>
      </w:r>
      <w:r w:rsidRPr="00E6565C">
        <w:rPr>
          <w:rStyle w:val="bibetal"/>
          <w:rFonts w:eastAsiaTheme="minorEastAsia"/>
          <w:sz w:val="17"/>
          <w:szCs w:val="17"/>
          <w:shd w:val="clear" w:color="auto" w:fill="auto"/>
        </w:rPr>
        <w:t>et al.</w:t>
      </w:r>
      <w:r w:rsidRPr="00E6565C">
        <w:rPr>
          <w:szCs w:val="17"/>
        </w:rPr>
        <w:t xml:space="preserve"> </w:t>
      </w:r>
      <w:r w:rsidRPr="00E6565C">
        <w:rPr>
          <w:rStyle w:val="bibarticle"/>
          <w:rFonts w:eastAsiaTheme="minorEastAsia"/>
          <w:sz w:val="17"/>
          <w:szCs w:val="17"/>
          <w:shd w:val="clear" w:color="auto" w:fill="auto"/>
        </w:rPr>
        <w:t xml:space="preserve">Multidrug-resistant </w:t>
      </w:r>
      <w:r w:rsidRPr="00E6565C">
        <w:rPr>
          <w:rStyle w:val="bibarticle"/>
          <w:rFonts w:eastAsiaTheme="minorEastAsia"/>
          <w:i/>
          <w:sz w:val="17"/>
          <w:szCs w:val="17"/>
          <w:shd w:val="clear" w:color="auto" w:fill="auto"/>
        </w:rPr>
        <w:t>Pseudomonas aeruginosa</w:t>
      </w:r>
      <w:r w:rsidRPr="00E6565C">
        <w:rPr>
          <w:rStyle w:val="bibarticle"/>
          <w:rFonts w:eastAsiaTheme="minorEastAsia"/>
          <w:sz w:val="17"/>
          <w:szCs w:val="17"/>
          <w:shd w:val="clear" w:color="auto" w:fill="auto"/>
        </w:rPr>
        <w:t xml:space="preserve"> from sputum of patients with cystic fibrosis demonstrates a high rate of susceptibility to ceftazidime</w:t>
      </w:r>
      <w:r w:rsidR="004179FD">
        <w:rPr>
          <w:rStyle w:val="bibarticle"/>
          <w:rFonts w:eastAsiaTheme="minorEastAsia"/>
          <w:sz w:val="17"/>
          <w:szCs w:val="17"/>
          <w:shd w:val="clear" w:color="auto" w:fill="auto"/>
        </w:rPr>
        <w:t>–</w:t>
      </w:r>
      <w:r w:rsidRPr="00E6565C">
        <w:rPr>
          <w:rStyle w:val="bibarticle"/>
          <w:rFonts w:eastAsiaTheme="minorEastAsia"/>
          <w:sz w:val="17"/>
          <w:szCs w:val="17"/>
          <w:shd w:val="clear" w:color="auto" w:fill="auto"/>
        </w:rPr>
        <w:t>avibactam.</w:t>
      </w:r>
      <w:r w:rsidRPr="00E6565C">
        <w:rPr>
          <w:szCs w:val="17"/>
        </w:rPr>
        <w:t xml:space="preserve"> </w:t>
      </w:r>
      <w:r w:rsidRPr="00E6565C">
        <w:rPr>
          <w:rStyle w:val="bibjournal"/>
          <w:rFonts w:eastAsiaTheme="minorEastAsia"/>
          <w:sz w:val="17"/>
          <w:szCs w:val="17"/>
          <w:shd w:val="clear" w:color="auto" w:fill="auto"/>
        </w:rPr>
        <w:t>Infect Drug Resist</w:t>
      </w:r>
      <w:r w:rsidRPr="00E6565C">
        <w:rPr>
          <w:szCs w:val="17"/>
        </w:rPr>
        <w:t xml:space="preserve"> </w:t>
      </w:r>
      <w:r w:rsidRPr="00E6565C">
        <w:rPr>
          <w:rStyle w:val="bibyear"/>
          <w:rFonts w:eastAsiaTheme="minorEastAsia"/>
          <w:sz w:val="17"/>
          <w:szCs w:val="17"/>
          <w:shd w:val="clear" w:color="auto" w:fill="auto"/>
        </w:rPr>
        <w:t>2018</w:t>
      </w:r>
      <w:r w:rsidRPr="00E6565C">
        <w:rPr>
          <w:szCs w:val="17"/>
        </w:rPr>
        <w:t>;</w:t>
      </w:r>
      <w:r w:rsidRPr="00E6565C">
        <w:rPr>
          <w:rStyle w:val="bibvolume"/>
          <w:rFonts w:eastAsiaTheme="minorEastAsia"/>
          <w:sz w:val="17"/>
          <w:szCs w:val="17"/>
          <w:shd w:val="clear" w:color="auto" w:fill="auto"/>
        </w:rPr>
        <w:t>11</w:t>
      </w:r>
      <w:r w:rsidRPr="00E6565C">
        <w:rPr>
          <w:szCs w:val="17"/>
        </w:rPr>
        <w:t>:</w:t>
      </w:r>
      <w:r w:rsidRPr="00E6565C">
        <w:rPr>
          <w:rStyle w:val="bibfpage"/>
          <w:rFonts w:eastAsiaTheme="minorEastAsia"/>
          <w:sz w:val="17"/>
          <w:szCs w:val="17"/>
          <w:shd w:val="clear" w:color="auto" w:fill="auto"/>
        </w:rPr>
        <w:t>1499</w:t>
      </w:r>
      <w:r w:rsidRPr="00E6565C">
        <w:rPr>
          <w:szCs w:val="17"/>
        </w:rPr>
        <w:t>–</w:t>
      </w:r>
      <w:r w:rsidRPr="00E6565C">
        <w:rPr>
          <w:rStyle w:val="biblpage"/>
          <w:rFonts w:eastAsiaTheme="minorEastAsia"/>
          <w:sz w:val="17"/>
          <w:szCs w:val="17"/>
          <w:shd w:val="clear" w:color="auto" w:fill="auto"/>
        </w:rPr>
        <w:t>510.</w:t>
      </w:r>
      <w:r w:rsidRPr="00E6565C">
        <w:rPr>
          <w:szCs w:val="17"/>
        </w:rPr>
        <w:t xml:space="preserve"> </w:t>
      </w:r>
    </w:p>
    <w:p w14:paraId="239B8E1F" w14:textId="16ACB931" w:rsidR="00AA4FB2" w:rsidRPr="00E6565C" w:rsidRDefault="00AA4FB2" w:rsidP="00AA4FB2">
      <w:pPr>
        <w:pStyle w:val="hreference"/>
        <w:rPr>
          <w:szCs w:val="17"/>
        </w:rPr>
      </w:pPr>
      <w:r w:rsidRPr="00E6565C">
        <w:rPr>
          <w:szCs w:val="17"/>
        </w:rPr>
        <w:t>[</w:t>
      </w:r>
      <w:r w:rsidRPr="00E6565C">
        <w:rPr>
          <w:rStyle w:val="bibnumber"/>
          <w:rFonts w:eastAsiaTheme="minorEastAsia"/>
          <w:sz w:val="17"/>
          <w:szCs w:val="17"/>
          <w:shd w:val="clear" w:color="auto" w:fill="auto"/>
        </w:rPr>
        <w:t>10</w:t>
      </w:r>
      <w:r w:rsidRPr="00E6565C">
        <w:rPr>
          <w:szCs w:val="17"/>
        </w:rPr>
        <w:t>]</w:t>
      </w:r>
      <w:r w:rsidRPr="00E6565C">
        <w:rPr>
          <w:szCs w:val="17"/>
        </w:rPr>
        <w:tab/>
      </w:r>
      <w:r w:rsidRPr="00E6565C">
        <w:rPr>
          <w:rStyle w:val="bibsurname"/>
          <w:rFonts w:eastAsiaTheme="minorEastAsia"/>
          <w:sz w:val="17"/>
          <w:szCs w:val="17"/>
          <w:shd w:val="clear" w:color="auto" w:fill="auto"/>
        </w:rPr>
        <w:t>Chalhoub</w:t>
      </w:r>
      <w:r w:rsidRPr="00E6565C">
        <w:rPr>
          <w:szCs w:val="17"/>
        </w:rPr>
        <w:t xml:space="preserve"> </w:t>
      </w:r>
      <w:r w:rsidRPr="00E6565C">
        <w:rPr>
          <w:rStyle w:val="bibfname"/>
          <w:rFonts w:eastAsiaTheme="minorEastAsia"/>
          <w:sz w:val="17"/>
          <w:szCs w:val="17"/>
          <w:shd w:val="clear" w:color="auto" w:fill="auto"/>
        </w:rPr>
        <w:t>H</w:t>
      </w:r>
      <w:r w:rsidRPr="00E6565C">
        <w:rPr>
          <w:szCs w:val="17"/>
        </w:rPr>
        <w:t xml:space="preserve">, </w:t>
      </w:r>
      <w:r w:rsidRPr="00E6565C">
        <w:rPr>
          <w:rStyle w:val="bibsurname"/>
          <w:rFonts w:eastAsiaTheme="minorEastAsia"/>
          <w:sz w:val="17"/>
          <w:szCs w:val="17"/>
          <w:shd w:val="clear" w:color="auto" w:fill="auto"/>
        </w:rPr>
        <w:t>Sáenz</w:t>
      </w:r>
      <w:r w:rsidRPr="00E6565C">
        <w:rPr>
          <w:szCs w:val="17"/>
        </w:rPr>
        <w:t xml:space="preserve"> </w:t>
      </w:r>
      <w:r w:rsidRPr="00E6565C">
        <w:rPr>
          <w:rStyle w:val="bibfname"/>
          <w:rFonts w:eastAsiaTheme="minorEastAsia"/>
          <w:sz w:val="17"/>
          <w:szCs w:val="17"/>
          <w:shd w:val="clear" w:color="auto" w:fill="auto"/>
        </w:rPr>
        <w:t>Y</w:t>
      </w:r>
      <w:r w:rsidRPr="00E6565C">
        <w:rPr>
          <w:szCs w:val="17"/>
        </w:rPr>
        <w:t xml:space="preserve">, </w:t>
      </w:r>
      <w:r w:rsidRPr="00E6565C">
        <w:rPr>
          <w:rStyle w:val="bibsurname"/>
          <w:rFonts w:eastAsiaTheme="minorEastAsia"/>
          <w:sz w:val="17"/>
          <w:szCs w:val="17"/>
          <w:shd w:val="clear" w:color="auto" w:fill="auto"/>
        </w:rPr>
        <w:t>Nichols</w:t>
      </w:r>
      <w:r w:rsidRPr="00E6565C">
        <w:rPr>
          <w:szCs w:val="17"/>
        </w:rPr>
        <w:t xml:space="preserve"> </w:t>
      </w:r>
      <w:r w:rsidRPr="00E6565C">
        <w:rPr>
          <w:rStyle w:val="bibfname"/>
          <w:rFonts w:eastAsiaTheme="minorEastAsia"/>
          <w:sz w:val="17"/>
          <w:szCs w:val="17"/>
          <w:shd w:val="clear" w:color="auto" w:fill="auto"/>
        </w:rPr>
        <w:t>WW</w:t>
      </w:r>
      <w:r w:rsidRPr="00E6565C">
        <w:rPr>
          <w:szCs w:val="17"/>
        </w:rPr>
        <w:t xml:space="preserve">, </w:t>
      </w:r>
      <w:r w:rsidRPr="00E6565C">
        <w:rPr>
          <w:rStyle w:val="bibsurname"/>
          <w:rFonts w:eastAsiaTheme="minorEastAsia"/>
          <w:sz w:val="17"/>
          <w:szCs w:val="17"/>
          <w:shd w:val="clear" w:color="auto" w:fill="auto"/>
        </w:rPr>
        <w:t>Tulkens</w:t>
      </w:r>
      <w:r w:rsidRPr="00E6565C">
        <w:rPr>
          <w:szCs w:val="17"/>
        </w:rPr>
        <w:t xml:space="preserve"> </w:t>
      </w:r>
      <w:r w:rsidRPr="00E6565C">
        <w:rPr>
          <w:rStyle w:val="bibfname"/>
          <w:rFonts w:eastAsiaTheme="minorEastAsia"/>
          <w:sz w:val="17"/>
          <w:szCs w:val="17"/>
          <w:shd w:val="clear" w:color="auto" w:fill="auto"/>
        </w:rPr>
        <w:t>PM</w:t>
      </w:r>
      <w:r w:rsidRPr="00E6565C">
        <w:rPr>
          <w:szCs w:val="17"/>
        </w:rPr>
        <w:t xml:space="preserve">, </w:t>
      </w:r>
      <w:r w:rsidRPr="00E6565C">
        <w:rPr>
          <w:rStyle w:val="bibsurname"/>
          <w:rFonts w:eastAsiaTheme="minorEastAsia"/>
          <w:sz w:val="17"/>
          <w:szCs w:val="17"/>
          <w:shd w:val="clear" w:color="auto" w:fill="auto"/>
        </w:rPr>
        <w:t>Van Bambeke</w:t>
      </w:r>
      <w:r w:rsidRPr="00E6565C">
        <w:rPr>
          <w:szCs w:val="17"/>
        </w:rPr>
        <w:t xml:space="preserve"> </w:t>
      </w:r>
      <w:r w:rsidRPr="00E6565C">
        <w:rPr>
          <w:rStyle w:val="bibfname"/>
          <w:rFonts w:eastAsiaTheme="minorEastAsia"/>
          <w:sz w:val="17"/>
          <w:szCs w:val="17"/>
          <w:shd w:val="clear" w:color="auto" w:fill="auto"/>
        </w:rPr>
        <w:t>F</w:t>
      </w:r>
      <w:r w:rsidRPr="00E6565C">
        <w:rPr>
          <w:szCs w:val="17"/>
        </w:rPr>
        <w:t xml:space="preserve">. </w:t>
      </w:r>
      <w:r w:rsidRPr="00E6565C">
        <w:rPr>
          <w:rStyle w:val="bibarticle"/>
          <w:rFonts w:eastAsiaTheme="minorEastAsia"/>
          <w:sz w:val="17"/>
          <w:szCs w:val="17"/>
          <w:shd w:val="clear" w:color="auto" w:fill="auto"/>
        </w:rPr>
        <w:t>Loss of activity of ceftazidime</w:t>
      </w:r>
      <w:r w:rsidR="004179FD">
        <w:rPr>
          <w:rStyle w:val="bibarticle"/>
          <w:rFonts w:eastAsiaTheme="minorEastAsia"/>
          <w:sz w:val="17"/>
          <w:szCs w:val="17"/>
          <w:shd w:val="clear" w:color="auto" w:fill="auto"/>
        </w:rPr>
        <w:t>–</w:t>
      </w:r>
      <w:r w:rsidRPr="00E6565C">
        <w:rPr>
          <w:rStyle w:val="bibarticle"/>
          <w:rFonts w:eastAsiaTheme="minorEastAsia"/>
          <w:sz w:val="17"/>
          <w:szCs w:val="17"/>
          <w:shd w:val="clear" w:color="auto" w:fill="auto"/>
        </w:rPr>
        <w:t xml:space="preserve">avibactam due to MexAB-OprM efflux and overproduction of AmpC cephalosporinase in </w:t>
      </w:r>
      <w:r w:rsidRPr="00E6565C">
        <w:rPr>
          <w:rStyle w:val="bibarticle"/>
          <w:rFonts w:eastAsiaTheme="minorEastAsia"/>
          <w:i/>
          <w:sz w:val="17"/>
          <w:szCs w:val="17"/>
          <w:shd w:val="clear" w:color="auto" w:fill="auto"/>
        </w:rPr>
        <w:t>Pseudomonas aeruginosa</w:t>
      </w:r>
      <w:r w:rsidRPr="00E6565C">
        <w:rPr>
          <w:rStyle w:val="bibarticle"/>
          <w:rFonts w:eastAsiaTheme="minorEastAsia"/>
          <w:sz w:val="17"/>
          <w:szCs w:val="17"/>
          <w:shd w:val="clear" w:color="auto" w:fill="auto"/>
        </w:rPr>
        <w:t xml:space="preserve"> isolated from patients suffering from cystic fibrosis.</w:t>
      </w:r>
      <w:r w:rsidRPr="00E6565C">
        <w:rPr>
          <w:szCs w:val="17"/>
        </w:rPr>
        <w:t xml:space="preserve"> </w:t>
      </w:r>
      <w:r w:rsidRPr="00E6565C">
        <w:rPr>
          <w:rStyle w:val="bibjournal"/>
          <w:rFonts w:eastAsiaTheme="minorEastAsia"/>
          <w:sz w:val="17"/>
          <w:szCs w:val="17"/>
          <w:shd w:val="clear" w:color="auto" w:fill="auto"/>
        </w:rPr>
        <w:t>Int J Antimicrob Agents</w:t>
      </w:r>
      <w:r w:rsidRPr="00E6565C">
        <w:rPr>
          <w:szCs w:val="17"/>
        </w:rPr>
        <w:t xml:space="preserve"> </w:t>
      </w:r>
      <w:r w:rsidRPr="00E6565C">
        <w:rPr>
          <w:rStyle w:val="bibyear"/>
          <w:rFonts w:eastAsiaTheme="minorEastAsia"/>
          <w:sz w:val="17"/>
          <w:szCs w:val="17"/>
          <w:shd w:val="clear" w:color="auto" w:fill="auto"/>
        </w:rPr>
        <w:t>2018</w:t>
      </w:r>
      <w:r w:rsidRPr="00E6565C">
        <w:rPr>
          <w:szCs w:val="17"/>
        </w:rPr>
        <w:t>;</w:t>
      </w:r>
      <w:r w:rsidRPr="00E6565C">
        <w:rPr>
          <w:rStyle w:val="bibvolume"/>
          <w:rFonts w:eastAsiaTheme="minorEastAsia"/>
          <w:sz w:val="17"/>
          <w:szCs w:val="17"/>
          <w:shd w:val="clear" w:color="auto" w:fill="auto"/>
        </w:rPr>
        <w:t>52</w:t>
      </w:r>
      <w:r w:rsidRPr="00E6565C">
        <w:rPr>
          <w:szCs w:val="17"/>
        </w:rPr>
        <w:t>(</w:t>
      </w:r>
      <w:r w:rsidRPr="00E6565C">
        <w:rPr>
          <w:rStyle w:val="bibissue"/>
          <w:rFonts w:eastAsiaTheme="minorEastAsia"/>
          <w:sz w:val="17"/>
          <w:szCs w:val="17"/>
          <w:shd w:val="clear" w:color="auto" w:fill="auto"/>
        </w:rPr>
        <w:t>5</w:t>
      </w:r>
      <w:r w:rsidRPr="00E6565C">
        <w:rPr>
          <w:szCs w:val="17"/>
        </w:rPr>
        <w:t>):</w:t>
      </w:r>
      <w:r w:rsidRPr="00E6565C">
        <w:rPr>
          <w:rStyle w:val="bibfpage"/>
          <w:rFonts w:eastAsiaTheme="minorEastAsia"/>
          <w:sz w:val="17"/>
          <w:szCs w:val="17"/>
          <w:shd w:val="clear" w:color="auto" w:fill="auto"/>
        </w:rPr>
        <w:t>697</w:t>
      </w:r>
      <w:r w:rsidRPr="00E6565C">
        <w:rPr>
          <w:szCs w:val="17"/>
        </w:rPr>
        <w:t>–</w:t>
      </w:r>
      <w:r w:rsidRPr="00E6565C">
        <w:rPr>
          <w:rStyle w:val="biblpage"/>
          <w:rFonts w:eastAsiaTheme="minorEastAsia"/>
          <w:sz w:val="17"/>
          <w:szCs w:val="17"/>
          <w:shd w:val="clear" w:color="auto" w:fill="auto"/>
        </w:rPr>
        <w:t>701.</w:t>
      </w:r>
      <w:r w:rsidRPr="00E6565C">
        <w:rPr>
          <w:szCs w:val="17"/>
        </w:rPr>
        <w:t xml:space="preserve"> </w:t>
      </w:r>
    </w:p>
    <w:p w14:paraId="21A8078A" w14:textId="77777777" w:rsidR="00AA4FB2" w:rsidRPr="00E6565C" w:rsidRDefault="00AA4FB2" w:rsidP="00AA4FB2">
      <w:pPr>
        <w:pStyle w:val="hreference"/>
        <w:rPr>
          <w:szCs w:val="17"/>
        </w:rPr>
      </w:pPr>
      <w:r w:rsidRPr="00E6565C">
        <w:rPr>
          <w:szCs w:val="17"/>
        </w:rPr>
        <w:t>[</w:t>
      </w:r>
      <w:r w:rsidRPr="00E6565C">
        <w:rPr>
          <w:rStyle w:val="bibnumber"/>
          <w:rFonts w:eastAsiaTheme="minorEastAsia"/>
          <w:sz w:val="17"/>
          <w:szCs w:val="17"/>
          <w:shd w:val="clear" w:color="auto" w:fill="auto"/>
        </w:rPr>
        <w:t>11</w:t>
      </w:r>
      <w:r w:rsidRPr="00E6565C">
        <w:rPr>
          <w:szCs w:val="17"/>
        </w:rPr>
        <w:t>]</w:t>
      </w:r>
      <w:r w:rsidRPr="00E6565C">
        <w:rPr>
          <w:szCs w:val="17"/>
        </w:rPr>
        <w:tab/>
      </w:r>
      <w:r w:rsidRPr="00E6565C">
        <w:rPr>
          <w:rStyle w:val="bibsurname"/>
          <w:rFonts w:eastAsiaTheme="minorEastAsia"/>
          <w:sz w:val="17"/>
          <w:szCs w:val="17"/>
          <w:shd w:val="clear" w:color="auto" w:fill="auto"/>
        </w:rPr>
        <w:t>Shen</w:t>
      </w:r>
      <w:r w:rsidRPr="00E6565C">
        <w:rPr>
          <w:szCs w:val="17"/>
        </w:rPr>
        <w:t xml:space="preserve"> </w:t>
      </w:r>
      <w:r w:rsidRPr="00E6565C">
        <w:rPr>
          <w:rStyle w:val="bibfname"/>
          <w:rFonts w:eastAsiaTheme="minorEastAsia"/>
          <w:sz w:val="17"/>
          <w:szCs w:val="17"/>
          <w:shd w:val="clear" w:color="auto" w:fill="auto"/>
        </w:rPr>
        <w:t>Z</w:t>
      </w:r>
      <w:r w:rsidRPr="00E6565C">
        <w:rPr>
          <w:szCs w:val="17"/>
        </w:rPr>
        <w:t xml:space="preserve">, </w:t>
      </w:r>
      <w:r w:rsidRPr="00E6565C">
        <w:rPr>
          <w:rStyle w:val="bibsurname"/>
          <w:rFonts w:eastAsiaTheme="minorEastAsia"/>
          <w:sz w:val="17"/>
          <w:szCs w:val="17"/>
          <w:shd w:val="clear" w:color="auto" w:fill="auto"/>
        </w:rPr>
        <w:t>Ding</w:t>
      </w:r>
      <w:r w:rsidRPr="00E6565C">
        <w:rPr>
          <w:szCs w:val="17"/>
        </w:rPr>
        <w:t xml:space="preserve"> </w:t>
      </w:r>
      <w:r w:rsidRPr="00E6565C">
        <w:rPr>
          <w:rStyle w:val="bibfname"/>
          <w:rFonts w:eastAsiaTheme="minorEastAsia"/>
          <w:sz w:val="17"/>
          <w:szCs w:val="17"/>
          <w:shd w:val="clear" w:color="auto" w:fill="auto"/>
        </w:rPr>
        <w:t>B</w:t>
      </w:r>
      <w:r w:rsidRPr="00E6565C">
        <w:rPr>
          <w:szCs w:val="17"/>
        </w:rPr>
        <w:t xml:space="preserve">, </w:t>
      </w:r>
      <w:r w:rsidRPr="00E6565C">
        <w:rPr>
          <w:rStyle w:val="bibsurname"/>
          <w:rFonts w:eastAsiaTheme="minorEastAsia"/>
          <w:sz w:val="17"/>
          <w:szCs w:val="17"/>
          <w:shd w:val="clear" w:color="auto" w:fill="auto"/>
        </w:rPr>
        <w:t>Ye</w:t>
      </w:r>
      <w:r w:rsidRPr="00E6565C">
        <w:rPr>
          <w:szCs w:val="17"/>
        </w:rPr>
        <w:t xml:space="preserve"> </w:t>
      </w:r>
      <w:r w:rsidRPr="00E6565C">
        <w:rPr>
          <w:rStyle w:val="bibfname"/>
          <w:rFonts w:eastAsiaTheme="minorEastAsia"/>
          <w:sz w:val="17"/>
          <w:szCs w:val="17"/>
          <w:shd w:val="clear" w:color="auto" w:fill="auto"/>
        </w:rPr>
        <w:t>M</w:t>
      </w:r>
      <w:r w:rsidRPr="00E6565C">
        <w:rPr>
          <w:szCs w:val="17"/>
        </w:rPr>
        <w:t xml:space="preserve">, </w:t>
      </w:r>
      <w:r w:rsidRPr="00E6565C">
        <w:rPr>
          <w:rStyle w:val="bibsurname"/>
          <w:rFonts w:eastAsiaTheme="minorEastAsia"/>
          <w:sz w:val="17"/>
          <w:szCs w:val="17"/>
          <w:shd w:val="clear" w:color="auto" w:fill="auto"/>
        </w:rPr>
        <w:t>Wang</w:t>
      </w:r>
      <w:r w:rsidRPr="00E6565C">
        <w:rPr>
          <w:szCs w:val="17"/>
        </w:rPr>
        <w:t xml:space="preserve"> </w:t>
      </w:r>
      <w:r w:rsidRPr="00E6565C">
        <w:rPr>
          <w:rStyle w:val="bibfname"/>
          <w:rFonts w:eastAsiaTheme="minorEastAsia"/>
          <w:sz w:val="17"/>
          <w:szCs w:val="17"/>
          <w:shd w:val="clear" w:color="auto" w:fill="auto"/>
        </w:rPr>
        <w:t>P</w:t>
      </w:r>
      <w:r w:rsidRPr="00E6565C">
        <w:rPr>
          <w:szCs w:val="17"/>
        </w:rPr>
        <w:t xml:space="preserve">, </w:t>
      </w:r>
      <w:r w:rsidRPr="00E6565C">
        <w:rPr>
          <w:rStyle w:val="bibsurname"/>
          <w:rFonts w:eastAsiaTheme="minorEastAsia"/>
          <w:sz w:val="17"/>
          <w:szCs w:val="17"/>
          <w:shd w:val="clear" w:color="auto" w:fill="auto"/>
        </w:rPr>
        <w:t>Bi</w:t>
      </w:r>
      <w:r w:rsidRPr="00E6565C">
        <w:rPr>
          <w:szCs w:val="17"/>
        </w:rPr>
        <w:t xml:space="preserve"> </w:t>
      </w:r>
      <w:r w:rsidRPr="00E6565C">
        <w:rPr>
          <w:rStyle w:val="bibfname"/>
          <w:rFonts w:eastAsiaTheme="minorEastAsia"/>
          <w:sz w:val="17"/>
          <w:szCs w:val="17"/>
          <w:shd w:val="clear" w:color="auto" w:fill="auto"/>
        </w:rPr>
        <w:t>Y</w:t>
      </w:r>
      <w:r w:rsidRPr="00E6565C">
        <w:rPr>
          <w:szCs w:val="17"/>
        </w:rPr>
        <w:t xml:space="preserve">, </w:t>
      </w:r>
      <w:r w:rsidRPr="00E6565C">
        <w:rPr>
          <w:rStyle w:val="bibsurname"/>
          <w:rFonts w:eastAsiaTheme="minorEastAsia"/>
          <w:sz w:val="17"/>
          <w:szCs w:val="17"/>
          <w:shd w:val="clear" w:color="auto" w:fill="auto"/>
        </w:rPr>
        <w:t>Wu</w:t>
      </w:r>
      <w:r w:rsidRPr="00E6565C">
        <w:rPr>
          <w:szCs w:val="17"/>
        </w:rPr>
        <w:t xml:space="preserve"> </w:t>
      </w:r>
      <w:r w:rsidRPr="00E6565C">
        <w:rPr>
          <w:rStyle w:val="bibfname"/>
          <w:rFonts w:eastAsiaTheme="minorEastAsia"/>
          <w:sz w:val="17"/>
          <w:szCs w:val="17"/>
          <w:shd w:val="clear" w:color="auto" w:fill="auto"/>
        </w:rPr>
        <w:t>S</w:t>
      </w:r>
      <w:r w:rsidRPr="00E6565C">
        <w:rPr>
          <w:szCs w:val="17"/>
        </w:rPr>
        <w:t xml:space="preserve">, </w:t>
      </w:r>
      <w:r w:rsidRPr="00E6565C">
        <w:rPr>
          <w:rStyle w:val="bibetal"/>
          <w:rFonts w:eastAsiaTheme="minorEastAsia"/>
          <w:sz w:val="17"/>
          <w:szCs w:val="17"/>
          <w:shd w:val="clear" w:color="auto" w:fill="auto"/>
        </w:rPr>
        <w:t>et al.</w:t>
      </w:r>
      <w:r w:rsidRPr="00E6565C">
        <w:rPr>
          <w:szCs w:val="17"/>
        </w:rPr>
        <w:t xml:space="preserve"> </w:t>
      </w:r>
      <w:r w:rsidRPr="00E6565C">
        <w:rPr>
          <w:rStyle w:val="bibarticle"/>
          <w:rFonts w:eastAsiaTheme="minorEastAsia"/>
          <w:sz w:val="17"/>
          <w:szCs w:val="17"/>
          <w:shd w:val="clear" w:color="auto" w:fill="auto"/>
        </w:rPr>
        <w:t xml:space="preserve">High ceftazidime hydrolysis activity and porin OmpK35 deficiency contribute to the decreased susceptibility to ceftazidime/avibactam in KPC-producing </w:t>
      </w:r>
      <w:r w:rsidRPr="00E6565C">
        <w:rPr>
          <w:rStyle w:val="bibarticle"/>
          <w:rFonts w:eastAsiaTheme="minorEastAsia"/>
          <w:i/>
          <w:sz w:val="17"/>
          <w:szCs w:val="17"/>
          <w:shd w:val="clear" w:color="auto" w:fill="auto"/>
        </w:rPr>
        <w:t>Klebsiella pneumoniae.</w:t>
      </w:r>
      <w:r w:rsidRPr="00E6565C">
        <w:rPr>
          <w:szCs w:val="17"/>
        </w:rPr>
        <w:t xml:space="preserve"> </w:t>
      </w:r>
      <w:r w:rsidRPr="00E6565C">
        <w:rPr>
          <w:rStyle w:val="bibjournal"/>
          <w:rFonts w:eastAsiaTheme="minorEastAsia"/>
          <w:sz w:val="17"/>
          <w:szCs w:val="17"/>
          <w:shd w:val="clear" w:color="auto" w:fill="auto"/>
        </w:rPr>
        <w:t>J Antimicrob Chemother</w:t>
      </w:r>
      <w:r w:rsidRPr="00E6565C">
        <w:rPr>
          <w:szCs w:val="17"/>
        </w:rPr>
        <w:t xml:space="preserve"> </w:t>
      </w:r>
      <w:r w:rsidRPr="00E6565C">
        <w:rPr>
          <w:rStyle w:val="bibyear"/>
          <w:rFonts w:eastAsiaTheme="minorEastAsia"/>
          <w:sz w:val="17"/>
          <w:szCs w:val="17"/>
          <w:shd w:val="clear" w:color="auto" w:fill="auto"/>
        </w:rPr>
        <w:t>2017</w:t>
      </w:r>
      <w:r w:rsidRPr="00E6565C">
        <w:rPr>
          <w:szCs w:val="17"/>
        </w:rPr>
        <w:t>;</w:t>
      </w:r>
      <w:r w:rsidRPr="00E6565C">
        <w:rPr>
          <w:rStyle w:val="bibvolume"/>
          <w:rFonts w:eastAsiaTheme="minorEastAsia"/>
          <w:sz w:val="17"/>
          <w:szCs w:val="17"/>
          <w:shd w:val="clear" w:color="auto" w:fill="auto"/>
        </w:rPr>
        <w:t>72</w:t>
      </w:r>
      <w:r w:rsidRPr="00E6565C">
        <w:rPr>
          <w:szCs w:val="17"/>
        </w:rPr>
        <w:t>(</w:t>
      </w:r>
      <w:r w:rsidRPr="00E6565C">
        <w:rPr>
          <w:rStyle w:val="bibissue"/>
          <w:rFonts w:eastAsiaTheme="minorEastAsia"/>
          <w:sz w:val="17"/>
          <w:szCs w:val="17"/>
          <w:shd w:val="clear" w:color="auto" w:fill="auto"/>
        </w:rPr>
        <w:t>7</w:t>
      </w:r>
      <w:r w:rsidRPr="00E6565C">
        <w:rPr>
          <w:szCs w:val="17"/>
        </w:rPr>
        <w:t>):</w:t>
      </w:r>
      <w:r w:rsidRPr="00E6565C">
        <w:rPr>
          <w:rStyle w:val="bibfpage"/>
          <w:rFonts w:eastAsiaTheme="minorEastAsia"/>
          <w:sz w:val="17"/>
          <w:szCs w:val="17"/>
          <w:shd w:val="clear" w:color="auto" w:fill="auto"/>
        </w:rPr>
        <w:t>1930</w:t>
      </w:r>
      <w:r w:rsidRPr="00E6565C">
        <w:rPr>
          <w:szCs w:val="17"/>
        </w:rPr>
        <w:t>–</w:t>
      </w:r>
      <w:r w:rsidRPr="00E6565C">
        <w:rPr>
          <w:rStyle w:val="biblpage"/>
          <w:rFonts w:eastAsiaTheme="minorEastAsia"/>
          <w:sz w:val="17"/>
          <w:szCs w:val="17"/>
          <w:shd w:val="clear" w:color="auto" w:fill="auto"/>
        </w:rPr>
        <w:t>6.</w:t>
      </w:r>
      <w:r w:rsidRPr="00E6565C">
        <w:rPr>
          <w:szCs w:val="17"/>
        </w:rPr>
        <w:t xml:space="preserve"> </w:t>
      </w:r>
    </w:p>
    <w:p w14:paraId="166B4069" w14:textId="449E10AE" w:rsidR="009C615B" w:rsidRPr="002F7A33" w:rsidRDefault="002F7A33" w:rsidP="002F7A33">
      <w:pPr>
        <w:pStyle w:val="hreference"/>
        <w:rPr>
          <w:szCs w:val="17"/>
        </w:rPr>
      </w:pPr>
      <w:r w:rsidRPr="00E6565C">
        <w:rPr>
          <w:szCs w:val="17"/>
        </w:rPr>
        <w:t>[</w:t>
      </w:r>
      <w:r w:rsidRPr="002F7A33">
        <w:t>12</w:t>
      </w:r>
      <w:r w:rsidRPr="00E6565C">
        <w:rPr>
          <w:szCs w:val="17"/>
        </w:rPr>
        <w:t>]</w:t>
      </w:r>
      <w:r w:rsidRPr="00E6565C">
        <w:rPr>
          <w:szCs w:val="17"/>
        </w:rPr>
        <w:tab/>
      </w:r>
      <w:r w:rsidRPr="002F7A33">
        <w:t>Castanheira</w:t>
      </w:r>
      <w:r w:rsidRPr="00E6565C">
        <w:rPr>
          <w:szCs w:val="17"/>
        </w:rPr>
        <w:t xml:space="preserve"> </w:t>
      </w:r>
      <w:r w:rsidRPr="002F7A33">
        <w:t>M</w:t>
      </w:r>
      <w:r w:rsidRPr="00E6565C">
        <w:rPr>
          <w:szCs w:val="17"/>
        </w:rPr>
        <w:t xml:space="preserve">, </w:t>
      </w:r>
      <w:r w:rsidRPr="002F7A33">
        <w:t>Mendes</w:t>
      </w:r>
      <w:r w:rsidRPr="00E6565C">
        <w:rPr>
          <w:szCs w:val="17"/>
        </w:rPr>
        <w:t xml:space="preserve"> </w:t>
      </w:r>
      <w:r w:rsidRPr="002F7A33">
        <w:t>RE</w:t>
      </w:r>
      <w:r w:rsidRPr="00E6565C">
        <w:rPr>
          <w:szCs w:val="17"/>
        </w:rPr>
        <w:t xml:space="preserve">, </w:t>
      </w:r>
      <w:r w:rsidRPr="002F7A33">
        <w:t>Sader</w:t>
      </w:r>
      <w:r w:rsidRPr="00E6565C">
        <w:rPr>
          <w:szCs w:val="17"/>
        </w:rPr>
        <w:t xml:space="preserve"> </w:t>
      </w:r>
      <w:r w:rsidRPr="002F7A33">
        <w:t>HS.</w:t>
      </w:r>
      <w:r w:rsidRPr="00E6565C">
        <w:rPr>
          <w:szCs w:val="17"/>
        </w:rPr>
        <w:t xml:space="preserve"> Low frequency of ceftazidime</w:t>
      </w:r>
      <w:r w:rsidR="004179FD">
        <w:rPr>
          <w:szCs w:val="17"/>
        </w:rPr>
        <w:t>–</w:t>
      </w:r>
      <w:r w:rsidRPr="00E6565C">
        <w:rPr>
          <w:szCs w:val="17"/>
        </w:rPr>
        <w:t xml:space="preserve">avibactam resistance among </w:t>
      </w:r>
      <w:r w:rsidRPr="002F7A33">
        <w:rPr>
          <w:i/>
          <w:szCs w:val="17"/>
        </w:rPr>
        <w:t xml:space="preserve">Enterobacteriaceae </w:t>
      </w:r>
      <w:r w:rsidRPr="00E6565C">
        <w:rPr>
          <w:szCs w:val="17"/>
        </w:rPr>
        <w:t xml:space="preserve">isolates carrying </w:t>
      </w:r>
      <w:r w:rsidRPr="002F7A33">
        <w:rPr>
          <w:i/>
          <w:szCs w:val="17"/>
        </w:rPr>
        <w:t>bla</w:t>
      </w:r>
      <w:r w:rsidRPr="002F7A33">
        <w:rPr>
          <w:szCs w:val="17"/>
          <w:vertAlign w:val="subscript"/>
        </w:rPr>
        <w:t>KPC</w:t>
      </w:r>
      <w:r w:rsidRPr="00E6565C">
        <w:rPr>
          <w:szCs w:val="17"/>
        </w:rPr>
        <w:t xml:space="preserve"> collected in U.S. hospitals from 2012 to 2015. </w:t>
      </w:r>
      <w:r w:rsidRPr="002F7A33">
        <w:rPr>
          <w:szCs w:val="17"/>
        </w:rPr>
        <w:t>Antimicrob Agents Ch</w:t>
      </w:r>
      <w:r w:rsidRPr="00E6565C">
        <w:rPr>
          <w:szCs w:val="17"/>
        </w:rPr>
        <w:t xml:space="preserve">emother </w:t>
      </w:r>
      <w:r w:rsidRPr="002F7A33">
        <w:t>2017</w:t>
      </w:r>
      <w:r>
        <w:rPr>
          <w:szCs w:val="17"/>
        </w:rPr>
        <w:t>;61(3):e02369–16.</w:t>
      </w:r>
    </w:p>
    <w:sectPr w:rsidR="009C615B" w:rsidRPr="002F7A33" w:rsidSect="009C615B">
      <w:pgSz w:w="16838" w:h="11906" w:orient="landscape"/>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2A5EE" w14:textId="77777777" w:rsidR="004F17F5" w:rsidRDefault="004F17F5" w:rsidP="008D7966">
      <w:r>
        <w:separator/>
      </w:r>
    </w:p>
  </w:endnote>
  <w:endnote w:type="continuationSeparator" w:id="0">
    <w:p w14:paraId="6AF32D57" w14:textId="77777777" w:rsidR="004F17F5" w:rsidRDefault="004F17F5" w:rsidP="008D7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0A01DC" w14:textId="77777777" w:rsidR="004F17F5" w:rsidRDefault="004F17F5" w:rsidP="008D7966">
      <w:r>
        <w:separator/>
      </w:r>
    </w:p>
  </w:footnote>
  <w:footnote w:type="continuationSeparator" w:id="0">
    <w:p w14:paraId="42E57B15" w14:textId="77777777" w:rsidR="004F17F5" w:rsidRDefault="004F17F5" w:rsidP="008D79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15B"/>
    <w:rsid w:val="000126DB"/>
    <w:rsid w:val="00176923"/>
    <w:rsid w:val="001A24E7"/>
    <w:rsid w:val="002F7A33"/>
    <w:rsid w:val="0033034B"/>
    <w:rsid w:val="00356C43"/>
    <w:rsid w:val="004179FD"/>
    <w:rsid w:val="00426A23"/>
    <w:rsid w:val="004F17F5"/>
    <w:rsid w:val="00515484"/>
    <w:rsid w:val="005E5439"/>
    <w:rsid w:val="00645D84"/>
    <w:rsid w:val="0068019E"/>
    <w:rsid w:val="006B562A"/>
    <w:rsid w:val="007B4D3B"/>
    <w:rsid w:val="00850D4F"/>
    <w:rsid w:val="008C5346"/>
    <w:rsid w:val="008D7966"/>
    <w:rsid w:val="008F7BB7"/>
    <w:rsid w:val="00931D84"/>
    <w:rsid w:val="009432D1"/>
    <w:rsid w:val="009C615B"/>
    <w:rsid w:val="00A01C57"/>
    <w:rsid w:val="00A4192B"/>
    <w:rsid w:val="00A460C6"/>
    <w:rsid w:val="00AA4FB2"/>
    <w:rsid w:val="00C145F6"/>
    <w:rsid w:val="00C35BEF"/>
    <w:rsid w:val="00D32AEE"/>
    <w:rsid w:val="00DF4A9F"/>
    <w:rsid w:val="00E6565C"/>
    <w:rsid w:val="00EA4AC0"/>
    <w:rsid w:val="00FB4F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81FE9"/>
  <w15:chartTrackingRefBased/>
  <w15:docId w15:val="{78635BB0-5EF6-4DE9-8C7C-8726A5433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5B"/>
    <w:rPr>
      <w:rFonts w:ascii="Times New Roman" w:eastAsia="宋体" w:hAnsi="Times New Roman" w:cs="Times New Roman"/>
      <w:kern w:val="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网格型1"/>
    <w:basedOn w:val="a1"/>
    <w:next w:val="a3"/>
    <w:uiPriority w:val="59"/>
    <w:rsid w:val="009C615B"/>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affiliations">
    <w:name w:val="haffiliations"/>
    <w:basedOn w:val="a"/>
    <w:qFormat/>
    <w:rsid w:val="009C615B"/>
    <w:pPr>
      <w:spacing w:before="120"/>
    </w:pPr>
    <w:rPr>
      <w:sz w:val="21"/>
      <w:szCs w:val="20"/>
    </w:rPr>
  </w:style>
  <w:style w:type="table" w:styleId="a3">
    <w:name w:val="Table Grid"/>
    <w:basedOn w:val="a1"/>
    <w:uiPriority w:val="59"/>
    <w:rsid w:val="009C61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ebib">
    <w:name w:val="cite_bib"/>
    <w:rsid w:val="009C615B"/>
    <w:rPr>
      <w:sz w:val="21"/>
      <w:bdr w:val="none" w:sz="0" w:space="0" w:color="auto"/>
      <w:shd w:val="clear" w:color="auto" w:fill="CCFFFF"/>
    </w:rPr>
  </w:style>
  <w:style w:type="paragraph" w:styleId="a4">
    <w:name w:val="header"/>
    <w:basedOn w:val="a"/>
    <w:link w:val="Char"/>
    <w:uiPriority w:val="99"/>
    <w:unhideWhenUsed/>
    <w:rsid w:val="008D796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8D7966"/>
    <w:rPr>
      <w:rFonts w:ascii="Times New Roman" w:eastAsia="宋体" w:hAnsi="Times New Roman" w:cs="Times New Roman"/>
      <w:kern w:val="0"/>
      <w:sz w:val="18"/>
      <w:szCs w:val="18"/>
      <w:lang w:eastAsia="en-US"/>
    </w:rPr>
  </w:style>
  <w:style w:type="paragraph" w:styleId="a5">
    <w:name w:val="footer"/>
    <w:basedOn w:val="a"/>
    <w:link w:val="Char0"/>
    <w:uiPriority w:val="99"/>
    <w:unhideWhenUsed/>
    <w:rsid w:val="008D7966"/>
    <w:pPr>
      <w:tabs>
        <w:tab w:val="center" w:pos="4153"/>
        <w:tab w:val="right" w:pos="8306"/>
      </w:tabs>
      <w:snapToGrid w:val="0"/>
    </w:pPr>
    <w:rPr>
      <w:sz w:val="18"/>
      <w:szCs w:val="18"/>
    </w:rPr>
  </w:style>
  <w:style w:type="character" w:customStyle="1" w:styleId="Char0">
    <w:name w:val="页脚 Char"/>
    <w:basedOn w:val="a0"/>
    <w:link w:val="a5"/>
    <w:uiPriority w:val="99"/>
    <w:rsid w:val="008D7966"/>
    <w:rPr>
      <w:rFonts w:ascii="Times New Roman" w:eastAsia="宋体" w:hAnsi="Times New Roman" w:cs="Times New Roman"/>
      <w:kern w:val="0"/>
      <w:sz w:val="18"/>
      <w:szCs w:val="18"/>
      <w:lang w:eastAsia="en-US"/>
    </w:rPr>
  </w:style>
  <w:style w:type="character" w:customStyle="1" w:styleId="bibarticle">
    <w:name w:val="bib_article"/>
    <w:rsid w:val="00AA4FB2"/>
    <w:rPr>
      <w:sz w:val="21"/>
      <w:bdr w:val="none" w:sz="0" w:space="0" w:color="auto"/>
      <w:shd w:val="clear" w:color="auto" w:fill="CCFFFF"/>
    </w:rPr>
  </w:style>
  <w:style w:type="character" w:customStyle="1" w:styleId="bibetal">
    <w:name w:val="bib_etal"/>
    <w:rsid w:val="00AA4FB2"/>
    <w:rPr>
      <w:sz w:val="21"/>
      <w:bdr w:val="none" w:sz="0" w:space="0" w:color="auto"/>
      <w:shd w:val="clear" w:color="auto" w:fill="C9A6F8"/>
    </w:rPr>
  </w:style>
  <w:style w:type="character" w:customStyle="1" w:styleId="bibfname">
    <w:name w:val="bib_fname"/>
    <w:rsid w:val="00AA4FB2"/>
    <w:rPr>
      <w:sz w:val="21"/>
      <w:bdr w:val="none" w:sz="0" w:space="0" w:color="auto"/>
      <w:shd w:val="clear" w:color="auto" w:fill="FFFFCC"/>
    </w:rPr>
  </w:style>
  <w:style w:type="character" w:customStyle="1" w:styleId="bibfpage">
    <w:name w:val="bib_fpage"/>
    <w:rsid w:val="00AA4FB2"/>
    <w:rPr>
      <w:sz w:val="21"/>
      <w:bdr w:val="none" w:sz="0" w:space="0" w:color="auto"/>
      <w:shd w:val="clear" w:color="auto" w:fill="E6E6E6"/>
    </w:rPr>
  </w:style>
  <w:style w:type="character" w:customStyle="1" w:styleId="bibissue">
    <w:name w:val="bib_issue"/>
    <w:rsid w:val="00AA4FB2"/>
    <w:rPr>
      <w:sz w:val="21"/>
      <w:bdr w:val="none" w:sz="0" w:space="0" w:color="auto"/>
      <w:shd w:val="clear" w:color="auto" w:fill="FFFFAB"/>
    </w:rPr>
  </w:style>
  <w:style w:type="character" w:customStyle="1" w:styleId="bibjournal">
    <w:name w:val="bib_journal"/>
    <w:rsid w:val="00AA4FB2"/>
    <w:rPr>
      <w:sz w:val="21"/>
      <w:bdr w:val="none" w:sz="0" w:space="0" w:color="auto"/>
      <w:shd w:val="clear" w:color="auto" w:fill="F9DECF"/>
    </w:rPr>
  </w:style>
  <w:style w:type="character" w:customStyle="1" w:styleId="biblpage">
    <w:name w:val="bib_lpage"/>
    <w:rsid w:val="00AA4FB2"/>
    <w:rPr>
      <w:sz w:val="21"/>
      <w:bdr w:val="none" w:sz="0" w:space="0" w:color="auto"/>
      <w:shd w:val="clear" w:color="auto" w:fill="D9D9D9"/>
    </w:rPr>
  </w:style>
  <w:style w:type="character" w:customStyle="1" w:styleId="bibnumber">
    <w:name w:val="bib_number"/>
    <w:rsid w:val="00AA4FB2"/>
    <w:rPr>
      <w:sz w:val="21"/>
      <w:bdr w:val="none" w:sz="0" w:space="0" w:color="auto"/>
      <w:shd w:val="clear" w:color="auto" w:fill="CCCCFF"/>
    </w:rPr>
  </w:style>
  <w:style w:type="character" w:customStyle="1" w:styleId="bibsurname">
    <w:name w:val="bib_surname"/>
    <w:rsid w:val="00AA4FB2"/>
    <w:rPr>
      <w:sz w:val="21"/>
      <w:bdr w:val="none" w:sz="0" w:space="0" w:color="auto"/>
      <w:shd w:val="clear" w:color="auto" w:fill="CCFF99"/>
    </w:rPr>
  </w:style>
  <w:style w:type="character" w:customStyle="1" w:styleId="bibvolume">
    <w:name w:val="bib_volume"/>
    <w:rsid w:val="00AA4FB2"/>
    <w:rPr>
      <w:sz w:val="21"/>
      <w:bdr w:val="none" w:sz="0" w:space="0" w:color="auto"/>
      <w:shd w:val="clear" w:color="auto" w:fill="CCECFF"/>
    </w:rPr>
  </w:style>
  <w:style w:type="character" w:customStyle="1" w:styleId="bibyear">
    <w:name w:val="bib_year"/>
    <w:rsid w:val="00AA4FB2"/>
    <w:rPr>
      <w:sz w:val="21"/>
      <w:bdr w:val="none" w:sz="0" w:space="0" w:color="auto"/>
      <w:shd w:val="clear" w:color="auto" w:fill="FFCCFF"/>
    </w:rPr>
  </w:style>
  <w:style w:type="paragraph" w:customStyle="1" w:styleId="hreference">
    <w:name w:val="hreference"/>
    <w:basedOn w:val="a"/>
    <w:autoRedefine/>
    <w:rsid w:val="00AA4FB2"/>
    <w:pPr>
      <w:autoSpaceDE w:val="0"/>
      <w:autoSpaceDN w:val="0"/>
      <w:adjustRightInd w:val="0"/>
      <w:spacing w:before="120"/>
      <w:jc w:val="both"/>
    </w:pPr>
    <w:rPr>
      <w:sz w:val="17"/>
      <w:szCs w:val="20"/>
    </w:rPr>
  </w:style>
  <w:style w:type="character" w:styleId="a6">
    <w:name w:val="annotation reference"/>
    <w:basedOn w:val="a0"/>
    <w:uiPriority w:val="99"/>
    <w:semiHidden/>
    <w:unhideWhenUsed/>
    <w:rsid w:val="00850D4F"/>
    <w:rPr>
      <w:sz w:val="21"/>
      <w:szCs w:val="21"/>
    </w:rPr>
  </w:style>
  <w:style w:type="paragraph" w:styleId="a7">
    <w:name w:val="annotation text"/>
    <w:basedOn w:val="a"/>
    <w:link w:val="Char1"/>
    <w:uiPriority w:val="99"/>
    <w:semiHidden/>
    <w:unhideWhenUsed/>
    <w:rsid w:val="00850D4F"/>
  </w:style>
  <w:style w:type="character" w:customStyle="1" w:styleId="Char1">
    <w:name w:val="批注文字 Char"/>
    <w:basedOn w:val="a0"/>
    <w:link w:val="a7"/>
    <w:uiPriority w:val="99"/>
    <w:semiHidden/>
    <w:rsid w:val="00850D4F"/>
    <w:rPr>
      <w:rFonts w:ascii="Times New Roman" w:eastAsia="宋体" w:hAnsi="Times New Roman" w:cs="Times New Roman"/>
      <w:kern w:val="0"/>
      <w:sz w:val="24"/>
      <w:szCs w:val="24"/>
      <w:lang w:eastAsia="en-US"/>
    </w:rPr>
  </w:style>
  <w:style w:type="paragraph" w:styleId="a8">
    <w:name w:val="annotation subject"/>
    <w:basedOn w:val="a7"/>
    <w:next w:val="a7"/>
    <w:link w:val="Char2"/>
    <w:uiPriority w:val="99"/>
    <w:semiHidden/>
    <w:unhideWhenUsed/>
    <w:rsid w:val="00850D4F"/>
    <w:rPr>
      <w:b/>
      <w:bCs/>
    </w:rPr>
  </w:style>
  <w:style w:type="character" w:customStyle="1" w:styleId="Char2">
    <w:name w:val="批注主题 Char"/>
    <w:basedOn w:val="Char1"/>
    <w:link w:val="a8"/>
    <w:uiPriority w:val="99"/>
    <w:semiHidden/>
    <w:rsid w:val="00850D4F"/>
    <w:rPr>
      <w:rFonts w:ascii="Times New Roman" w:eastAsia="宋体" w:hAnsi="Times New Roman" w:cs="Times New Roman"/>
      <w:b/>
      <w:bCs/>
      <w:kern w:val="0"/>
      <w:sz w:val="24"/>
      <w:szCs w:val="24"/>
      <w:lang w:eastAsia="en-US"/>
    </w:rPr>
  </w:style>
  <w:style w:type="paragraph" w:styleId="a9">
    <w:name w:val="Balloon Text"/>
    <w:basedOn w:val="a"/>
    <w:link w:val="Char3"/>
    <w:uiPriority w:val="99"/>
    <w:semiHidden/>
    <w:unhideWhenUsed/>
    <w:rsid w:val="00850D4F"/>
    <w:rPr>
      <w:sz w:val="18"/>
      <w:szCs w:val="18"/>
    </w:rPr>
  </w:style>
  <w:style w:type="character" w:customStyle="1" w:styleId="Char3">
    <w:name w:val="批注框文本 Char"/>
    <w:basedOn w:val="a0"/>
    <w:link w:val="a9"/>
    <w:uiPriority w:val="99"/>
    <w:semiHidden/>
    <w:rsid w:val="00850D4F"/>
    <w:rPr>
      <w:rFonts w:ascii="Times New Roman" w:eastAsia="宋体" w:hAnsi="Times New Roman" w:cs="Times New Roman"/>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3" Type="http://schemas.openxmlformats.org/officeDocument/2006/relationships/webSettings" Target="webSettings.xml"/><Relationship Id="rId7" Type="http://schemas.openxmlformats.org/officeDocument/2006/relationships/image" Target="media/image2.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8</Pages>
  <Words>1850</Words>
  <Characters>10547</Characters>
  <Application>Microsoft Office Word</Application>
  <DocSecurity>0</DocSecurity>
  <Lines>87</Lines>
  <Paragraphs>24</Paragraphs>
  <ScaleCrop>false</ScaleCrop>
  <Company>HP</Company>
  <LinksUpToDate>false</LinksUpToDate>
  <CharactersWithSpaces>12373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WJM</dc:creator>
  <cp:keywords/>
  <dc:description/>
  <cp:lastModifiedBy>WJM</cp:lastModifiedBy>
  <cp:revision>22</cp:revision>
  <dcterms:created xsi:type="dcterms:W3CDTF">2021-01-05T07:55:00Z</dcterms:created>
  <dcterms:modified xsi:type="dcterms:W3CDTF">2021-01-07T09:02:00Z</dcterms:modified>
</cp:coreProperties>
</file>