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5C750" w14:textId="622116E2" w:rsidR="00906F75" w:rsidRPr="00906F75" w:rsidRDefault="00906F75" w:rsidP="00906F75">
      <w:pPr>
        <w:widowControl/>
        <w:adjustRightInd w:val="0"/>
        <w:snapToGrid w:val="0"/>
        <w:jc w:val="left"/>
        <w:rPr>
          <w:szCs w:val="21"/>
        </w:rPr>
      </w:pPr>
      <w:r w:rsidRPr="00906F75">
        <w:rPr>
          <w:rFonts w:hint="eastAsia"/>
          <w:szCs w:val="21"/>
        </w:rPr>
        <w:t>S</w:t>
      </w:r>
      <w:r w:rsidRPr="00906F75">
        <w:rPr>
          <w:szCs w:val="21"/>
        </w:rPr>
        <w:t>upplementary file for</w:t>
      </w:r>
    </w:p>
    <w:p w14:paraId="27CC9C83" w14:textId="77777777" w:rsidR="00906F75" w:rsidRPr="00122987" w:rsidRDefault="00906F75" w:rsidP="00906F75">
      <w:pPr>
        <w:widowControl/>
        <w:adjustRightInd w:val="0"/>
        <w:snapToGrid w:val="0"/>
        <w:jc w:val="left"/>
        <w:rPr>
          <w:rFonts w:cs="Times New Roman"/>
          <w:b/>
          <w:sz w:val="30"/>
          <w:szCs w:val="30"/>
        </w:rPr>
      </w:pPr>
      <w:r w:rsidRPr="00122987">
        <w:rPr>
          <w:b/>
          <w:bCs/>
          <w:sz w:val="30"/>
          <w:szCs w:val="30"/>
        </w:rPr>
        <w:t xml:space="preserve">Lung-Targeted Transgene Expression of </w:t>
      </w:r>
      <w:proofErr w:type="spellStart"/>
      <w:r w:rsidRPr="00122987">
        <w:rPr>
          <w:b/>
          <w:bCs/>
          <w:sz w:val="30"/>
          <w:szCs w:val="30"/>
        </w:rPr>
        <w:t>Nanocomplexed</w:t>
      </w:r>
      <w:proofErr w:type="spellEnd"/>
      <w:r w:rsidRPr="00122987">
        <w:rPr>
          <w:b/>
          <w:bCs/>
          <w:sz w:val="30"/>
          <w:szCs w:val="30"/>
        </w:rPr>
        <w:t xml:space="preserve"> Ad5 Enhances Immune Response in the </w:t>
      </w:r>
      <w:r w:rsidRPr="00122987">
        <w:rPr>
          <w:rFonts w:cs="Times New Roman"/>
          <w:b/>
          <w:bCs/>
          <w:sz w:val="30"/>
          <w:szCs w:val="30"/>
        </w:rPr>
        <w:t>Presence of Preexisting Immunity</w:t>
      </w:r>
    </w:p>
    <w:p w14:paraId="6F9D1020" w14:textId="77777777" w:rsidR="00906F75" w:rsidRPr="00122987" w:rsidRDefault="00906F75" w:rsidP="00906F75">
      <w:pPr>
        <w:widowControl/>
        <w:adjustRightInd w:val="0"/>
        <w:snapToGrid w:val="0"/>
        <w:rPr>
          <w:rFonts w:cs="Times New Roman"/>
          <w:bCs/>
          <w:sz w:val="24"/>
        </w:rPr>
      </w:pPr>
      <w:proofErr w:type="spellStart"/>
      <w:r w:rsidRPr="00122987">
        <w:rPr>
          <w:rFonts w:cs="Times New Roman"/>
          <w:bCs/>
          <w:sz w:val="24"/>
        </w:rPr>
        <w:t>Yilong</w:t>
      </w:r>
      <w:proofErr w:type="spellEnd"/>
      <w:r w:rsidRPr="00122987">
        <w:rPr>
          <w:rFonts w:cs="Times New Roman"/>
          <w:bCs/>
          <w:sz w:val="24"/>
        </w:rPr>
        <w:t xml:space="preserve"> Yang</w:t>
      </w:r>
      <w:r w:rsidRPr="00122987">
        <w:rPr>
          <w:rFonts w:cs="Times New Roman"/>
          <w:bCs/>
          <w:sz w:val="24"/>
          <w:vertAlign w:val="superscript"/>
        </w:rPr>
        <w:t xml:space="preserve"> #</w:t>
      </w:r>
      <w:r w:rsidRPr="00122987">
        <w:rPr>
          <w:rFonts w:cs="Times New Roman"/>
          <w:bCs/>
          <w:sz w:val="24"/>
        </w:rPr>
        <w:t xml:space="preserve">, </w:t>
      </w:r>
      <w:proofErr w:type="spellStart"/>
      <w:r w:rsidRPr="00122987">
        <w:rPr>
          <w:rFonts w:cs="Times New Roman"/>
          <w:bCs/>
          <w:sz w:val="24"/>
        </w:rPr>
        <w:t>Shipo</w:t>
      </w:r>
      <w:proofErr w:type="spellEnd"/>
      <w:r w:rsidRPr="00122987">
        <w:rPr>
          <w:rFonts w:cs="Times New Roman"/>
          <w:bCs/>
          <w:sz w:val="24"/>
        </w:rPr>
        <w:t xml:space="preserve"> Wu</w:t>
      </w:r>
      <w:r w:rsidRPr="00122987">
        <w:rPr>
          <w:rFonts w:cs="Times New Roman"/>
          <w:bCs/>
          <w:sz w:val="24"/>
          <w:vertAlign w:val="superscript"/>
        </w:rPr>
        <w:t xml:space="preserve"> #</w:t>
      </w:r>
      <w:r w:rsidRPr="00122987">
        <w:rPr>
          <w:rFonts w:cs="Times New Roman"/>
          <w:bCs/>
          <w:sz w:val="24"/>
        </w:rPr>
        <w:t xml:space="preserve">, </w:t>
      </w:r>
      <w:proofErr w:type="spellStart"/>
      <w:r w:rsidRPr="00122987">
        <w:rPr>
          <w:rFonts w:cs="Times New Roman"/>
          <w:bCs/>
          <w:sz w:val="24"/>
        </w:rPr>
        <w:t>Yudong</w:t>
      </w:r>
      <w:proofErr w:type="spellEnd"/>
      <w:r w:rsidRPr="00122987">
        <w:rPr>
          <w:rFonts w:cs="Times New Roman"/>
          <w:bCs/>
          <w:sz w:val="24"/>
        </w:rPr>
        <w:t xml:space="preserve"> Wang, </w:t>
      </w:r>
      <w:proofErr w:type="spellStart"/>
      <w:r w:rsidRPr="00122987">
        <w:rPr>
          <w:rFonts w:cs="Times New Roman"/>
          <w:bCs/>
          <w:sz w:val="24"/>
        </w:rPr>
        <w:t>Fangze</w:t>
      </w:r>
      <w:proofErr w:type="spellEnd"/>
      <w:r w:rsidRPr="00122987">
        <w:rPr>
          <w:rFonts w:cs="Times New Roman"/>
          <w:bCs/>
          <w:sz w:val="24"/>
        </w:rPr>
        <w:t xml:space="preserve"> Shao, Peng </w:t>
      </w:r>
      <w:proofErr w:type="spellStart"/>
      <w:r w:rsidRPr="00122987">
        <w:rPr>
          <w:rFonts w:cs="Times New Roman"/>
          <w:bCs/>
          <w:sz w:val="24"/>
        </w:rPr>
        <w:t>Lv</w:t>
      </w:r>
      <w:proofErr w:type="spellEnd"/>
      <w:r w:rsidRPr="00122987">
        <w:rPr>
          <w:rFonts w:cs="Times New Roman"/>
          <w:bCs/>
          <w:sz w:val="24"/>
        </w:rPr>
        <w:t xml:space="preserve">, </w:t>
      </w:r>
      <w:proofErr w:type="spellStart"/>
      <w:r w:rsidRPr="00122987">
        <w:rPr>
          <w:rFonts w:cs="Times New Roman"/>
          <w:bCs/>
          <w:sz w:val="24"/>
        </w:rPr>
        <w:t>Ruihua</w:t>
      </w:r>
      <w:proofErr w:type="spellEnd"/>
      <w:r w:rsidRPr="00122987">
        <w:rPr>
          <w:rFonts w:cs="Times New Roman"/>
          <w:bCs/>
          <w:sz w:val="24"/>
        </w:rPr>
        <w:t xml:space="preserve"> Li, </w:t>
      </w:r>
      <w:proofErr w:type="spellStart"/>
      <w:r w:rsidRPr="00122987">
        <w:rPr>
          <w:rFonts w:cs="Times New Roman"/>
          <w:bCs/>
          <w:sz w:val="24"/>
        </w:rPr>
        <w:t>Xiaofan</w:t>
      </w:r>
      <w:proofErr w:type="spellEnd"/>
      <w:r w:rsidRPr="00122987">
        <w:rPr>
          <w:rFonts w:cs="Times New Roman"/>
          <w:bCs/>
          <w:sz w:val="24"/>
        </w:rPr>
        <w:t xml:space="preserve"> Zhao, Jun Zhang, </w:t>
      </w:r>
      <w:proofErr w:type="spellStart"/>
      <w:r w:rsidRPr="00122987">
        <w:rPr>
          <w:rFonts w:cs="Times New Roman"/>
          <w:bCs/>
          <w:sz w:val="24"/>
        </w:rPr>
        <w:t>Xiaopeng</w:t>
      </w:r>
      <w:proofErr w:type="spellEnd"/>
      <w:r w:rsidRPr="00122987">
        <w:rPr>
          <w:rFonts w:cs="Times New Roman"/>
          <w:bCs/>
          <w:sz w:val="24"/>
        </w:rPr>
        <w:t xml:space="preserve"> Zhang, </w:t>
      </w:r>
      <w:proofErr w:type="spellStart"/>
      <w:r w:rsidRPr="00122987">
        <w:rPr>
          <w:rFonts w:cs="Times New Roman"/>
          <w:bCs/>
          <w:sz w:val="24"/>
        </w:rPr>
        <w:t>Jianmin</w:t>
      </w:r>
      <w:proofErr w:type="spellEnd"/>
      <w:r w:rsidRPr="00122987">
        <w:rPr>
          <w:rFonts w:cs="Times New Roman"/>
          <w:bCs/>
          <w:sz w:val="24"/>
        </w:rPr>
        <w:t xml:space="preserve"> Li, </w:t>
      </w:r>
      <w:proofErr w:type="spellStart"/>
      <w:r w:rsidRPr="00122987">
        <w:rPr>
          <w:rFonts w:cs="Times New Roman"/>
          <w:bCs/>
          <w:sz w:val="24"/>
        </w:rPr>
        <w:t>Lihua</w:t>
      </w:r>
      <w:proofErr w:type="spellEnd"/>
      <w:r w:rsidRPr="00122987">
        <w:rPr>
          <w:rFonts w:cs="Times New Roman"/>
          <w:bCs/>
          <w:sz w:val="24"/>
        </w:rPr>
        <w:t xml:space="preserve"> Hou</w:t>
      </w:r>
      <w:r w:rsidRPr="00122987">
        <w:rPr>
          <w:rFonts w:cs="Times New Roman"/>
          <w:sz w:val="24"/>
        </w:rPr>
        <w:t xml:space="preserve"> *</w:t>
      </w:r>
      <w:r w:rsidRPr="00122987">
        <w:rPr>
          <w:rFonts w:cs="Times New Roman"/>
          <w:bCs/>
          <w:sz w:val="24"/>
        </w:rPr>
        <w:t xml:space="preserve">, </w:t>
      </w:r>
      <w:proofErr w:type="spellStart"/>
      <w:r w:rsidRPr="00122987">
        <w:rPr>
          <w:rFonts w:cs="Times New Roman"/>
          <w:bCs/>
          <w:sz w:val="24"/>
        </w:rPr>
        <w:t>Junjie</w:t>
      </w:r>
      <w:proofErr w:type="spellEnd"/>
      <w:r w:rsidRPr="00122987">
        <w:rPr>
          <w:rFonts w:cs="Times New Roman"/>
          <w:bCs/>
          <w:sz w:val="24"/>
        </w:rPr>
        <w:t xml:space="preserve"> Xu</w:t>
      </w:r>
      <w:r w:rsidRPr="00122987">
        <w:rPr>
          <w:rFonts w:cs="Times New Roman"/>
          <w:bCs/>
          <w:sz w:val="24"/>
          <w:vertAlign w:val="superscript"/>
        </w:rPr>
        <w:t xml:space="preserve"> </w:t>
      </w:r>
      <w:r w:rsidRPr="00122987">
        <w:rPr>
          <w:rFonts w:cs="Times New Roman"/>
          <w:sz w:val="24"/>
        </w:rPr>
        <w:t>*</w:t>
      </w:r>
      <w:r w:rsidRPr="00122987">
        <w:rPr>
          <w:rFonts w:cs="Times New Roman"/>
          <w:bCs/>
          <w:sz w:val="24"/>
        </w:rPr>
        <w:t>, Wei Chen</w:t>
      </w:r>
      <w:r w:rsidRPr="00122987">
        <w:rPr>
          <w:rFonts w:cs="Times New Roman"/>
          <w:bCs/>
          <w:sz w:val="24"/>
          <w:vertAlign w:val="superscript"/>
        </w:rPr>
        <w:t xml:space="preserve"> </w:t>
      </w:r>
      <w:r w:rsidRPr="00122987">
        <w:rPr>
          <w:rFonts w:cs="Times New Roman"/>
          <w:sz w:val="24"/>
        </w:rPr>
        <w:t>*</w:t>
      </w:r>
    </w:p>
    <w:p w14:paraId="7A5F67E9" w14:textId="6B48212C" w:rsidR="006F0AE9" w:rsidRDefault="00906F75" w:rsidP="00F34FD5">
      <w:pPr>
        <w:widowControl/>
        <w:adjustRightInd w:val="0"/>
        <w:snapToGrid w:val="0"/>
        <w:rPr>
          <w:rFonts w:cs="Times New Roman"/>
          <w:bCs/>
          <w:i/>
          <w:iCs/>
          <w:sz w:val="18"/>
          <w:szCs w:val="18"/>
        </w:rPr>
      </w:pPr>
      <w:r w:rsidRPr="00122987">
        <w:rPr>
          <w:rFonts w:cs="Times New Roman"/>
          <w:bCs/>
          <w:i/>
          <w:iCs/>
          <w:sz w:val="18"/>
          <w:szCs w:val="18"/>
        </w:rPr>
        <w:t xml:space="preserve">Beijing Institute of Biotechnology, </w:t>
      </w:r>
      <w:r w:rsidRPr="00122987">
        <w:rPr>
          <w:bCs/>
          <w:i/>
          <w:iCs/>
          <w:sz w:val="18"/>
          <w:szCs w:val="18"/>
        </w:rPr>
        <w:t>Beijing 100071, China</w:t>
      </w:r>
    </w:p>
    <w:p w14:paraId="492D8005" w14:textId="77777777" w:rsidR="00F34FD5" w:rsidRPr="00F34FD5" w:rsidRDefault="00F34FD5" w:rsidP="00F34FD5">
      <w:pPr>
        <w:widowControl/>
        <w:adjustRightInd w:val="0"/>
        <w:snapToGrid w:val="0"/>
        <w:rPr>
          <w:rFonts w:cs="Times New Roman" w:hint="eastAsia"/>
          <w:bCs/>
          <w:i/>
          <w:iCs/>
          <w:sz w:val="18"/>
          <w:szCs w:val="18"/>
        </w:rPr>
      </w:pPr>
    </w:p>
    <w:p w14:paraId="70A3A941" w14:textId="0EAC12F1" w:rsidR="005D2295" w:rsidRDefault="00906F75" w:rsidP="00906F75">
      <w:pPr>
        <w:jc w:val="center"/>
        <w:rPr>
          <w:rFonts w:cs="Times New Roman"/>
          <w:b/>
          <w:bCs/>
        </w:rPr>
      </w:pPr>
      <w:r>
        <w:rPr>
          <w:noProof/>
        </w:rPr>
        <w:drawing>
          <wp:inline distT="0" distB="0" distL="0" distR="0" wp14:anchorId="72E6D27B" wp14:editId="59978A97">
            <wp:extent cx="2140993" cy="1352550"/>
            <wp:effectExtent l="0" t="0" r="0" b="0"/>
            <wp:docPr id="1" name="图片 1" descr="图表, 直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表, 直方图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343" cy="1392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600E5" w14:textId="6AC2FAF9" w:rsidR="006F0AE9" w:rsidRDefault="00000000" w:rsidP="00F34FD5">
      <w:pPr>
        <w:adjustRightInd w:val="0"/>
        <w:snapToGrid w:val="0"/>
        <w:jc w:val="center"/>
        <w:rPr>
          <w:rFonts w:cs="Times New Roman" w:hint="eastAsia"/>
          <w:sz w:val="18"/>
          <w:szCs w:val="21"/>
        </w:rPr>
      </w:pPr>
      <w:r>
        <w:rPr>
          <w:rFonts w:cs="Times New Roman"/>
          <w:b/>
          <w:bCs/>
          <w:sz w:val="18"/>
          <w:szCs w:val="21"/>
        </w:rPr>
        <w:t>Fig. S1.</w:t>
      </w:r>
      <w:r>
        <w:rPr>
          <w:rFonts w:cs="Times New Roman"/>
          <w:sz w:val="18"/>
          <w:szCs w:val="21"/>
        </w:rPr>
        <w:t xml:space="preserve"> Characterization of (</w:t>
      </w:r>
      <w:proofErr w:type="gramStart"/>
      <w:r>
        <w:rPr>
          <w:rFonts w:cs="Times New Roman"/>
          <w:sz w:val="18"/>
          <w:szCs w:val="21"/>
        </w:rPr>
        <w:t>+)</w:t>
      </w:r>
      <w:proofErr w:type="spellStart"/>
      <w:r>
        <w:rPr>
          <w:rFonts w:cs="Times New Roman"/>
          <w:sz w:val="18"/>
          <w:szCs w:val="21"/>
        </w:rPr>
        <w:t>HSAnp</w:t>
      </w:r>
      <w:proofErr w:type="spellEnd"/>
      <w:proofErr w:type="gramEnd"/>
      <w:r>
        <w:rPr>
          <w:rFonts w:cs="Times New Roman"/>
          <w:sz w:val="18"/>
          <w:szCs w:val="21"/>
        </w:rPr>
        <w:t>. Elution profiles of purified (</w:t>
      </w:r>
      <w:proofErr w:type="gramStart"/>
      <w:r>
        <w:rPr>
          <w:rFonts w:cs="Times New Roman"/>
          <w:sz w:val="18"/>
          <w:szCs w:val="21"/>
        </w:rPr>
        <w:t>+)HSAnp</w:t>
      </w:r>
      <w:proofErr w:type="gramEnd"/>
      <w:r>
        <w:rPr>
          <w:rFonts w:cs="Times New Roman"/>
          <w:sz w:val="18"/>
          <w:szCs w:val="21"/>
        </w:rPr>
        <w:t xml:space="preserve">-4 and native HSA on HPLC. </w:t>
      </w:r>
    </w:p>
    <w:p w14:paraId="2AF2DE01" w14:textId="1841EFB7" w:rsidR="005D2295" w:rsidRDefault="00000000" w:rsidP="00906F75">
      <w:pPr>
        <w:jc w:val="center"/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5C0C2D89" wp14:editId="71C4AD62">
            <wp:extent cx="3714750" cy="1333283"/>
            <wp:effectExtent l="0" t="0" r="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5855" cy="13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88F31" w14:textId="77777777" w:rsidR="005D2295" w:rsidRDefault="00000000" w:rsidP="00906F75">
      <w:pPr>
        <w:adjustRightInd w:val="0"/>
        <w:snapToGrid w:val="0"/>
        <w:rPr>
          <w:rFonts w:cs="Times New Roman"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 xml:space="preserve">Fig. S2. </w:t>
      </w:r>
      <w:r>
        <w:rPr>
          <w:rFonts w:cs="Times New Roman"/>
          <w:sz w:val="18"/>
          <w:szCs w:val="18"/>
        </w:rPr>
        <w:t>Cellular delivery of (</w:t>
      </w:r>
      <w:proofErr w:type="gramStart"/>
      <w:r>
        <w:rPr>
          <w:rFonts w:cs="Times New Roman"/>
          <w:sz w:val="18"/>
          <w:szCs w:val="18"/>
        </w:rPr>
        <w:t>+)</w:t>
      </w:r>
      <w:proofErr w:type="spellStart"/>
      <w:r>
        <w:rPr>
          <w:rFonts w:cs="Times New Roman"/>
          <w:sz w:val="18"/>
          <w:szCs w:val="18"/>
        </w:rPr>
        <w:t>HSAnp</w:t>
      </w:r>
      <w:proofErr w:type="spellEnd"/>
      <w:proofErr w:type="gramEnd"/>
      <w:r>
        <w:rPr>
          <w:rFonts w:cs="Times New Roman"/>
          <w:sz w:val="18"/>
          <w:szCs w:val="18"/>
        </w:rPr>
        <w:t>.</w:t>
      </w:r>
      <w:r>
        <w:rPr>
          <w:rFonts w:cs="Times New Roman"/>
          <w:b/>
          <w:bCs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Quantitative analysis of the cellular uptake of FITC-labeled (</w:t>
      </w:r>
      <w:proofErr w:type="gramStart"/>
      <w:r>
        <w:rPr>
          <w:rFonts w:cs="Times New Roman"/>
          <w:sz w:val="18"/>
          <w:szCs w:val="18"/>
        </w:rPr>
        <w:t>+)</w:t>
      </w:r>
      <w:proofErr w:type="spellStart"/>
      <w:r>
        <w:rPr>
          <w:rFonts w:cs="Times New Roman"/>
          <w:sz w:val="18"/>
          <w:szCs w:val="18"/>
        </w:rPr>
        <w:t>HSAnp</w:t>
      </w:r>
      <w:proofErr w:type="spellEnd"/>
      <w:proofErr w:type="gramEnd"/>
      <w:r>
        <w:rPr>
          <w:rFonts w:cs="Times New Roman"/>
          <w:sz w:val="18"/>
          <w:szCs w:val="18"/>
        </w:rPr>
        <w:t xml:space="preserve"> in A549, 3T3, and Hela cells. Data are presented as means ±</w:t>
      </w:r>
      <w:r w:rsidRPr="00906F75">
        <w:rPr>
          <w:rFonts w:cs="Times New Roman"/>
          <w:sz w:val="18"/>
          <w:szCs w:val="18"/>
        </w:rPr>
        <w:t xml:space="preserve"> </w:t>
      </w:r>
      <w:r w:rsidRPr="00906F75">
        <w:rPr>
          <w:sz w:val="18"/>
          <w:szCs w:val="18"/>
        </w:rPr>
        <w:t>SEM</w:t>
      </w:r>
      <w:r w:rsidRPr="00906F75">
        <w:rPr>
          <w:rFonts w:cs="Times New Roman"/>
          <w:sz w:val="18"/>
          <w:szCs w:val="18"/>
        </w:rPr>
        <w:t>.</w:t>
      </w:r>
    </w:p>
    <w:p w14:paraId="058948E3" w14:textId="77777777" w:rsidR="005D2295" w:rsidRDefault="00000000" w:rsidP="006F0AE9">
      <w:pPr>
        <w:jc w:val="center"/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43B17EF8" wp14:editId="2609FDA1">
            <wp:extent cx="5359830" cy="148590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9842" cy="1488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37D2F" w14:textId="77777777" w:rsidR="00F34FD5" w:rsidRPr="00F34FD5" w:rsidRDefault="00F34FD5" w:rsidP="00F34FD5">
      <w:pPr>
        <w:adjustRightInd w:val="0"/>
        <w:snapToGrid w:val="0"/>
        <w:rPr>
          <w:rFonts w:cs="Times New Roman"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 xml:space="preserve">Fig. S3. </w:t>
      </w:r>
      <w:r w:rsidRPr="00F34FD5">
        <w:rPr>
          <w:rFonts w:cs="Times New Roman"/>
          <w:sz w:val="18"/>
          <w:szCs w:val="18"/>
        </w:rPr>
        <w:t>Cell viability test of (</w:t>
      </w:r>
      <w:proofErr w:type="gramStart"/>
      <w:r w:rsidRPr="00F34FD5">
        <w:rPr>
          <w:rFonts w:cs="Times New Roman"/>
          <w:sz w:val="18"/>
          <w:szCs w:val="18"/>
        </w:rPr>
        <w:t>+)</w:t>
      </w:r>
      <w:proofErr w:type="spellStart"/>
      <w:r w:rsidRPr="00F34FD5">
        <w:rPr>
          <w:rFonts w:cs="Times New Roman"/>
          <w:sz w:val="18"/>
          <w:szCs w:val="18"/>
        </w:rPr>
        <w:t>HSAnp</w:t>
      </w:r>
      <w:proofErr w:type="spellEnd"/>
      <w:proofErr w:type="gramEnd"/>
      <w:r w:rsidRPr="00F34FD5">
        <w:rPr>
          <w:rFonts w:cs="Times New Roman"/>
          <w:sz w:val="18"/>
          <w:szCs w:val="18"/>
        </w:rPr>
        <w:t>. Hela, A549, and 3T3 cells were treated with varying concentrations of (</w:t>
      </w:r>
      <w:proofErr w:type="gramStart"/>
      <w:r w:rsidRPr="00F34FD5">
        <w:rPr>
          <w:rFonts w:cs="Times New Roman"/>
          <w:sz w:val="18"/>
          <w:szCs w:val="18"/>
        </w:rPr>
        <w:t>+)</w:t>
      </w:r>
      <w:proofErr w:type="spellStart"/>
      <w:r w:rsidRPr="00F34FD5">
        <w:rPr>
          <w:rFonts w:cs="Times New Roman"/>
          <w:sz w:val="18"/>
          <w:szCs w:val="18"/>
        </w:rPr>
        <w:t>HSAnp</w:t>
      </w:r>
      <w:proofErr w:type="spellEnd"/>
      <w:proofErr w:type="gramEnd"/>
      <w:r w:rsidRPr="00F34FD5">
        <w:rPr>
          <w:rFonts w:cs="Times New Roman"/>
          <w:sz w:val="18"/>
          <w:szCs w:val="18"/>
        </w:rPr>
        <w:t xml:space="preserve"> ranging from 0.25 to 10.00 </w:t>
      </w:r>
      <w:proofErr w:type="spellStart"/>
      <w:r w:rsidRPr="00F34FD5">
        <w:rPr>
          <w:rFonts w:cs="Times New Roman"/>
          <w:sz w:val="18"/>
          <w:szCs w:val="18"/>
        </w:rPr>
        <w:t>μg·mL</w:t>
      </w:r>
      <w:proofErr w:type="spellEnd"/>
      <w:r w:rsidRPr="00F34FD5">
        <w:rPr>
          <w:rFonts w:cs="Times New Roman"/>
          <w:sz w:val="18"/>
          <w:szCs w:val="18"/>
          <w:vertAlign w:val="superscript"/>
        </w:rPr>
        <w:t>–1</w:t>
      </w:r>
      <w:r w:rsidRPr="00F34FD5">
        <w:rPr>
          <w:rFonts w:cs="Times New Roman"/>
          <w:sz w:val="18"/>
          <w:szCs w:val="18"/>
        </w:rPr>
        <w:t xml:space="preserve"> for 24 h. Cell viability was measured via CCK-8 assay (</w:t>
      </w:r>
      <w:r w:rsidRPr="00F34FD5">
        <w:rPr>
          <w:rFonts w:cs="Times New Roman"/>
          <w:i/>
          <w:iCs/>
          <w:sz w:val="18"/>
          <w:szCs w:val="18"/>
        </w:rPr>
        <w:t>n</w:t>
      </w:r>
      <w:r w:rsidRPr="00F34FD5">
        <w:rPr>
          <w:rFonts w:cs="Times New Roman"/>
          <w:sz w:val="18"/>
          <w:szCs w:val="18"/>
        </w:rPr>
        <w:t xml:space="preserve"> = 3). Data are presented as means ± SEM</w:t>
      </w:r>
      <w:r w:rsidRPr="00F34FD5">
        <w:rPr>
          <w:rFonts w:cs="Times New Roman"/>
          <w:sz w:val="18"/>
          <w:szCs w:val="18"/>
        </w:rPr>
        <w:t>.</w:t>
      </w:r>
    </w:p>
    <w:p w14:paraId="52EC2D40" w14:textId="7E49BF0E" w:rsidR="005D2295" w:rsidRDefault="00000000" w:rsidP="00906F75">
      <w:pPr>
        <w:jc w:val="center"/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1ADC4B40" wp14:editId="505E6065">
            <wp:extent cx="5129998" cy="2376487"/>
            <wp:effectExtent l="0" t="0" r="0" b="508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4588" cy="2383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5ED1A" w14:textId="77777777" w:rsidR="005D2295" w:rsidRDefault="00000000" w:rsidP="00906F75">
      <w:pPr>
        <w:adjustRightInd w:val="0"/>
        <w:snapToGrid w:val="0"/>
        <w:rPr>
          <w:rFonts w:cs="Times New Roman"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 xml:space="preserve">Fig. S4. </w:t>
      </w:r>
      <w:r>
        <w:rPr>
          <w:rFonts w:cs="Times New Roman"/>
          <w:sz w:val="18"/>
          <w:szCs w:val="18"/>
        </w:rPr>
        <w:t>Enhanced transgene expression of Ad5-GFP in complex with (</w:t>
      </w:r>
      <w:proofErr w:type="gramStart"/>
      <w:r>
        <w:rPr>
          <w:rFonts w:cs="Times New Roman"/>
          <w:sz w:val="18"/>
          <w:szCs w:val="18"/>
        </w:rPr>
        <w:t>+)</w:t>
      </w:r>
      <w:proofErr w:type="spellStart"/>
      <w:r>
        <w:rPr>
          <w:rFonts w:cs="Times New Roman"/>
          <w:sz w:val="18"/>
          <w:szCs w:val="18"/>
        </w:rPr>
        <w:t>HSAnp</w:t>
      </w:r>
      <w:proofErr w:type="spellEnd"/>
      <w:proofErr w:type="gramEnd"/>
      <w:r>
        <w:rPr>
          <w:rFonts w:cs="Times New Roman"/>
          <w:sz w:val="18"/>
          <w:szCs w:val="18"/>
        </w:rPr>
        <w:t>. Quantitative analyses of the percentage of GFP-positive cells were measured by means of fluorescence-activated cell sorting (FACS) in Hela</w:t>
      </w:r>
      <w:r w:rsidR="00973452" w:rsidRPr="00973452">
        <w:rPr>
          <w:rFonts w:cs="Times New Roman"/>
          <w:sz w:val="18"/>
          <w:szCs w:val="18"/>
        </w:rPr>
        <w:t xml:space="preserve"> </w:t>
      </w:r>
      <w:r w:rsidR="00973452">
        <w:rPr>
          <w:rFonts w:cs="Times New Roman"/>
          <w:sz w:val="18"/>
          <w:szCs w:val="18"/>
        </w:rPr>
        <w:t>cells</w:t>
      </w:r>
      <w:r>
        <w:rPr>
          <w:rFonts w:cs="Times New Roman"/>
          <w:sz w:val="18"/>
          <w:szCs w:val="18"/>
        </w:rPr>
        <w:t>, BMDC</w:t>
      </w:r>
      <w:r w:rsidR="00973452">
        <w:rPr>
          <w:rFonts w:cs="Times New Roman"/>
          <w:sz w:val="18"/>
          <w:szCs w:val="18"/>
        </w:rPr>
        <w:t>s</w:t>
      </w:r>
      <w:r>
        <w:rPr>
          <w:rFonts w:cs="Times New Roman"/>
          <w:sz w:val="18"/>
          <w:szCs w:val="18"/>
        </w:rPr>
        <w:t>, and BMM</w:t>
      </w:r>
      <w:r w:rsidR="00973452">
        <w:rPr>
          <w:rFonts w:cs="Times New Roman"/>
          <w:sz w:val="18"/>
          <w:szCs w:val="18"/>
        </w:rPr>
        <w:t>s</w:t>
      </w:r>
      <w:r>
        <w:rPr>
          <w:rFonts w:cs="Times New Roman"/>
          <w:sz w:val="18"/>
          <w:szCs w:val="18"/>
        </w:rPr>
        <w:t xml:space="preserve"> (</w:t>
      </w:r>
      <w:r>
        <w:rPr>
          <w:rFonts w:cs="Times New Roman"/>
          <w:i/>
          <w:iCs/>
          <w:sz w:val="18"/>
          <w:szCs w:val="18"/>
        </w:rPr>
        <w:t>n</w:t>
      </w:r>
      <w:r w:rsidR="00906F75">
        <w:rPr>
          <w:rFonts w:cs="Times New Roman"/>
          <w:i/>
          <w:iCs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=</w:t>
      </w:r>
      <w:r w:rsidR="00906F75">
        <w:rPr>
          <w:rFonts w:cs="Times New Roman"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 xml:space="preserve">3). Cell experiments were performed at a MOI of 10. Data are presented as means </w:t>
      </w:r>
      <w:r w:rsidRPr="00906F75">
        <w:rPr>
          <w:rFonts w:cs="Times New Roman"/>
          <w:sz w:val="18"/>
          <w:szCs w:val="18"/>
        </w:rPr>
        <w:t xml:space="preserve">± </w:t>
      </w:r>
      <w:r w:rsidRPr="00906F75">
        <w:rPr>
          <w:sz w:val="18"/>
          <w:szCs w:val="18"/>
        </w:rPr>
        <w:t>SEM</w:t>
      </w:r>
      <w:r w:rsidRPr="00906F75">
        <w:rPr>
          <w:rFonts w:cs="Times New Roman"/>
          <w:sz w:val="18"/>
          <w:szCs w:val="18"/>
        </w:rPr>
        <w:t>. Sta</w:t>
      </w:r>
      <w:r>
        <w:rPr>
          <w:rFonts w:cs="Times New Roman"/>
          <w:sz w:val="18"/>
          <w:szCs w:val="18"/>
        </w:rPr>
        <w:t>tistical differences were determined using ANOVA with Dunn’s multiple comparison test.</w:t>
      </w:r>
    </w:p>
    <w:p w14:paraId="552F48CC" w14:textId="77777777" w:rsidR="005D2295" w:rsidRDefault="00000000" w:rsidP="00906F75">
      <w:pPr>
        <w:jc w:val="center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 wp14:anchorId="712BCF63" wp14:editId="783BC9E2">
            <wp:extent cx="3336529" cy="1309688"/>
            <wp:effectExtent l="0" t="0" r="0" b="508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4587" cy="138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9B52E" w14:textId="77777777" w:rsidR="006F0AE9" w:rsidRPr="006F0AE9" w:rsidRDefault="006F0AE9" w:rsidP="006F0AE9">
      <w:pPr>
        <w:adjustRightInd w:val="0"/>
        <w:snapToGrid w:val="0"/>
        <w:rPr>
          <w:rFonts w:cs="Times New Roman"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Fig. S5.</w:t>
      </w:r>
      <w:r w:rsidRPr="006F0AE9">
        <w:rPr>
          <w:rFonts w:cs="Times New Roman"/>
          <w:b/>
          <w:bCs/>
          <w:sz w:val="18"/>
          <w:szCs w:val="18"/>
        </w:rPr>
        <w:t xml:space="preserve"> </w:t>
      </w:r>
      <w:r w:rsidRPr="006F0AE9">
        <w:rPr>
          <w:rFonts w:cs="Times New Roman"/>
          <w:sz w:val="18"/>
          <w:szCs w:val="18"/>
        </w:rPr>
        <w:t>Cell viability test of Ad5</w:t>
      </w:r>
      <w:proofErr w:type="gramStart"/>
      <w:r w:rsidRPr="006F0AE9">
        <w:rPr>
          <w:rFonts w:cs="Times New Roman"/>
          <w:sz w:val="18"/>
          <w:szCs w:val="18"/>
        </w:rPr>
        <w:t>/(</w:t>
      </w:r>
      <w:proofErr w:type="gramEnd"/>
      <w:r w:rsidRPr="006F0AE9">
        <w:rPr>
          <w:rFonts w:cs="Times New Roman"/>
          <w:sz w:val="18"/>
          <w:szCs w:val="18"/>
        </w:rPr>
        <w:t>+)</w:t>
      </w:r>
      <w:proofErr w:type="spellStart"/>
      <w:r w:rsidRPr="006F0AE9">
        <w:rPr>
          <w:rFonts w:cs="Times New Roman"/>
          <w:sz w:val="18"/>
          <w:szCs w:val="18"/>
        </w:rPr>
        <w:t>HSAnp</w:t>
      </w:r>
      <w:proofErr w:type="spellEnd"/>
      <w:r w:rsidRPr="006F0AE9">
        <w:rPr>
          <w:rFonts w:cs="Times New Roman"/>
          <w:sz w:val="18"/>
          <w:szCs w:val="18"/>
        </w:rPr>
        <w:t>. A549, Hela, and 3T3 cells were treated with Ad5</w:t>
      </w:r>
      <w:proofErr w:type="gramStart"/>
      <w:r w:rsidRPr="006F0AE9">
        <w:rPr>
          <w:rFonts w:cs="Times New Roman"/>
          <w:sz w:val="18"/>
          <w:szCs w:val="18"/>
        </w:rPr>
        <w:t>/(</w:t>
      </w:r>
      <w:proofErr w:type="gramEnd"/>
      <w:r w:rsidRPr="006F0AE9">
        <w:rPr>
          <w:rFonts w:cs="Times New Roman"/>
          <w:sz w:val="18"/>
          <w:szCs w:val="18"/>
        </w:rPr>
        <w:t>+)</w:t>
      </w:r>
      <w:proofErr w:type="spellStart"/>
      <w:r w:rsidRPr="006F0AE9">
        <w:rPr>
          <w:rFonts w:cs="Times New Roman"/>
          <w:sz w:val="18"/>
          <w:szCs w:val="18"/>
        </w:rPr>
        <w:t>HSAnp</w:t>
      </w:r>
      <w:proofErr w:type="spellEnd"/>
      <w:r w:rsidRPr="006F0AE9">
        <w:rPr>
          <w:rFonts w:cs="Times New Roman"/>
          <w:sz w:val="18"/>
          <w:szCs w:val="18"/>
        </w:rPr>
        <w:t xml:space="preserve"> for 24 h. Cell experiments were performed at an MOI of 10. Cell viability was measured via CCK-8 assay (</w:t>
      </w:r>
      <w:r w:rsidRPr="006F0AE9">
        <w:rPr>
          <w:rFonts w:cs="Times New Roman"/>
          <w:i/>
          <w:iCs/>
          <w:sz w:val="18"/>
          <w:szCs w:val="18"/>
        </w:rPr>
        <w:t>n</w:t>
      </w:r>
      <w:r w:rsidRPr="006F0AE9">
        <w:rPr>
          <w:rFonts w:cs="Times New Roman"/>
          <w:sz w:val="18"/>
          <w:szCs w:val="18"/>
        </w:rPr>
        <w:t xml:space="preserve"> = 3). Data are presented as means ± SEM</w:t>
      </w:r>
      <w:r w:rsidRPr="006F0AE9">
        <w:rPr>
          <w:rFonts w:cs="Times New Roman"/>
          <w:sz w:val="18"/>
          <w:szCs w:val="18"/>
        </w:rPr>
        <w:t>.</w:t>
      </w:r>
    </w:p>
    <w:p w14:paraId="7236F3DF" w14:textId="48B2ABE8" w:rsidR="005D2295" w:rsidRDefault="00000000" w:rsidP="00906F75">
      <w:pPr>
        <w:jc w:val="center"/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361ED721" wp14:editId="5699A8C1">
            <wp:extent cx="4737029" cy="2528888"/>
            <wp:effectExtent l="0" t="0" r="6985" b="508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110" cy="2542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EE3E7" w14:textId="2EE47487" w:rsidR="005D2295" w:rsidRDefault="00000000" w:rsidP="00906F75">
      <w:pPr>
        <w:adjustRightInd w:val="0"/>
        <w:snapToGrid w:val="0"/>
        <w:rPr>
          <w:rFonts w:cs="Times New Roman"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 xml:space="preserve">Fig. S6. </w:t>
      </w:r>
      <w:r>
        <w:rPr>
          <w:rFonts w:cs="Times New Roman"/>
          <w:sz w:val="18"/>
          <w:szCs w:val="18"/>
        </w:rPr>
        <w:t>Bioluminescence images</w:t>
      </w:r>
      <w:r>
        <w:rPr>
          <w:rFonts w:cs="Times New Roman"/>
          <w:i/>
          <w:iCs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showing charge-dependent enhancement of the transgene expression of Ad5-luc</w:t>
      </w:r>
      <w:proofErr w:type="gramStart"/>
      <w:r>
        <w:rPr>
          <w:rFonts w:cs="Times New Roman"/>
          <w:sz w:val="18"/>
          <w:szCs w:val="18"/>
        </w:rPr>
        <w:t>/(</w:t>
      </w:r>
      <w:proofErr w:type="gramEnd"/>
      <w:r>
        <w:rPr>
          <w:rFonts w:cs="Times New Roman"/>
          <w:sz w:val="18"/>
          <w:szCs w:val="18"/>
        </w:rPr>
        <w:t>+)</w:t>
      </w:r>
      <w:proofErr w:type="spellStart"/>
      <w:r>
        <w:rPr>
          <w:rFonts w:cs="Times New Roman"/>
          <w:sz w:val="18"/>
          <w:szCs w:val="18"/>
        </w:rPr>
        <w:t>HSAnp</w:t>
      </w:r>
      <w:proofErr w:type="spellEnd"/>
      <w:r>
        <w:rPr>
          <w:rFonts w:cs="Times New Roman"/>
          <w:sz w:val="18"/>
          <w:szCs w:val="18"/>
        </w:rPr>
        <w:t>. BALB/c mice (</w:t>
      </w:r>
      <w:r>
        <w:rPr>
          <w:rFonts w:cs="Times New Roman"/>
          <w:i/>
          <w:iCs/>
          <w:sz w:val="18"/>
          <w:szCs w:val="18"/>
        </w:rPr>
        <w:t>n</w:t>
      </w:r>
      <w:r w:rsidR="00906F75">
        <w:rPr>
          <w:rFonts w:cs="Times New Roman"/>
          <w:i/>
          <w:iCs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=</w:t>
      </w:r>
      <w:r w:rsidR="00906F75">
        <w:rPr>
          <w:rFonts w:cs="Times New Roman"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 xml:space="preserve">5) were intranasally administrated 20 </w:t>
      </w:r>
      <w:proofErr w:type="spellStart"/>
      <w:r>
        <w:rPr>
          <w:rFonts w:cs="Times New Roman"/>
          <w:sz w:val="18"/>
          <w:szCs w:val="18"/>
        </w:rPr>
        <w:t>μL</w:t>
      </w:r>
      <w:proofErr w:type="spellEnd"/>
      <w:r>
        <w:rPr>
          <w:rFonts w:cs="Times New Roman"/>
          <w:sz w:val="18"/>
          <w:szCs w:val="18"/>
        </w:rPr>
        <w:t xml:space="preserve"> samples containing PBS, 5 × 10</w:t>
      </w:r>
      <w:r>
        <w:rPr>
          <w:rFonts w:cs="Times New Roman"/>
          <w:sz w:val="18"/>
          <w:szCs w:val="18"/>
          <w:vertAlign w:val="superscript"/>
        </w:rPr>
        <w:t>6</w:t>
      </w:r>
      <w:r>
        <w:rPr>
          <w:rFonts w:cs="Times New Roman"/>
          <w:sz w:val="18"/>
          <w:szCs w:val="18"/>
        </w:rPr>
        <w:t xml:space="preserve"> IFU of Ad5-luc alone, or Ad5-luc complexed with 1 </w:t>
      </w:r>
      <w:proofErr w:type="spellStart"/>
      <w:r>
        <w:rPr>
          <w:rFonts w:cs="Times New Roman"/>
          <w:sz w:val="18"/>
          <w:szCs w:val="18"/>
        </w:rPr>
        <w:t>μg</w:t>
      </w:r>
      <w:proofErr w:type="spellEnd"/>
      <w:r>
        <w:rPr>
          <w:rFonts w:cs="Times New Roman"/>
          <w:sz w:val="18"/>
          <w:szCs w:val="18"/>
        </w:rPr>
        <w:t xml:space="preserve"> of (</w:t>
      </w:r>
      <w:proofErr w:type="gramStart"/>
      <w:r>
        <w:rPr>
          <w:rFonts w:cs="Times New Roman"/>
          <w:sz w:val="18"/>
          <w:szCs w:val="18"/>
        </w:rPr>
        <w:t>+)</w:t>
      </w:r>
      <w:proofErr w:type="spellStart"/>
      <w:r>
        <w:rPr>
          <w:rFonts w:cs="Times New Roman"/>
          <w:sz w:val="18"/>
          <w:szCs w:val="18"/>
        </w:rPr>
        <w:t>HSAnp</w:t>
      </w:r>
      <w:proofErr w:type="spellEnd"/>
      <w:proofErr w:type="gramEnd"/>
      <w:r>
        <w:rPr>
          <w:rFonts w:cs="Times New Roman"/>
          <w:sz w:val="18"/>
          <w:szCs w:val="18"/>
        </w:rPr>
        <w:t>. Lung tissues were examined with BLI at 10 days post administration.</w:t>
      </w:r>
    </w:p>
    <w:p w14:paraId="69B9013A" w14:textId="77777777" w:rsidR="005D2295" w:rsidRDefault="00000000" w:rsidP="00906F75">
      <w:pPr>
        <w:jc w:val="center"/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4177BC06" wp14:editId="062CB507">
            <wp:extent cx="4862512" cy="2705432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1365" cy="2710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0F744" w14:textId="644E558C" w:rsidR="005D2295" w:rsidRPr="00906F75" w:rsidRDefault="00000000" w:rsidP="00906F75">
      <w:pPr>
        <w:adjustRightInd w:val="0"/>
        <w:snapToGrid w:val="0"/>
        <w:rPr>
          <w:rFonts w:cs="Times New Roman"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 xml:space="preserve">Fig. S7. </w:t>
      </w:r>
      <w:r w:rsidRPr="00906F75">
        <w:rPr>
          <w:rFonts w:cs="Times New Roman"/>
          <w:sz w:val="18"/>
          <w:szCs w:val="18"/>
        </w:rPr>
        <w:t>Bioluminescence images showing dose-dependent enhancement of the transgene expression of Ad5-luc</w:t>
      </w:r>
      <w:proofErr w:type="gramStart"/>
      <w:r w:rsidRPr="00906F75">
        <w:rPr>
          <w:rFonts w:cs="Times New Roman"/>
          <w:sz w:val="18"/>
          <w:szCs w:val="18"/>
        </w:rPr>
        <w:t>/(</w:t>
      </w:r>
      <w:proofErr w:type="gramEnd"/>
      <w:r w:rsidRPr="00906F75">
        <w:rPr>
          <w:rFonts w:cs="Times New Roman"/>
          <w:sz w:val="18"/>
          <w:szCs w:val="18"/>
        </w:rPr>
        <w:t>+)</w:t>
      </w:r>
      <w:proofErr w:type="spellStart"/>
      <w:r w:rsidRPr="00906F75">
        <w:rPr>
          <w:rFonts w:cs="Times New Roman"/>
          <w:sz w:val="18"/>
          <w:szCs w:val="18"/>
        </w:rPr>
        <w:t>HSAnp</w:t>
      </w:r>
      <w:proofErr w:type="spellEnd"/>
      <w:r w:rsidRPr="00906F75">
        <w:rPr>
          <w:rFonts w:cs="Times New Roman"/>
          <w:sz w:val="18"/>
          <w:szCs w:val="18"/>
        </w:rPr>
        <w:t>. BALB/c mice (</w:t>
      </w:r>
      <w:r w:rsidRPr="00906F75">
        <w:rPr>
          <w:rFonts w:cs="Times New Roman"/>
          <w:i/>
          <w:iCs/>
          <w:sz w:val="18"/>
          <w:szCs w:val="18"/>
        </w:rPr>
        <w:t>n</w:t>
      </w:r>
      <w:r w:rsidR="00906F75">
        <w:rPr>
          <w:rFonts w:cs="Times New Roman"/>
          <w:sz w:val="18"/>
          <w:szCs w:val="18"/>
        </w:rPr>
        <w:t xml:space="preserve"> </w:t>
      </w:r>
      <w:r w:rsidRPr="00906F75">
        <w:rPr>
          <w:rFonts w:cs="Times New Roman"/>
          <w:sz w:val="18"/>
          <w:szCs w:val="18"/>
        </w:rPr>
        <w:t>=</w:t>
      </w:r>
      <w:r w:rsidR="00906F75">
        <w:rPr>
          <w:rFonts w:cs="Times New Roman"/>
          <w:sz w:val="18"/>
          <w:szCs w:val="18"/>
        </w:rPr>
        <w:t xml:space="preserve"> </w:t>
      </w:r>
      <w:r w:rsidRPr="00906F75">
        <w:rPr>
          <w:rFonts w:cs="Times New Roman"/>
          <w:sz w:val="18"/>
          <w:szCs w:val="18"/>
        </w:rPr>
        <w:t xml:space="preserve">5) were intranasally administrated 20 </w:t>
      </w:r>
      <w:proofErr w:type="spellStart"/>
      <w:r w:rsidRPr="00906F75">
        <w:rPr>
          <w:rFonts w:cs="Times New Roman"/>
          <w:sz w:val="18"/>
          <w:szCs w:val="18"/>
        </w:rPr>
        <w:t>μL</w:t>
      </w:r>
      <w:proofErr w:type="spellEnd"/>
      <w:r w:rsidRPr="00906F75">
        <w:rPr>
          <w:rFonts w:cs="Times New Roman"/>
          <w:sz w:val="18"/>
          <w:szCs w:val="18"/>
        </w:rPr>
        <w:t xml:space="preserve"> samples containing 5 × 10</w:t>
      </w:r>
      <w:r w:rsidRPr="00906F75">
        <w:rPr>
          <w:rFonts w:cs="Times New Roman"/>
          <w:sz w:val="18"/>
          <w:szCs w:val="18"/>
          <w:vertAlign w:val="superscript"/>
        </w:rPr>
        <w:t>6</w:t>
      </w:r>
      <w:r w:rsidRPr="00906F75">
        <w:rPr>
          <w:rFonts w:cs="Times New Roman"/>
          <w:sz w:val="18"/>
          <w:szCs w:val="18"/>
        </w:rPr>
        <w:t xml:space="preserve"> of IFU Ad5-luc alone or Ad5-luc complexed with 0.25–5.0 </w:t>
      </w:r>
      <w:proofErr w:type="spellStart"/>
      <w:r w:rsidRPr="00906F75">
        <w:rPr>
          <w:rFonts w:cs="Times New Roman"/>
          <w:sz w:val="18"/>
          <w:szCs w:val="18"/>
        </w:rPr>
        <w:t>μg</w:t>
      </w:r>
      <w:proofErr w:type="spellEnd"/>
      <w:r w:rsidRPr="00906F75">
        <w:rPr>
          <w:rFonts w:cs="Times New Roman"/>
          <w:sz w:val="18"/>
          <w:szCs w:val="18"/>
        </w:rPr>
        <w:t xml:space="preserve"> of (</w:t>
      </w:r>
      <w:proofErr w:type="gramStart"/>
      <w:r w:rsidRPr="00906F75">
        <w:rPr>
          <w:rFonts w:cs="Times New Roman"/>
          <w:sz w:val="18"/>
          <w:szCs w:val="18"/>
        </w:rPr>
        <w:t>+)</w:t>
      </w:r>
      <w:proofErr w:type="spellStart"/>
      <w:r w:rsidRPr="00906F75">
        <w:rPr>
          <w:rFonts w:cs="Times New Roman"/>
          <w:sz w:val="18"/>
          <w:szCs w:val="18"/>
        </w:rPr>
        <w:t>HSAnps</w:t>
      </w:r>
      <w:proofErr w:type="spellEnd"/>
      <w:proofErr w:type="gramEnd"/>
      <w:r w:rsidRPr="00906F75">
        <w:rPr>
          <w:rFonts w:cs="Times New Roman"/>
          <w:sz w:val="18"/>
          <w:szCs w:val="18"/>
        </w:rPr>
        <w:t>. Lung tissues were examined with BLI at 10 days post administration.</w:t>
      </w:r>
    </w:p>
    <w:p w14:paraId="7DCAECCD" w14:textId="77777777" w:rsidR="005D2295" w:rsidRDefault="00000000" w:rsidP="00906F75">
      <w:pPr>
        <w:jc w:val="center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 wp14:anchorId="09275B54" wp14:editId="2D3061ED">
            <wp:extent cx="4881562" cy="2606048"/>
            <wp:effectExtent l="0" t="0" r="0" b="381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3458" cy="2612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B7379" w14:textId="560DB464" w:rsidR="005D2295" w:rsidRDefault="00000000" w:rsidP="00906F75">
      <w:pPr>
        <w:adjustRightInd w:val="0"/>
        <w:snapToGrid w:val="0"/>
        <w:rPr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 xml:space="preserve">Fig. S8. </w:t>
      </w:r>
      <w:r>
        <w:rPr>
          <w:rFonts w:cs="Times New Roman"/>
          <w:i/>
          <w:iCs/>
          <w:sz w:val="18"/>
          <w:szCs w:val="18"/>
        </w:rPr>
        <w:t>In vivo</w:t>
      </w:r>
      <w:r>
        <w:rPr>
          <w:rFonts w:cs="Times New Roman"/>
          <w:sz w:val="18"/>
          <w:szCs w:val="18"/>
        </w:rPr>
        <w:t xml:space="preserve"> bioluminescence of Ad5-luc administered simultaneously or separately with (</w:t>
      </w:r>
      <w:proofErr w:type="gramStart"/>
      <w:r>
        <w:rPr>
          <w:rFonts w:cs="Times New Roman"/>
          <w:sz w:val="18"/>
          <w:szCs w:val="18"/>
        </w:rPr>
        <w:t>+)HSAnp</w:t>
      </w:r>
      <w:proofErr w:type="gramEnd"/>
      <w:r>
        <w:rPr>
          <w:rFonts w:cs="Times New Roman"/>
          <w:sz w:val="18"/>
          <w:szCs w:val="18"/>
        </w:rPr>
        <w:t>-4. BALB/c mice (</w:t>
      </w:r>
      <w:r>
        <w:rPr>
          <w:rFonts w:cs="Times New Roman"/>
          <w:i/>
          <w:iCs/>
          <w:sz w:val="18"/>
          <w:szCs w:val="18"/>
        </w:rPr>
        <w:t>n</w:t>
      </w:r>
      <w:r w:rsidR="00906F75">
        <w:rPr>
          <w:rFonts w:cs="Times New Roman"/>
          <w:i/>
          <w:iCs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=</w:t>
      </w:r>
      <w:r w:rsidR="00906F75">
        <w:rPr>
          <w:rFonts w:cs="Times New Roman"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 xml:space="preserve">4) were intranasally administered 20 </w:t>
      </w:r>
      <w:proofErr w:type="spellStart"/>
      <w:r>
        <w:rPr>
          <w:rFonts w:cs="Times New Roman"/>
          <w:sz w:val="18"/>
          <w:szCs w:val="18"/>
        </w:rPr>
        <w:t>μL</w:t>
      </w:r>
      <w:proofErr w:type="spellEnd"/>
      <w:r>
        <w:rPr>
          <w:rFonts w:cs="Times New Roman"/>
          <w:sz w:val="18"/>
          <w:szCs w:val="18"/>
        </w:rPr>
        <w:t xml:space="preserve"> samples containing 5 × 10</w:t>
      </w:r>
      <w:r>
        <w:rPr>
          <w:rFonts w:cs="Times New Roman"/>
          <w:sz w:val="18"/>
          <w:szCs w:val="18"/>
          <w:vertAlign w:val="superscript"/>
        </w:rPr>
        <w:t>6</w:t>
      </w:r>
      <w:r>
        <w:rPr>
          <w:rFonts w:cs="Times New Roman"/>
          <w:sz w:val="18"/>
          <w:szCs w:val="18"/>
        </w:rPr>
        <w:t xml:space="preserve"> IFU of Ad5-luc administrated 2 h before, 2h after, or complexed with (</w:t>
      </w:r>
      <w:proofErr w:type="gramStart"/>
      <w:r>
        <w:rPr>
          <w:rFonts w:cs="Times New Roman"/>
          <w:sz w:val="18"/>
          <w:szCs w:val="18"/>
        </w:rPr>
        <w:t>+)HSAnp</w:t>
      </w:r>
      <w:proofErr w:type="gramEnd"/>
      <w:r>
        <w:rPr>
          <w:rFonts w:cs="Times New Roman"/>
          <w:sz w:val="18"/>
          <w:szCs w:val="18"/>
        </w:rPr>
        <w:t>-4 (</w:t>
      </w:r>
      <w:r>
        <w:rPr>
          <w:rFonts w:cs="Times New Roman"/>
          <w:i/>
          <w:iCs/>
          <w:sz w:val="18"/>
          <w:szCs w:val="18"/>
        </w:rPr>
        <w:t>n</w:t>
      </w:r>
      <w:r w:rsidR="00906F75">
        <w:rPr>
          <w:rFonts w:cs="Times New Roman"/>
          <w:i/>
          <w:iCs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=</w:t>
      </w:r>
      <w:r w:rsidR="00906F75">
        <w:rPr>
          <w:rFonts w:cs="Times New Roman"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 xml:space="preserve">4). </w:t>
      </w:r>
      <w:r>
        <w:rPr>
          <w:rFonts w:cs="Times New Roman"/>
          <w:i/>
          <w:iCs/>
          <w:sz w:val="18"/>
          <w:szCs w:val="18"/>
        </w:rPr>
        <w:t>In vivo</w:t>
      </w:r>
      <w:r>
        <w:rPr>
          <w:rFonts w:cs="Times New Roman"/>
          <w:sz w:val="18"/>
          <w:szCs w:val="18"/>
        </w:rPr>
        <w:t xml:space="preserve"> BLI was performed at 10 days post intranasal administration.</w:t>
      </w:r>
      <w:r>
        <w:rPr>
          <w:sz w:val="18"/>
          <w:szCs w:val="18"/>
        </w:rPr>
        <w:t xml:space="preserve"> </w:t>
      </w:r>
    </w:p>
    <w:p w14:paraId="6A08F17E" w14:textId="77777777" w:rsidR="005D2295" w:rsidRDefault="00000000" w:rsidP="006F0AE9">
      <w:pPr>
        <w:jc w:val="center"/>
      </w:pPr>
      <w:r>
        <w:rPr>
          <w:rFonts w:cs="Times New Roman"/>
          <w:noProof/>
        </w:rPr>
        <w:drawing>
          <wp:inline distT="0" distB="0" distL="0" distR="0" wp14:anchorId="5A13DA00" wp14:editId="2C5613AB">
            <wp:extent cx="4822170" cy="2366962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31753" cy="2371666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24FE3B" w14:textId="4C0F2A88" w:rsidR="005D2295" w:rsidRPr="006F0AE9" w:rsidRDefault="00000000" w:rsidP="006F0AE9">
      <w:pPr>
        <w:adjustRightInd w:val="0"/>
        <w:snapToGrid w:val="0"/>
        <w:rPr>
          <w:rFonts w:cs="Times New Roman" w:hint="eastAsia"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 xml:space="preserve">Fig. S9. </w:t>
      </w:r>
      <w:r>
        <w:rPr>
          <w:rFonts w:cs="Times New Roman"/>
          <w:sz w:val="18"/>
          <w:szCs w:val="18"/>
        </w:rPr>
        <w:t xml:space="preserve">The adaptive cellular immunity of </w:t>
      </w:r>
      <w:proofErr w:type="spellStart"/>
      <w:r>
        <w:rPr>
          <w:rFonts w:cs="Times New Roman"/>
          <w:sz w:val="18"/>
          <w:szCs w:val="18"/>
        </w:rPr>
        <w:t>nanoformulated</w:t>
      </w:r>
      <w:proofErr w:type="spellEnd"/>
      <w:r>
        <w:rPr>
          <w:rFonts w:cs="Times New Roman"/>
          <w:sz w:val="18"/>
          <w:szCs w:val="18"/>
        </w:rPr>
        <w:t xml:space="preserve"> Ad5-based vaccines. In the absence (naïve, </w:t>
      </w:r>
      <w:r>
        <w:rPr>
          <w:rFonts w:cs="Times New Roman"/>
          <w:i/>
          <w:iCs/>
          <w:sz w:val="18"/>
          <w:szCs w:val="18"/>
        </w:rPr>
        <w:t>n</w:t>
      </w:r>
      <w:r w:rsidR="006F0AE9">
        <w:rPr>
          <w:rFonts w:cs="Times New Roman"/>
          <w:i/>
          <w:iCs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=</w:t>
      </w:r>
      <w:r w:rsidR="006F0AE9">
        <w:rPr>
          <w:rFonts w:cs="Times New Roman"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5) or presence (PEI,</w:t>
      </w:r>
      <w:r>
        <w:rPr>
          <w:rFonts w:cs="Times New Roman"/>
          <w:i/>
          <w:iCs/>
          <w:sz w:val="18"/>
          <w:szCs w:val="18"/>
        </w:rPr>
        <w:t xml:space="preserve"> n</w:t>
      </w:r>
      <w:r w:rsidR="006F0AE9">
        <w:rPr>
          <w:rFonts w:cs="Times New Roman"/>
          <w:i/>
          <w:iCs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=</w:t>
      </w:r>
      <w:r w:rsidR="006F0AE9">
        <w:rPr>
          <w:rFonts w:cs="Times New Roman"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10) of preexisting immunity, BALB/c mice were intranasally administered a single dose of 5 × 10</w:t>
      </w:r>
      <w:r>
        <w:rPr>
          <w:rFonts w:cs="Times New Roman"/>
          <w:sz w:val="18"/>
          <w:szCs w:val="18"/>
          <w:vertAlign w:val="superscript"/>
        </w:rPr>
        <w:t>6</w:t>
      </w:r>
      <w:r>
        <w:rPr>
          <w:rFonts w:cs="Times New Roman"/>
          <w:sz w:val="18"/>
          <w:szCs w:val="18"/>
        </w:rPr>
        <w:t xml:space="preserve"> IFU of Ad5-EBOV and Ad5-EBOV</w:t>
      </w:r>
      <w:proofErr w:type="gramStart"/>
      <w:r>
        <w:rPr>
          <w:rFonts w:cs="Times New Roman"/>
          <w:sz w:val="18"/>
          <w:szCs w:val="18"/>
        </w:rPr>
        <w:t>/(</w:t>
      </w:r>
      <w:proofErr w:type="gramEnd"/>
      <w:r>
        <w:rPr>
          <w:rFonts w:cs="Times New Roman"/>
          <w:sz w:val="18"/>
          <w:szCs w:val="18"/>
        </w:rPr>
        <w:t xml:space="preserve">+)HSAnp-4. </w:t>
      </w:r>
      <w:proofErr w:type="spellStart"/>
      <w:r>
        <w:rPr>
          <w:rFonts w:cs="Times New Roman"/>
          <w:sz w:val="18"/>
          <w:szCs w:val="18"/>
        </w:rPr>
        <w:t>IFNγ</w:t>
      </w:r>
      <w:proofErr w:type="spellEnd"/>
      <w:r>
        <w:rPr>
          <w:rFonts w:cs="Times New Roman"/>
          <w:sz w:val="18"/>
          <w:szCs w:val="18"/>
        </w:rPr>
        <w:t>-ELISpot assays were performed at 2 weeks and 14 weeks post administration, respectively. Data are presented as mean</w:t>
      </w:r>
      <w:r w:rsidRPr="006F0AE9">
        <w:rPr>
          <w:rFonts w:cs="Times New Roman"/>
          <w:sz w:val="18"/>
          <w:szCs w:val="18"/>
        </w:rPr>
        <w:t xml:space="preserve">s ± </w:t>
      </w:r>
      <w:r w:rsidRPr="006F0AE9">
        <w:rPr>
          <w:sz w:val="18"/>
          <w:szCs w:val="18"/>
        </w:rPr>
        <w:t>SEM</w:t>
      </w:r>
      <w:r w:rsidRPr="006F0AE9">
        <w:rPr>
          <w:rFonts w:cs="Times New Roman"/>
          <w:sz w:val="18"/>
          <w:szCs w:val="18"/>
        </w:rPr>
        <w:t>.</w:t>
      </w:r>
      <w:r>
        <w:rPr>
          <w:rFonts w:cs="Times New Roman"/>
          <w:sz w:val="18"/>
          <w:szCs w:val="18"/>
        </w:rPr>
        <w:t xml:space="preserve"> Statistical differences were determined using ANOVA with Dunn’s multiple comparison test.</w:t>
      </w:r>
    </w:p>
    <w:sectPr w:rsidR="005D2295" w:rsidRPr="006F0AE9">
      <w:footerReference w:type="even" r:id="rId15"/>
      <w:footerReference w:type="default" r:id="rId16"/>
      <w:type w:val="continuous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EABA7" w14:textId="77777777" w:rsidR="00BD36DF" w:rsidRDefault="00BD36DF">
      <w:r>
        <w:separator/>
      </w:r>
    </w:p>
  </w:endnote>
  <w:endnote w:type="continuationSeparator" w:id="0">
    <w:p w14:paraId="6D2AA653" w14:textId="77777777" w:rsidR="00BD36DF" w:rsidRDefault="00BD3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1" w:csb1="00000000"/>
  </w:font>
  <w:font w:name="Times New Roman (正文 CS 字体)">
    <w:altName w:val="宋体"/>
    <w:charset w:val="86"/>
    <w:family w:val="roman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8"/>
      </w:rPr>
      <w:id w:val="-641499948"/>
      <w:docPartObj>
        <w:docPartGallery w:val="AutoText"/>
      </w:docPartObj>
    </w:sdtPr>
    <w:sdtContent>
      <w:p w14:paraId="21960B07" w14:textId="77777777" w:rsidR="005D2295" w:rsidRDefault="00000000">
        <w:pPr>
          <w:pStyle w:val="a5"/>
          <w:framePr w:wrap="auto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>
          <w:rPr>
            <w:rStyle w:val="a8"/>
          </w:rPr>
          <w:t>3</w:t>
        </w:r>
        <w:r>
          <w:rPr>
            <w:rStyle w:val="a8"/>
          </w:rPr>
          <w:fldChar w:fldCharType="end"/>
        </w:r>
      </w:p>
    </w:sdtContent>
  </w:sdt>
  <w:p w14:paraId="1431C35E" w14:textId="77777777" w:rsidR="005D2295" w:rsidRDefault="005D229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8"/>
      </w:rPr>
      <w:id w:val="1103311963"/>
      <w:docPartObj>
        <w:docPartGallery w:val="AutoText"/>
      </w:docPartObj>
    </w:sdtPr>
    <w:sdtContent>
      <w:p w14:paraId="04993676" w14:textId="77777777" w:rsidR="005D2295" w:rsidRDefault="00000000">
        <w:pPr>
          <w:pStyle w:val="a5"/>
          <w:framePr w:wrap="auto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>
          <w:rPr>
            <w:rStyle w:val="a8"/>
          </w:rPr>
          <w:t>33</w:t>
        </w:r>
        <w:r>
          <w:rPr>
            <w:rStyle w:val="a8"/>
          </w:rPr>
          <w:fldChar w:fldCharType="end"/>
        </w:r>
      </w:p>
    </w:sdtContent>
  </w:sdt>
  <w:p w14:paraId="04CB0A76" w14:textId="77777777" w:rsidR="005D2295" w:rsidRDefault="005D229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42C46" w14:textId="77777777" w:rsidR="00BD36DF" w:rsidRDefault="00BD36DF">
      <w:r>
        <w:separator/>
      </w:r>
    </w:p>
  </w:footnote>
  <w:footnote w:type="continuationSeparator" w:id="0">
    <w:p w14:paraId="118B8AD4" w14:textId="77777777" w:rsidR="00BD36DF" w:rsidRDefault="00BD36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zA3ODk1ODg1NjliNjNiYzNmYzQyMTVlYmUyYjI4MTcifQ=="/>
  </w:docVars>
  <w:rsids>
    <w:rsidRoot w:val="008A58D7"/>
    <w:rsid w:val="00050145"/>
    <w:rsid w:val="000D0ED8"/>
    <w:rsid w:val="000E0A4C"/>
    <w:rsid w:val="00211296"/>
    <w:rsid w:val="00217064"/>
    <w:rsid w:val="00283895"/>
    <w:rsid w:val="002C5929"/>
    <w:rsid w:val="00301CEB"/>
    <w:rsid w:val="0032124D"/>
    <w:rsid w:val="003D043F"/>
    <w:rsid w:val="003F1455"/>
    <w:rsid w:val="00431505"/>
    <w:rsid w:val="004F4948"/>
    <w:rsid w:val="005D2295"/>
    <w:rsid w:val="00604482"/>
    <w:rsid w:val="00641C22"/>
    <w:rsid w:val="006F0AE9"/>
    <w:rsid w:val="00711C3D"/>
    <w:rsid w:val="00713957"/>
    <w:rsid w:val="00782C80"/>
    <w:rsid w:val="00783234"/>
    <w:rsid w:val="007D55BD"/>
    <w:rsid w:val="00807265"/>
    <w:rsid w:val="00812C4A"/>
    <w:rsid w:val="0087147E"/>
    <w:rsid w:val="008A58D7"/>
    <w:rsid w:val="008E5971"/>
    <w:rsid w:val="008F5BBA"/>
    <w:rsid w:val="00906F75"/>
    <w:rsid w:val="009668A6"/>
    <w:rsid w:val="00972547"/>
    <w:rsid w:val="00973452"/>
    <w:rsid w:val="00993625"/>
    <w:rsid w:val="009A4096"/>
    <w:rsid w:val="00A0101D"/>
    <w:rsid w:val="00A25545"/>
    <w:rsid w:val="00B07483"/>
    <w:rsid w:val="00B7691F"/>
    <w:rsid w:val="00BD36DF"/>
    <w:rsid w:val="00C25B10"/>
    <w:rsid w:val="00C61977"/>
    <w:rsid w:val="00DC5115"/>
    <w:rsid w:val="00DC5A1C"/>
    <w:rsid w:val="00DD1A4B"/>
    <w:rsid w:val="00DF0543"/>
    <w:rsid w:val="00EE65E6"/>
    <w:rsid w:val="00EF5C55"/>
    <w:rsid w:val="00F34FD5"/>
    <w:rsid w:val="00F73F06"/>
    <w:rsid w:val="00FB262E"/>
    <w:rsid w:val="3A6D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04915C"/>
  <w15:docId w15:val="{92D64219-66F2-4D3E-9E6D-7A7FDB7C4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仿宋_GB2312" w:hAnsi="Times New Roman" w:cs="Times New Roman (正文 CS 字体)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uiPriority w:val="99"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8">
    <w:name w:val="page number"/>
    <w:basedOn w:val="a0"/>
    <w:uiPriority w:val="99"/>
    <w:semiHidden/>
    <w:unhideWhenUsed/>
  </w:style>
  <w:style w:type="character" w:styleId="a9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a">
    <w:name w:val="annotation reference"/>
    <w:basedOn w:val="a0"/>
    <w:uiPriority w:val="99"/>
    <w:unhideWhenUsed/>
    <w:qFormat/>
    <w:rPr>
      <w:sz w:val="21"/>
      <w:szCs w:val="21"/>
    </w:rPr>
  </w:style>
  <w:style w:type="character" w:customStyle="1" w:styleId="a6">
    <w:name w:val="页脚 字符"/>
    <w:basedOn w:val="a0"/>
    <w:link w:val="a5"/>
    <w:uiPriority w:val="99"/>
    <w:rPr>
      <w:rFonts w:ascii="Times New Roman" w:eastAsia="仿宋_GB2312" w:hAnsi="Times New Roman" w:cs="Times New Roman (正文 CS 字体)"/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rPr>
      <w:rFonts w:ascii="Times New Roman" w:eastAsia="仿宋_GB2312" w:hAnsi="Times New Roman" w:cs="Times New Roman (正文 CS 字体)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463</Words>
  <Characters>2641</Characters>
  <Application>Microsoft Office Word</Application>
  <DocSecurity>0</DocSecurity>
  <Lines>22</Lines>
  <Paragraphs>6</Paragraphs>
  <ScaleCrop>false</ScaleCrop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yilong yang</dc:creator>
  <cp:lastModifiedBy>WJM</cp:lastModifiedBy>
  <cp:revision>8</cp:revision>
  <dcterms:created xsi:type="dcterms:W3CDTF">2022-12-30T01:08:00Z</dcterms:created>
  <dcterms:modified xsi:type="dcterms:W3CDTF">2023-01-05T03:16:00Z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CFC28696AE844FCBAB919406B741321B</vt:lpwstr>
  </property>
</Properties>
</file>