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883" w:rsidRDefault="00217883" w:rsidP="00217883">
      <w:pPr>
        <w:adjustRightInd w:val="0"/>
        <w:snapToGrid w:val="0"/>
      </w:pPr>
      <w:r w:rsidRPr="004B2657">
        <w:t>Supplementary data for</w:t>
      </w:r>
    </w:p>
    <w:p w:rsidR="00217883" w:rsidRDefault="00217883" w:rsidP="00217883">
      <w:pPr>
        <w:adjustRightInd w:val="0"/>
        <w:snapToGrid w:val="0"/>
      </w:pPr>
    </w:p>
    <w:p w:rsidR="00217883" w:rsidRDefault="00217883" w:rsidP="00217883">
      <w:pPr>
        <w:pStyle w:val="8-Title-ENG"/>
      </w:pPr>
      <w:r>
        <w:t>CPAL, as a New Mediator of Cardiomyocyte Metabolic Alterations and Pyroptosis, Regulates Myocardial Infarction Injury in Mice</w:t>
      </w:r>
    </w:p>
    <w:p w:rsidR="00217883" w:rsidRDefault="00217883" w:rsidP="00217883">
      <w:pPr>
        <w:pStyle w:val="6-Author-ENG"/>
      </w:pPr>
      <w:r>
        <w:t>Jiamin Li</w:t>
      </w:r>
      <w:r>
        <w:rPr>
          <w:vertAlign w:val="superscript"/>
        </w:rPr>
        <w:t xml:space="preserve"> a,c,d,#</w:t>
      </w:r>
      <w:r>
        <w:t>, Hongru Xue</w:t>
      </w:r>
      <w:r>
        <w:rPr>
          <w:vertAlign w:val="superscript"/>
        </w:rPr>
        <w:t xml:space="preserve"> a,#</w:t>
      </w:r>
      <w:r>
        <w:t>, Ning Xu</w:t>
      </w:r>
      <w:r>
        <w:rPr>
          <w:vertAlign w:val="superscript"/>
        </w:rPr>
        <w:t xml:space="preserve"> a,#</w:t>
      </w:r>
      <w:r>
        <w:t>, Liling Gong</w:t>
      </w:r>
      <w:r>
        <w:rPr>
          <w:vertAlign w:val="superscript"/>
        </w:rPr>
        <w:t xml:space="preserve"> a</w:t>
      </w:r>
      <w:r>
        <w:t>, Ming Li</w:t>
      </w:r>
      <w:r>
        <w:rPr>
          <w:vertAlign w:val="superscript"/>
        </w:rPr>
        <w:t xml:space="preserve"> a</w:t>
      </w:r>
      <w:r>
        <w:t>, Sijia Li</w:t>
      </w:r>
      <w:r>
        <w:rPr>
          <w:vertAlign w:val="superscript"/>
        </w:rPr>
        <w:t xml:space="preserve"> a</w:t>
      </w:r>
      <w:r>
        <w:t>, Di Huang</w:t>
      </w:r>
      <w:r>
        <w:rPr>
          <w:vertAlign w:val="superscript"/>
        </w:rPr>
        <w:t xml:space="preserve"> a</w:t>
      </w:r>
      <w:r>
        <w:t>, Qingwei Zhang</w:t>
      </w:r>
      <w:r>
        <w:rPr>
          <w:vertAlign w:val="superscript"/>
        </w:rPr>
        <w:t xml:space="preserve"> a</w:t>
      </w:r>
      <w:r>
        <w:t>, Pengyu Li</w:t>
      </w:r>
      <w:r>
        <w:rPr>
          <w:vertAlign w:val="superscript"/>
        </w:rPr>
        <w:t xml:space="preserve"> a</w:t>
      </w:r>
      <w:r>
        <w:t>, Qingsui Li</w:t>
      </w:r>
      <w:r>
        <w:rPr>
          <w:vertAlign w:val="superscript"/>
        </w:rPr>
        <w:t xml:space="preserve"> a</w:t>
      </w:r>
      <w:r>
        <w:t>, Hang Yu</w:t>
      </w:r>
      <w:r>
        <w:rPr>
          <w:vertAlign w:val="superscript"/>
        </w:rPr>
        <w:t xml:space="preserve"> a</w:t>
      </w:r>
      <w:r>
        <w:t>, Yining Liu</w:t>
      </w:r>
      <w:r>
        <w:rPr>
          <w:vertAlign w:val="superscript"/>
        </w:rPr>
        <w:t xml:space="preserve"> a,b</w:t>
      </w:r>
      <w:r>
        <w:t>, Yadong Xue</w:t>
      </w:r>
      <w:r>
        <w:rPr>
          <w:vertAlign w:val="superscript"/>
        </w:rPr>
        <w:t xml:space="preserve"> a</w:t>
      </w:r>
      <w:r>
        <w:t>, Haixin Chen</w:t>
      </w:r>
      <w:r>
        <w:rPr>
          <w:vertAlign w:val="superscript"/>
        </w:rPr>
        <w:t xml:space="preserve"> a</w:t>
      </w:r>
      <w:r>
        <w:t>, Jiali Liu</w:t>
      </w:r>
      <w:r>
        <w:rPr>
          <w:vertAlign w:val="superscript"/>
        </w:rPr>
        <w:t xml:space="preserve"> a</w:t>
      </w:r>
      <w:r>
        <w:t>, Wanyu Zhang</w:t>
      </w:r>
      <w:r>
        <w:rPr>
          <w:vertAlign w:val="superscript"/>
        </w:rPr>
        <w:t xml:space="preserve"> a</w:t>
      </w:r>
      <w:r>
        <w:t>, Mingbin Liu</w:t>
      </w:r>
      <w:r>
        <w:rPr>
          <w:vertAlign w:val="superscript"/>
        </w:rPr>
        <w:t xml:space="preserve"> a</w:t>
      </w:r>
      <w:r>
        <w:t>, Siyu Chang</w:t>
      </w:r>
      <w:r>
        <w:rPr>
          <w:vertAlign w:val="superscript"/>
        </w:rPr>
        <w:t xml:space="preserve"> a</w:t>
      </w:r>
      <w:r>
        <w:t>, Xianzhi Lang</w:t>
      </w:r>
      <w:r>
        <w:rPr>
          <w:vertAlign w:val="superscript"/>
        </w:rPr>
        <w:t xml:space="preserve"> a</w:t>
      </w:r>
      <w:r>
        <w:t>, Xingmiao Zhao</w:t>
      </w:r>
      <w:r>
        <w:rPr>
          <w:vertAlign w:val="superscript"/>
        </w:rPr>
        <w:t xml:space="preserve"> a</w:t>
      </w:r>
      <w:r>
        <w:t>, Weijie Du</w:t>
      </w:r>
      <w:r>
        <w:rPr>
          <w:vertAlign w:val="superscript"/>
        </w:rPr>
        <w:t xml:space="preserve"> a,c,d</w:t>
      </w:r>
      <w:r>
        <w:t>, Benzhi Cai</w:t>
      </w:r>
      <w:r>
        <w:rPr>
          <w:vertAlign w:val="superscript"/>
        </w:rPr>
        <w:t xml:space="preserve"> b,c,d</w:t>
      </w:r>
      <w:r>
        <w:t>, Ning Wang</w:t>
      </w:r>
      <w:r>
        <w:rPr>
          <w:vertAlign w:val="superscript"/>
        </w:rPr>
        <w:t xml:space="preserve"> a,c,d,</w:t>
      </w:r>
      <w:r>
        <w:t>*, Baofeng Yang</w:t>
      </w:r>
      <w:r>
        <w:rPr>
          <w:vertAlign w:val="superscript"/>
        </w:rPr>
        <w:t xml:space="preserve"> a,c,d,</w:t>
      </w:r>
      <w:r>
        <w:t>*</w:t>
      </w:r>
    </w:p>
    <w:p w:rsidR="00217883" w:rsidRDefault="00217883" w:rsidP="00217883">
      <w:pPr>
        <w:autoSpaceDE w:val="0"/>
        <w:autoSpaceDN w:val="0"/>
        <w:adjustRightInd w:val="0"/>
        <w:contextualSpacing/>
        <w:jc w:val="both"/>
        <w:rPr>
          <w:i/>
          <w:iCs/>
          <w:sz w:val="21"/>
          <w:szCs w:val="21"/>
          <w:vertAlign w:val="superscript"/>
        </w:rPr>
      </w:pPr>
    </w:p>
    <w:p w:rsidR="00217883" w:rsidRDefault="00217883" w:rsidP="00217883">
      <w:pPr>
        <w:pStyle w:val="7-Affili-ENG"/>
      </w:pPr>
      <w:r w:rsidRPr="00210C19">
        <w:rPr>
          <w:i w:val="0"/>
          <w:vertAlign w:val="superscript"/>
        </w:rPr>
        <w:t>a</w:t>
      </w:r>
      <w:r>
        <w:rPr>
          <w:vertAlign w:val="superscript"/>
        </w:rPr>
        <w:t xml:space="preserve"> </w:t>
      </w:r>
      <w:r>
        <w:t>State-Province Key Laboratories of Biomedicine-Pharmaceutics of China &amp; Key Laboratory of Cardiovascular Medicine Research (</w:t>
      </w:r>
      <w:r w:rsidRPr="00210C19">
        <w:t>Ministry of Education of the People's Republic of China</w:t>
      </w:r>
      <w:r>
        <w:t>), Department of Pharmacology, College of Pharmacy, Harbin Medical University, Harbin 150081, China</w:t>
      </w:r>
    </w:p>
    <w:p w:rsidR="00217883" w:rsidRDefault="00217883" w:rsidP="00217883">
      <w:pPr>
        <w:pStyle w:val="7-Affili-ENG"/>
      </w:pPr>
      <w:r w:rsidRPr="00210C19">
        <w:rPr>
          <w:i w:val="0"/>
          <w:vertAlign w:val="superscript"/>
        </w:rPr>
        <w:t>b</w:t>
      </w:r>
      <w:r>
        <w:rPr>
          <w:vertAlign w:val="superscript"/>
        </w:rPr>
        <w:t xml:space="preserve"> </w:t>
      </w:r>
      <w:r>
        <w:t>Institute of Clinical Pharmacy, The University Key Laboratory of Drug Research, Heilongjiang Higher Education Institutions, Department of Pharmacy, the Second Affiliated Hospital of Harbin Medical University, Harbin, China</w:t>
      </w:r>
    </w:p>
    <w:p w:rsidR="00217883" w:rsidRDefault="00217883" w:rsidP="00217883">
      <w:pPr>
        <w:pStyle w:val="7-Affili-ENG"/>
      </w:pPr>
      <w:r w:rsidRPr="00210C19">
        <w:rPr>
          <w:i w:val="0"/>
          <w:vertAlign w:val="superscript"/>
        </w:rPr>
        <w:t>c</w:t>
      </w:r>
      <w:r>
        <w:rPr>
          <w:vertAlign w:val="superscript"/>
        </w:rPr>
        <w:t xml:space="preserve"> </w:t>
      </w:r>
      <w:r>
        <w:t>Research Unit of Noninfectious Chronic Diseases in Frigid Zones (2019RU070), Chinese Academy of Medical Sciences, Harbin 150081, China</w:t>
      </w:r>
    </w:p>
    <w:p w:rsidR="00217883" w:rsidRDefault="00217883" w:rsidP="00217883">
      <w:pPr>
        <w:pStyle w:val="7-Affili-ENG"/>
      </w:pPr>
      <w:r w:rsidRPr="00210C19">
        <w:rPr>
          <w:i w:val="0"/>
          <w:vertAlign w:val="superscript"/>
        </w:rPr>
        <w:t>d</w:t>
      </w:r>
      <w:r>
        <w:rPr>
          <w:vertAlign w:val="superscript"/>
        </w:rPr>
        <w:t xml:space="preserve"> </w:t>
      </w:r>
      <w:r>
        <w:t>Northern Translational Medicine Research and Cooperation Center, Heilongjiang Academy of Medical Sciences, Harbin Medical University, Harbin 150081, China</w:t>
      </w:r>
    </w:p>
    <w:p w:rsidR="00217883" w:rsidRDefault="00217883" w:rsidP="00217883">
      <w:pPr>
        <w:autoSpaceDE w:val="0"/>
        <w:autoSpaceDN w:val="0"/>
        <w:adjustRightInd w:val="0"/>
        <w:contextualSpacing/>
        <w:jc w:val="both"/>
      </w:pPr>
    </w:p>
    <w:p w:rsidR="00217883" w:rsidRDefault="00217883" w:rsidP="00217883">
      <w:pPr>
        <w:pStyle w:val="6-Corre-ENG"/>
      </w:pPr>
      <w:r>
        <w:t xml:space="preserve">* Corresponding authors. </w:t>
      </w:r>
    </w:p>
    <w:p w:rsidR="00217883" w:rsidRDefault="00217883" w:rsidP="00217883">
      <w:pPr>
        <w:pStyle w:val="6-Corre-ENG"/>
      </w:pPr>
      <w:r w:rsidRPr="00E876C8">
        <w:rPr>
          <w:i/>
        </w:rPr>
        <w:t>E-mails</w:t>
      </w:r>
      <w:r w:rsidRPr="0076368E">
        <w:t xml:space="preserve">: </w:t>
      </w:r>
      <w:r w:rsidRPr="00E876C8">
        <w:t>wangning@ems.hrbmu.edu.cn</w:t>
      </w:r>
      <w:r w:rsidRPr="0076368E">
        <w:t xml:space="preserve"> (N</w:t>
      </w:r>
      <w:r>
        <w:t xml:space="preserve">. </w:t>
      </w:r>
      <w:r w:rsidRPr="0076368E">
        <w:t>Wang)</w:t>
      </w:r>
      <w:r>
        <w:t>, yangbf@ems.hrbmu.edu.cn (B. Yang)</w:t>
      </w:r>
    </w:p>
    <w:p w:rsidR="00217883" w:rsidRDefault="00217883" w:rsidP="00217883">
      <w:pPr>
        <w:widowControl w:val="0"/>
        <w:adjustRightInd w:val="0"/>
        <w:snapToGrid w:val="0"/>
        <w:rPr>
          <w:sz w:val="18"/>
          <w:szCs w:val="18"/>
          <w:vertAlign w:val="superscript"/>
        </w:rPr>
      </w:pPr>
    </w:p>
    <w:p w:rsidR="00217883" w:rsidRPr="00217883" w:rsidRDefault="00217883" w:rsidP="00217883">
      <w:pPr>
        <w:widowControl w:val="0"/>
        <w:adjustRightInd w:val="0"/>
        <w:snapToGrid w:val="0"/>
        <w:rPr>
          <w:sz w:val="18"/>
          <w:szCs w:val="18"/>
        </w:rPr>
      </w:pPr>
      <w:r w:rsidRPr="00CB035D">
        <w:rPr>
          <w:sz w:val="18"/>
          <w:szCs w:val="18"/>
          <w:vertAlign w:val="superscript"/>
        </w:rPr>
        <w:t>#</w:t>
      </w:r>
      <w:r w:rsidRPr="00CB035D">
        <w:rPr>
          <w:sz w:val="18"/>
          <w:szCs w:val="18"/>
        </w:rPr>
        <w:t xml:space="preserve"> These authors contributed equally to this work.</w:t>
      </w:r>
      <w:r w:rsidRPr="0020291F">
        <w:rPr>
          <w:b/>
          <w:noProof/>
        </w:rPr>
        <w:lastRenderedPageBreak/>
        <w:drawing>
          <wp:inline distT="0" distB="0" distL="0" distR="0" wp14:anchorId="05D49F98" wp14:editId="48FB40FE">
            <wp:extent cx="5270500" cy="81661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883" w:rsidRDefault="00217883" w:rsidP="00217883">
      <w:pPr>
        <w:pStyle w:val="Default"/>
        <w:ind w:firstLine="211"/>
        <w:contextualSpacing/>
        <w:jc w:val="both"/>
        <w:rPr>
          <w:rFonts w:ascii="Times New Roman" w:eastAsia="宋体" w:hAnsi="Times New Roman" w:cs="Times New Roman"/>
          <w:b/>
        </w:rPr>
      </w:pPr>
    </w:p>
    <w:p w:rsidR="00217883" w:rsidRDefault="00217883" w:rsidP="00217883">
      <w:pPr>
        <w:autoSpaceDE w:val="0"/>
        <w:autoSpaceDN w:val="0"/>
        <w:adjustRightInd w:val="0"/>
        <w:spacing w:after="240"/>
        <w:contextualSpacing/>
        <w:jc w:val="both"/>
      </w:pPr>
      <w:r>
        <w:rPr>
          <w:b/>
        </w:rPr>
        <w:t>Fig. S</w:t>
      </w:r>
      <w:r>
        <w:rPr>
          <w:rFonts w:hint="eastAsia"/>
          <w:b/>
          <w:lang w:eastAsia="zh-CN"/>
        </w:rPr>
        <w:t>1</w:t>
      </w:r>
      <w:r>
        <w:rPr>
          <w:b/>
        </w:rPr>
        <w:t>.</w:t>
      </w:r>
      <w:r>
        <w:t xml:space="preserve"> LPS induces neonatal mouse cardiomyocyte pyroptosis. (a) Representative images stained by TUNEL and a percentage analysis of TUNEL-positive </w:t>
      </w:r>
      <w:r>
        <w:lastRenderedPageBreak/>
        <w:t>cardiomyocytes in the control and LPS groups (blue: nuclear staining (DAPI); green: TUNEL-positive cells; scale bar: 100 μm; **</w:t>
      </w:r>
      <w:r>
        <w:rPr>
          <w:i/>
        </w:rPr>
        <w:t>P</w:t>
      </w:r>
      <w:r>
        <w:t xml:space="preserve">&lt;0.01, compared with the control group; </w:t>
      </w:r>
      <w:r>
        <w:rPr>
          <w:i/>
          <w:iCs/>
        </w:rPr>
        <w:t>n=</w:t>
      </w:r>
      <w:r>
        <w:t xml:space="preserve">3–5; mean ± SEM). (b) TEM micrograph showing the control and LPS group cardiomyocytes (green stars indicate karyopyknosis, red triangles indicate the mitochondrial vacuole, and the yellow arrow represents membranolysis; scale bar: 2 μm; </w:t>
      </w:r>
      <w:r>
        <w:rPr>
          <w:i/>
          <w:iCs/>
        </w:rPr>
        <w:t>n=</w:t>
      </w:r>
      <w:r>
        <w:t>3). (c) Relative mRNA levels of genes in the control and LPS groups (</w:t>
      </w:r>
      <w:r>
        <w:rPr>
          <w:i/>
          <w:iCs/>
        </w:rPr>
        <w:t>n=</w:t>
      </w:r>
      <w:r>
        <w:t>3-6; **</w:t>
      </w:r>
      <w:r>
        <w:rPr>
          <w:i/>
        </w:rPr>
        <w:t>P</w:t>
      </w:r>
      <w:r>
        <w:t>&lt;0.01, compared with the control; mean ± SEM). (d) Protein levels of NLRP3, cleaved caspase-1, GSDMD, GSDMD-N, pro-IL-18, mature IL-18, pro-IL-1β, and mature IL-1β in LPS treatment cells or untreated (**</w:t>
      </w:r>
      <w:r>
        <w:rPr>
          <w:i/>
        </w:rPr>
        <w:t>P</w:t>
      </w:r>
      <w:r>
        <w:t xml:space="preserve">&lt;0.01, compared with control; </w:t>
      </w:r>
      <w:r>
        <w:rPr>
          <w:i/>
          <w:iCs/>
        </w:rPr>
        <w:t>n=</w:t>
      </w:r>
      <w:r>
        <w:t xml:space="preserve">3–9). (e) Immunofluorescence staining for NLRP3/caspase-1-α-actinin in cardiomyocytes with LPS treatment or </w:t>
      </w:r>
      <w:r>
        <w:rPr>
          <w:rFonts w:hint="eastAsia"/>
        </w:rPr>
        <w:t>untreated</w:t>
      </w:r>
      <w:r>
        <w:t xml:space="preserve"> (green: NLRP3/caspase-1, red: α-actinin, blue: DAPI; scale bar: 5 μm; </w:t>
      </w:r>
      <w:r>
        <w:rPr>
          <w:i/>
          <w:iCs/>
        </w:rPr>
        <w:t>n=</w:t>
      </w:r>
      <w:r>
        <w:t>3)</w:t>
      </w:r>
    </w:p>
    <w:p w:rsidR="00217883" w:rsidRDefault="00217883" w:rsidP="00217883">
      <w:pPr>
        <w:pStyle w:val="Default"/>
        <w:ind w:firstLine="211"/>
        <w:contextualSpacing/>
        <w:jc w:val="both"/>
        <w:rPr>
          <w:rFonts w:ascii="Times New Roman" w:eastAsia="宋体" w:hAnsi="Times New Roman" w:cs="Times New Roman"/>
          <w:b/>
        </w:rPr>
      </w:pPr>
    </w:p>
    <w:p w:rsidR="00217883" w:rsidRDefault="00217883" w:rsidP="00217883">
      <w:pPr>
        <w:pStyle w:val="Default"/>
        <w:ind w:firstLine="210"/>
        <w:contextualSpacing/>
        <w:jc w:val="center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  <w:noProof/>
        </w:rPr>
        <w:drawing>
          <wp:inline distT="0" distB="0" distL="0" distR="0" wp14:anchorId="69F921A5" wp14:editId="158C9AD3">
            <wp:extent cx="1790700" cy="2962275"/>
            <wp:effectExtent l="0" t="0" r="0" b="0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883" w:rsidRDefault="00217883" w:rsidP="00217883">
      <w:pPr>
        <w:pStyle w:val="Default"/>
        <w:contextualSpacing/>
        <w:jc w:val="both"/>
        <w:rPr>
          <w:rFonts w:ascii="Times New Roman" w:eastAsia="宋体" w:hAnsi="Times New Roman" w:cs="Times New Roman"/>
        </w:rPr>
      </w:pPr>
      <w:bookmarkStart w:id="0" w:name="_GoBack"/>
      <w:bookmarkEnd w:id="0"/>
      <w:r>
        <w:rPr>
          <w:rFonts w:ascii="Times New Roman" w:eastAsia="宋体" w:hAnsi="Times New Roman" w:cs="Times New Roman"/>
          <w:b/>
        </w:rPr>
        <w:t>Fig. S</w:t>
      </w:r>
      <w:r>
        <w:rPr>
          <w:rFonts w:ascii="Times New Roman" w:eastAsia="宋体" w:hAnsi="Times New Roman" w:cs="Times New Roman" w:hint="eastAsia"/>
          <w:b/>
        </w:rPr>
        <w:t>2</w:t>
      </w:r>
      <w:r>
        <w:rPr>
          <w:rFonts w:ascii="Times New Roman" w:eastAsia="宋体" w:hAnsi="Times New Roman" w:cs="Times New Roman"/>
          <w:b/>
        </w:rPr>
        <w:t>.</w:t>
      </w:r>
      <w:r>
        <w:rPr>
          <w:rFonts w:ascii="Times New Roman" w:eastAsia="宋体" w:hAnsi="Times New Roman" w:cs="Times New Roman"/>
        </w:rPr>
        <w:t xml:space="preserve"> Tail vein injection of AAV9-sh-CPAL in normal mice. (a) Expression of CPAL at the mRNA level in mouse hearts injected with AAV9-sh-NC/AAV9-sh-CPAL for 4 weeks (**</w:t>
      </w:r>
      <w:r>
        <w:rPr>
          <w:rFonts w:ascii="Times New Roman" w:eastAsia="宋体" w:hAnsi="Times New Roman" w:cs="Times New Roman"/>
          <w:i/>
          <w:iCs/>
        </w:rPr>
        <w:t>P</w:t>
      </w:r>
      <w:r>
        <w:rPr>
          <w:rFonts w:ascii="Times New Roman" w:eastAsia="宋体" w:hAnsi="Times New Roman" w:cs="Times New Roman"/>
        </w:rPr>
        <w:t xml:space="preserve">&lt;0.05, compared with NC group; </w:t>
      </w:r>
      <w:r>
        <w:rPr>
          <w:rFonts w:ascii="Times New Roman" w:eastAsia="宋体" w:hAnsi="Times New Roman" w:cs="Times New Roman"/>
          <w:i/>
          <w:iCs/>
        </w:rPr>
        <w:t>n=</w:t>
      </w:r>
      <w:r>
        <w:rPr>
          <w:rFonts w:ascii="Times New Roman" w:eastAsia="宋体" w:hAnsi="Times New Roman" w:cs="Times New Roman"/>
        </w:rPr>
        <w:t>3).</w:t>
      </w:r>
    </w:p>
    <w:p w:rsidR="00217883" w:rsidRDefault="00217883" w:rsidP="00217883">
      <w:pPr>
        <w:pStyle w:val="Default"/>
        <w:ind w:firstLine="210"/>
        <w:contextualSpacing/>
        <w:jc w:val="both"/>
        <w:rPr>
          <w:rFonts w:ascii="Times New Roman" w:eastAsia="宋体" w:hAnsi="Times New Roman" w:cs="Times New Roman"/>
        </w:rPr>
      </w:pPr>
    </w:p>
    <w:p w:rsidR="00217883" w:rsidRDefault="00217883" w:rsidP="00217883">
      <w:pPr>
        <w:autoSpaceDE w:val="0"/>
        <w:autoSpaceDN w:val="0"/>
        <w:adjustRightInd w:val="0"/>
        <w:contextualSpacing/>
      </w:pPr>
      <w:r>
        <w:rPr>
          <w:b/>
          <w:noProof/>
          <w:lang w:eastAsia="zh-CN"/>
        </w:rPr>
        <w:drawing>
          <wp:inline distT="0" distB="0" distL="0" distR="0" wp14:anchorId="4E1C48FF" wp14:editId="2E294F41">
            <wp:extent cx="5200650" cy="1781175"/>
            <wp:effectExtent l="0" t="0" r="0" b="0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883" w:rsidRDefault="00217883" w:rsidP="00217883">
      <w:pPr>
        <w:autoSpaceDE w:val="0"/>
        <w:autoSpaceDN w:val="0"/>
        <w:adjustRightInd w:val="0"/>
        <w:spacing w:after="240"/>
        <w:contextualSpacing/>
        <w:jc w:val="both"/>
      </w:pPr>
      <w:r>
        <w:rPr>
          <w:b/>
        </w:rPr>
        <w:lastRenderedPageBreak/>
        <w:t>Fig. S</w:t>
      </w:r>
      <w:r>
        <w:rPr>
          <w:rFonts w:hint="eastAsia"/>
          <w:b/>
          <w:lang w:eastAsia="zh-CN"/>
        </w:rPr>
        <w:t>3</w:t>
      </w:r>
      <w:r>
        <w:rPr>
          <w:b/>
        </w:rPr>
        <w:t>.</w:t>
      </w:r>
      <w:r>
        <w:t xml:space="preserve"> si-CPAL transfection efficiency and knockdown of CPAL expression in neonatal cardiomyocytes. (a) Epifluorescence images of the transfection efficiency in cardiomyocytes (scale bar: 100 μm). (b) CPAL mRNA expression levels in neonatal cardiomyocytes transfected with si-NC/si-CPAL (*</w:t>
      </w:r>
      <w:r>
        <w:rPr>
          <w:i/>
          <w:iCs/>
        </w:rPr>
        <w:t>P</w:t>
      </w:r>
      <w:r>
        <w:t xml:space="preserve">&lt;0.05, compared with NC; </w:t>
      </w:r>
      <w:r>
        <w:rPr>
          <w:i/>
          <w:iCs/>
        </w:rPr>
        <w:t>n=</w:t>
      </w:r>
      <w:r>
        <w:t>3; mean ± SEM).</w:t>
      </w:r>
    </w:p>
    <w:p w:rsidR="00217883" w:rsidRDefault="00217883" w:rsidP="00217883">
      <w:pPr>
        <w:autoSpaceDE w:val="0"/>
        <w:autoSpaceDN w:val="0"/>
        <w:adjustRightInd w:val="0"/>
        <w:contextualSpacing/>
        <w:sectPr w:rsidR="00217883" w:rsidSect="00210C19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footnotePr>
            <w:numFmt w:val="chicago"/>
            <w:numStart w:val="2"/>
          </w:footnotePr>
          <w:pgSz w:w="11900" w:h="16840"/>
          <w:pgMar w:top="1440" w:right="1800" w:bottom="1440" w:left="1800" w:header="851" w:footer="992" w:gutter="0"/>
          <w:cols w:space="425"/>
          <w:titlePg/>
          <w:docGrid w:type="lines" w:linePitch="326"/>
        </w:sectPr>
      </w:pPr>
    </w:p>
    <w:p w:rsidR="00217883" w:rsidRDefault="00217883" w:rsidP="00217883">
      <w:pPr>
        <w:autoSpaceDE w:val="0"/>
        <w:autoSpaceDN w:val="0"/>
        <w:adjustRightInd w:val="0"/>
        <w:contextualSpacing/>
      </w:pPr>
      <w:r>
        <w:rPr>
          <w:b/>
        </w:rPr>
        <w:lastRenderedPageBreak/>
        <w:t xml:space="preserve">Table S1 </w:t>
      </w:r>
      <w:r>
        <w:rPr>
          <w:bCs/>
        </w:rPr>
        <w:t>Sequences of qRT-PCR primers.</w:t>
      </w:r>
    </w:p>
    <w:tbl>
      <w:tblPr>
        <w:tblStyle w:val="a5"/>
        <w:tblW w:w="14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5802"/>
        <w:gridCol w:w="5339"/>
      </w:tblGrid>
      <w:tr w:rsidR="00217883" w:rsidTr="00E876C8">
        <w:trPr>
          <w:trHeight w:val="607"/>
        </w:trPr>
        <w:tc>
          <w:tcPr>
            <w:tcW w:w="2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</w:rPr>
              <w:t>Gene name</w:t>
            </w:r>
          </w:p>
        </w:tc>
        <w:tc>
          <w:tcPr>
            <w:tcW w:w="5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color w:val="000000" w:themeColor="text1"/>
                <w:sz w:val="20"/>
                <w:szCs w:val="20"/>
                <w:lang w:eastAsia="zh-CN"/>
              </w:rPr>
            </w:pPr>
            <w:r>
              <w:rPr>
                <w:b/>
              </w:rPr>
              <w:t>Forward primer (5'–3')</w:t>
            </w:r>
          </w:p>
        </w:tc>
        <w:tc>
          <w:tcPr>
            <w:tcW w:w="5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</w:rPr>
              <w:t>Reverse primer (5'–3')</w:t>
            </w:r>
          </w:p>
        </w:tc>
      </w:tr>
      <w:tr w:rsidR="00217883" w:rsidTr="00E876C8">
        <w:trPr>
          <w:trHeight w:hRule="exact" w:val="674"/>
        </w:trPr>
        <w:tc>
          <w:tcPr>
            <w:tcW w:w="2962" w:type="dxa"/>
            <w:tcBorders>
              <w:top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NLRP3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GTTTGACCCCGATGATGAGC</w:t>
            </w:r>
          </w:p>
        </w:tc>
        <w:tc>
          <w:tcPr>
            <w:tcW w:w="5339" w:type="dxa"/>
            <w:tcBorders>
              <w:top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CTTGTGGATGGGTGGGTTTG</w:t>
            </w:r>
          </w:p>
        </w:tc>
      </w:tr>
      <w:tr w:rsidR="00217883" w:rsidTr="00E876C8">
        <w:trPr>
          <w:trHeight w:hRule="exact" w:val="570"/>
        </w:trPr>
        <w:tc>
          <w:tcPr>
            <w:tcW w:w="296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NFκB</w:t>
            </w:r>
          </w:p>
        </w:tc>
        <w:tc>
          <w:tcPr>
            <w:tcW w:w="580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CAGCTCTTCTCAAAGCAGCA</w:t>
            </w:r>
          </w:p>
        </w:tc>
        <w:tc>
          <w:tcPr>
            <w:tcW w:w="5339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TCCAGGTCATAGAGAGGCTCA</w:t>
            </w:r>
          </w:p>
        </w:tc>
      </w:tr>
      <w:tr w:rsidR="00217883" w:rsidTr="00E876C8">
        <w:trPr>
          <w:trHeight w:hRule="exact" w:val="564"/>
        </w:trPr>
        <w:tc>
          <w:tcPr>
            <w:tcW w:w="296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Caspase-1</w:t>
            </w:r>
          </w:p>
        </w:tc>
        <w:tc>
          <w:tcPr>
            <w:tcW w:w="580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ACACGTCTTGCCCTCATTATCT</w:t>
            </w:r>
          </w:p>
        </w:tc>
        <w:tc>
          <w:tcPr>
            <w:tcW w:w="5339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ATAACCTTGGGCTTGTCTTTCA</w:t>
            </w:r>
          </w:p>
        </w:tc>
      </w:tr>
      <w:tr w:rsidR="00217883" w:rsidTr="00E876C8">
        <w:trPr>
          <w:trHeight w:hRule="exact" w:val="558"/>
        </w:trPr>
        <w:tc>
          <w:tcPr>
            <w:tcW w:w="296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IL-18</w:t>
            </w:r>
          </w:p>
        </w:tc>
        <w:tc>
          <w:tcPr>
            <w:tcW w:w="580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GACTCTTGCGTCAACTTCAAGG</w:t>
            </w:r>
          </w:p>
        </w:tc>
        <w:tc>
          <w:tcPr>
            <w:tcW w:w="5339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CAGGCTGTCTTTTGTCAACGA</w:t>
            </w:r>
          </w:p>
        </w:tc>
      </w:tr>
      <w:tr w:rsidR="00217883" w:rsidTr="00E876C8">
        <w:trPr>
          <w:trHeight w:hRule="exact" w:val="580"/>
        </w:trPr>
        <w:tc>
          <w:tcPr>
            <w:tcW w:w="296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Il-1β</w:t>
            </w:r>
          </w:p>
        </w:tc>
        <w:tc>
          <w:tcPr>
            <w:tcW w:w="580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CCCTGCAGCTGGAGAGTGTGG</w:t>
            </w:r>
          </w:p>
        </w:tc>
        <w:tc>
          <w:tcPr>
            <w:tcW w:w="5339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TGTGCTCTGCTTGAGAGGTGCT</w:t>
            </w:r>
          </w:p>
        </w:tc>
      </w:tr>
      <w:tr w:rsidR="00217883" w:rsidTr="00E876C8">
        <w:trPr>
          <w:trHeight w:hRule="exact" w:val="573"/>
        </w:trPr>
        <w:tc>
          <w:tcPr>
            <w:tcW w:w="296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CPAL</w:t>
            </w:r>
          </w:p>
        </w:tc>
        <w:tc>
          <w:tcPr>
            <w:tcW w:w="580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GCCACTAATCGTTTGCCTCG</w:t>
            </w:r>
          </w:p>
        </w:tc>
        <w:tc>
          <w:tcPr>
            <w:tcW w:w="5339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GCCAGACTCCAAGCAAGC</w:t>
            </w:r>
          </w:p>
        </w:tc>
      </w:tr>
      <w:tr w:rsidR="00217883" w:rsidTr="00E876C8">
        <w:trPr>
          <w:trHeight w:hRule="exact" w:val="553"/>
        </w:trPr>
        <w:tc>
          <w:tcPr>
            <w:tcW w:w="296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HK1</w:t>
            </w:r>
          </w:p>
        </w:tc>
        <w:tc>
          <w:tcPr>
            <w:tcW w:w="580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AACGGCCTCCGTCAAGATG</w:t>
            </w:r>
          </w:p>
        </w:tc>
        <w:tc>
          <w:tcPr>
            <w:tcW w:w="5339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GCCGAGATCCAGTGCAATG</w:t>
            </w:r>
          </w:p>
        </w:tc>
      </w:tr>
      <w:tr w:rsidR="00217883" w:rsidTr="00E876C8">
        <w:trPr>
          <w:trHeight w:hRule="exact" w:val="547"/>
        </w:trPr>
        <w:tc>
          <w:tcPr>
            <w:tcW w:w="296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CD36</w:t>
            </w:r>
          </w:p>
        </w:tc>
        <w:tc>
          <w:tcPr>
            <w:tcW w:w="5802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ATGGGCTGTGATCGGAACTG</w:t>
            </w:r>
          </w:p>
        </w:tc>
        <w:tc>
          <w:tcPr>
            <w:tcW w:w="5339" w:type="dxa"/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TTTGCCACGTCATCTGGGTTT</w:t>
            </w:r>
          </w:p>
        </w:tc>
      </w:tr>
      <w:tr w:rsidR="00217883" w:rsidTr="00E876C8">
        <w:trPr>
          <w:trHeight w:hRule="exact" w:val="569"/>
        </w:trPr>
        <w:tc>
          <w:tcPr>
            <w:tcW w:w="2962" w:type="dxa"/>
            <w:tcBorders>
              <w:bottom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0"/>
                <w:szCs w:val="20"/>
              </w:rPr>
            </w:pPr>
            <w:r>
              <w:t>GAPDH</w:t>
            </w:r>
          </w:p>
        </w:tc>
        <w:tc>
          <w:tcPr>
            <w:tcW w:w="5802" w:type="dxa"/>
            <w:tcBorders>
              <w:bottom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GCTTCGGCAGCACATATACTAAAAT</w:t>
            </w:r>
          </w:p>
        </w:tc>
        <w:tc>
          <w:tcPr>
            <w:tcW w:w="5339" w:type="dxa"/>
            <w:tcBorders>
              <w:bottom w:val="single" w:sz="4" w:space="0" w:color="auto"/>
            </w:tcBorders>
            <w:vAlign w:val="center"/>
          </w:tcPr>
          <w:p w:rsidR="00217883" w:rsidRDefault="00217883" w:rsidP="00E876C8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t>GCAACGGAGACGGCAAACC</w:t>
            </w:r>
          </w:p>
        </w:tc>
      </w:tr>
    </w:tbl>
    <w:p w:rsidR="00217883" w:rsidRDefault="00217883" w:rsidP="00217883">
      <w:pPr>
        <w:autoSpaceDE w:val="0"/>
        <w:autoSpaceDN w:val="0"/>
        <w:adjustRightInd w:val="0"/>
        <w:contextualSpacing/>
      </w:pPr>
    </w:p>
    <w:p w:rsidR="00FB281E" w:rsidRDefault="00FB281E"/>
    <w:sectPr w:rsidR="00FB281E">
      <w:headerReference w:type="even" r:id="rId14"/>
      <w:headerReference w:type="default" r:id="rId15"/>
      <w:footerReference w:type="default" r:id="rId16"/>
      <w:pgSz w:w="16840" w:h="11900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07D" w:rsidRDefault="00E3707D" w:rsidP="00217883">
      <w:r>
        <w:separator/>
      </w:r>
    </w:p>
  </w:endnote>
  <w:endnote w:type="continuationSeparator" w:id="0">
    <w:p w:rsidR="00E3707D" w:rsidRDefault="00E3707D" w:rsidP="0021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8523203"/>
    </w:sdtPr>
    <w:sdtContent>
      <w:p w:rsidR="00217883" w:rsidRDefault="0021788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217883" w:rsidRDefault="0021788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883" w:rsidRPr="00EA7624" w:rsidRDefault="00217883" w:rsidP="00210C19">
    <w:pPr>
      <w:pStyle w:val="a4"/>
    </w:pPr>
    <w:r w:rsidRPr="00EA7624">
      <w:t>2095-8099/</w:t>
    </w:r>
    <w:r w:rsidRPr="00EA7624">
      <w:rPr>
        <w:snapToGrid w:val="0"/>
      </w:rPr>
      <w:t>© 20</w:t>
    </w:r>
    <w:r>
      <w:rPr>
        <w:snapToGrid w:val="0"/>
      </w:rPr>
      <w:t>22</w:t>
    </w:r>
    <w:r w:rsidRPr="00EA7624">
      <w:rPr>
        <w:snapToGrid w:val="0"/>
      </w:rPr>
      <w:t xml:space="preserve"> THE AUTHOR</w:t>
    </w:r>
    <w:r w:rsidRPr="00333172">
      <w:rPr>
        <w:snapToGrid w:val="0"/>
        <w:highlight w:val="yellow"/>
      </w:rPr>
      <w:t>S</w:t>
    </w:r>
    <w:r w:rsidRPr="00EA7624">
      <w:rPr>
        <w:snapToGrid w:val="0"/>
      </w:rPr>
      <w:t>. Published by Elsevier LTD on behalf of Chinese Academy of Engineering and Higher Education Press Limited Company. This is an open access article under the CC BY-NC-ND license (</w:t>
    </w:r>
    <w:hyperlink r:id="rId1" w:history="1">
      <w:r w:rsidRPr="00EA7624">
        <w:rPr>
          <w:rStyle w:val="a6"/>
          <w:snapToGrid w:val="0"/>
        </w:rPr>
        <w:t>http://creativecommons.org/licenses/by-nc-nd/4.0/</w:t>
      </w:r>
    </w:hyperlink>
    <w:r w:rsidRPr="00EA7624">
      <w:rPr>
        <w:snapToGrid w:val="0"/>
      </w:rPr>
      <w:t>).</w:t>
    </w:r>
  </w:p>
  <w:p w:rsidR="00217883" w:rsidRDefault="0021788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5150273"/>
    </w:sdtPr>
    <w:sdtEndPr/>
    <w:sdtContent>
      <w:p w:rsidR="00DE07B0" w:rsidRDefault="00E3707D">
        <w:pPr>
          <w:pStyle w:val="a4"/>
          <w:spacing w:before="120"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883" w:rsidRPr="00217883">
          <w:rPr>
            <w:noProof/>
            <w:lang w:val="zh-CN"/>
          </w:rPr>
          <w:t>5</w:t>
        </w:r>
        <w:r>
          <w:fldChar w:fldCharType="end"/>
        </w:r>
      </w:p>
    </w:sdtContent>
  </w:sdt>
  <w:p w:rsidR="00DE07B0" w:rsidRDefault="00E3707D">
    <w:pPr>
      <w:pStyle w:val="a4"/>
      <w:spacing w:before="120"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07D" w:rsidRDefault="00E3707D" w:rsidP="00217883">
      <w:r>
        <w:separator/>
      </w:r>
    </w:p>
  </w:footnote>
  <w:footnote w:type="continuationSeparator" w:id="0">
    <w:p w:rsidR="00E3707D" w:rsidRDefault="00E3707D" w:rsidP="00217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883" w:rsidRDefault="00217883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883" w:rsidRPr="00210C19" w:rsidRDefault="00217883" w:rsidP="00210C19">
    <w:pPr>
      <w:pStyle w:val="a3"/>
    </w:pPr>
    <w:bookmarkStart w:id="1" w:name="OLE_LINK272"/>
    <w:bookmarkStart w:id="2" w:name="OLE_LINK273"/>
    <w:bookmarkStart w:id="3" w:name="_Hlk40967429"/>
    <w:r w:rsidRPr="00210C19">
      <w:rPr>
        <w:i/>
      </w:rPr>
      <w:t>J</w:t>
    </w:r>
    <w:r>
      <w:rPr>
        <w:rFonts w:hint="eastAsia"/>
        <w:i/>
      </w:rPr>
      <w:t>.</w:t>
    </w:r>
    <w:r>
      <w:rPr>
        <w:i/>
      </w:rPr>
      <w:t xml:space="preserve"> </w:t>
    </w:r>
    <w:r w:rsidRPr="00210C19">
      <w:rPr>
        <w:i/>
      </w:rPr>
      <w:t>Li, H</w:t>
    </w:r>
    <w:r>
      <w:rPr>
        <w:i/>
      </w:rPr>
      <w:t>. Xu</w:t>
    </w:r>
    <w:r w:rsidRPr="00210C19">
      <w:rPr>
        <w:i/>
      </w:rPr>
      <w:t>, N</w:t>
    </w:r>
    <w:r>
      <w:rPr>
        <w:i/>
      </w:rPr>
      <w:t>.</w:t>
    </w:r>
    <w:r w:rsidRPr="00210C19">
      <w:rPr>
        <w:i/>
      </w:rPr>
      <w:t xml:space="preserve"> Xu</w:t>
    </w:r>
    <w:r w:rsidRPr="00EA7624">
      <w:rPr>
        <w:i/>
      </w:rPr>
      <w:t xml:space="preserve"> et al. </w:t>
    </w:r>
    <w:r w:rsidRPr="00EA7624">
      <w:t xml:space="preserve">/ </w:t>
    </w:r>
    <w:r w:rsidRPr="00EA7624">
      <w:rPr>
        <w:i/>
      </w:rPr>
      <w:t xml:space="preserve">Engineering </w:t>
    </w:r>
    <w:r>
      <w:rPr>
        <w:i/>
      </w:rPr>
      <w:t>xxx (2022</w:t>
    </w:r>
    <w:r w:rsidRPr="00EA7624">
      <w:rPr>
        <w:i/>
      </w:rPr>
      <w:t>) xxx-xxx</w:t>
    </w:r>
    <w:bookmarkEnd w:id="1"/>
    <w:bookmarkEnd w:id="2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883" w:rsidRDefault="00217883" w:rsidP="00210C19">
    <w:pPr>
      <w:pStyle w:val="a3"/>
      <w:tabs>
        <w:tab w:val="left" w:pos="3641"/>
        <w:tab w:val="center" w:pos="5043"/>
      </w:tabs>
    </w:pPr>
    <w:r w:rsidRPr="00EA7624">
      <w:t xml:space="preserve">Engineering </w:t>
    </w:r>
    <w:r>
      <w:t>xxx</w:t>
    </w:r>
    <w:r w:rsidRPr="00EA7624">
      <w:t xml:space="preserve"> (20</w:t>
    </w:r>
    <w:r>
      <w:t>22</w:t>
    </w:r>
    <w:r w:rsidRPr="00EA7624">
      <w:t>) xxx-xxx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7B0" w:rsidRDefault="00E3707D">
    <w:pPr>
      <w:pStyle w:val="a3"/>
      <w:pBdr>
        <w:bottom w:val="none" w:sz="0" w:space="0" w:color="auto"/>
      </w:pBdr>
      <w:spacing w:before="120" w:after="12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7B0" w:rsidRDefault="00E3707D">
    <w:pPr>
      <w:pStyle w:val="a3"/>
      <w:pBdr>
        <w:bottom w:val="none" w:sz="0" w:space="0" w:color="auto"/>
      </w:pBdr>
      <w:spacing w:before="120" w:after="12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Fmt w:val="chicago"/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35A"/>
    <w:rsid w:val="00217883"/>
    <w:rsid w:val="00E264AB"/>
    <w:rsid w:val="00E3707D"/>
    <w:rsid w:val="00EB035A"/>
    <w:rsid w:val="00FB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4126A1-1E9D-466E-85A7-733AAD12A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883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264AB"/>
    <w:pPr>
      <w:keepNext/>
      <w:keepLines/>
      <w:widowControl w:val="0"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E264AB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Char">
    <w:name w:val="标题 1 Char"/>
    <w:basedOn w:val="a0"/>
    <w:link w:val="1"/>
    <w:uiPriority w:val="9"/>
    <w:rsid w:val="00E264AB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E264AB"/>
    <w:pPr>
      <w:widowControl w:val="0"/>
      <w:snapToGrid w:val="0"/>
      <w:spacing w:beforeLines="50" w:before="50" w:afterLines="50" w:after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1-11-ENG0">
    <w:name w:val="1-1.1-ENG 字符"/>
    <w:link w:val="1-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E264AB"/>
    <w:pPr>
      <w:widowControl w:val="0"/>
      <w:snapToGrid w:val="0"/>
      <w:spacing w:beforeLines="50" w:before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2-111-ENG0">
    <w:name w:val="2-1.1.1-ENG 字符"/>
    <w:link w:val="2-1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E264AB"/>
    <w:pPr>
      <w:widowControl w:val="0"/>
      <w:snapToGrid w:val="0"/>
      <w:ind w:firstLineChars="100" w:firstLine="100"/>
      <w:contextualSpacing/>
      <w:jc w:val="both"/>
    </w:pPr>
    <w:rPr>
      <w:rFonts w:eastAsia="等线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E264AB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E264AB"/>
    <w:pPr>
      <w:widowControl w:val="0"/>
      <w:snapToGrid w:val="0"/>
      <w:contextualSpacing/>
      <w:jc w:val="both"/>
    </w:pPr>
    <w:rPr>
      <w:rFonts w:eastAsia="等线"/>
      <w:kern w:val="2"/>
      <w:sz w:val="18"/>
      <w:szCs w:val="22"/>
      <w:lang w:eastAsia="zh-CN"/>
    </w:rPr>
  </w:style>
  <w:style w:type="character" w:customStyle="1" w:styleId="4-Fig-ENG0">
    <w:name w:val="4-Fig-ENG 字符"/>
    <w:link w:val="4-Fig-ENG"/>
    <w:rsid w:val="00E264AB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E264AB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264AB"/>
    <w:pPr>
      <w:widowControl w:val="0"/>
      <w:snapToGrid w:val="0"/>
      <w:contextualSpacing/>
      <w:jc w:val="both"/>
    </w:pPr>
    <w:rPr>
      <w:rFonts w:eastAsia="等线"/>
      <w:kern w:val="2"/>
      <w:sz w:val="17"/>
      <w:szCs w:val="22"/>
      <w:lang w:eastAsia="zh-CN"/>
    </w:rPr>
  </w:style>
  <w:style w:type="character" w:customStyle="1" w:styleId="5-Ref-ENG0">
    <w:name w:val="5-Ref-ENG 字符"/>
    <w:link w:val="5-Ref-ENG"/>
    <w:rsid w:val="00E264AB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E264AB"/>
    <w:pPr>
      <w:autoSpaceDE w:val="0"/>
      <w:autoSpaceDN w:val="0"/>
      <w:adjustRightInd w:val="0"/>
      <w:snapToGrid w:val="0"/>
    </w:pPr>
  </w:style>
  <w:style w:type="paragraph" w:customStyle="1" w:styleId="6-Corre-ENG">
    <w:name w:val="6-Corre-ENG"/>
    <w:basedOn w:val="3-mainbody-ENG"/>
    <w:qFormat/>
    <w:rsid w:val="00E264AB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E264AB"/>
    <w:pPr>
      <w:autoSpaceDE w:val="0"/>
      <w:autoSpaceDN w:val="0"/>
      <w:adjustRightInd w:val="0"/>
      <w:snapToGrid w:val="0"/>
    </w:pPr>
    <w:rPr>
      <w:i/>
      <w:sz w:val="18"/>
    </w:rPr>
  </w:style>
  <w:style w:type="paragraph" w:customStyle="1" w:styleId="8-Title-ENG">
    <w:name w:val="8-Title-ENG"/>
    <w:basedOn w:val="0-1-ENG"/>
    <w:qFormat/>
    <w:rsid w:val="00E264AB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E264AB"/>
    <w:pPr>
      <w:widowControl w:val="0"/>
      <w:autoSpaceDE w:val="0"/>
      <w:autoSpaceDN w:val="0"/>
      <w:adjustRightInd w:val="0"/>
      <w:snapToGrid w:val="0"/>
      <w:jc w:val="both"/>
    </w:pPr>
    <w:rPr>
      <w:rFonts w:eastAsia="等线"/>
      <w:sz w:val="18"/>
      <w:szCs w:val="18"/>
    </w:rPr>
  </w:style>
  <w:style w:type="paragraph" w:styleId="a3">
    <w:name w:val="header"/>
    <w:basedOn w:val="a"/>
    <w:link w:val="Char"/>
    <w:uiPriority w:val="99"/>
    <w:unhideWhenUsed/>
    <w:qFormat/>
    <w:rsid w:val="00217883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qFormat/>
    <w:rsid w:val="002178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217883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qFormat/>
    <w:rsid w:val="00217883"/>
    <w:rPr>
      <w:sz w:val="18"/>
      <w:szCs w:val="18"/>
    </w:rPr>
  </w:style>
  <w:style w:type="table" w:styleId="a5">
    <w:name w:val="Table Grid"/>
    <w:basedOn w:val="a1"/>
    <w:uiPriority w:val="59"/>
    <w:unhideWhenUsed/>
    <w:qFormat/>
    <w:rsid w:val="00217883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qFormat/>
    <w:rsid w:val="00217883"/>
    <w:rPr>
      <w:color w:val="0000FF"/>
      <w:u w:val="single"/>
    </w:rPr>
  </w:style>
  <w:style w:type="paragraph" w:customStyle="1" w:styleId="Default">
    <w:name w:val="Default"/>
    <w:qFormat/>
    <w:rsid w:val="002178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paragraph" w:styleId="a7">
    <w:name w:val="annotation text"/>
    <w:basedOn w:val="a"/>
    <w:link w:val="Char1"/>
    <w:uiPriority w:val="99"/>
    <w:qFormat/>
    <w:rsid w:val="00217883"/>
    <w:pPr>
      <w:widowControl w:val="0"/>
    </w:pPr>
    <w:rPr>
      <w:rFonts w:ascii="Tahoma" w:eastAsia="DengXian" w:hAnsi="Tahoma" w:cs="Tahoma"/>
      <w:color w:val="000000"/>
      <w:kern w:val="2"/>
      <w:sz w:val="16"/>
      <w:szCs w:val="20"/>
      <w:u w:color="FF0000"/>
    </w:rPr>
  </w:style>
  <w:style w:type="character" w:customStyle="1" w:styleId="Char1">
    <w:name w:val="批注文字 Char"/>
    <w:basedOn w:val="a0"/>
    <w:link w:val="a7"/>
    <w:uiPriority w:val="99"/>
    <w:qFormat/>
    <w:rsid w:val="00217883"/>
    <w:rPr>
      <w:rFonts w:ascii="Tahoma" w:eastAsia="DengXian" w:hAnsi="Tahoma" w:cs="Tahoma"/>
      <w:color w:val="000000"/>
      <w:sz w:val="16"/>
      <w:szCs w:val="20"/>
      <w:u w:color="FF0000"/>
      <w:lang w:eastAsia="en-US"/>
    </w:rPr>
  </w:style>
  <w:style w:type="character" w:styleId="a8">
    <w:name w:val="annotation reference"/>
    <w:basedOn w:val="a0"/>
    <w:uiPriority w:val="99"/>
    <w:semiHidden/>
    <w:unhideWhenUsed/>
    <w:qFormat/>
    <w:rsid w:val="00217883"/>
    <w:rPr>
      <w:rFonts w:ascii="Tahoma" w:hAnsi="Tahoma" w:cs="Tahoma"/>
      <w:sz w:val="16"/>
      <w:szCs w:val="21"/>
      <w:u w:val="none"/>
    </w:rPr>
  </w:style>
  <w:style w:type="paragraph" w:styleId="a9">
    <w:name w:val="Balloon Text"/>
    <w:basedOn w:val="a"/>
    <w:link w:val="Char2"/>
    <w:uiPriority w:val="99"/>
    <w:semiHidden/>
    <w:unhideWhenUsed/>
    <w:rsid w:val="00217883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217883"/>
    <w:rPr>
      <w:rFonts w:ascii="Times New Roman" w:eastAsia="宋体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-nd/4.0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543</Words>
  <Characters>3098</Characters>
  <Application>Microsoft Office Word</Application>
  <DocSecurity>0</DocSecurity>
  <Lines>25</Lines>
  <Paragraphs>7</Paragraphs>
  <ScaleCrop>false</ScaleCrop>
  <Company>HP</Company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</dc:creator>
  <cp:keywords/>
  <dc:description/>
  <cp:lastModifiedBy>ZSS</cp:lastModifiedBy>
  <cp:revision>2</cp:revision>
  <dcterms:created xsi:type="dcterms:W3CDTF">2022-09-08T08:16:00Z</dcterms:created>
  <dcterms:modified xsi:type="dcterms:W3CDTF">2022-09-08T08:18:00Z</dcterms:modified>
</cp:coreProperties>
</file>