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6772F" w14:textId="7E8706E2" w:rsidR="008B30D3" w:rsidRPr="008B30D3" w:rsidRDefault="00000000" w:rsidP="008B30D3">
      <w:pPr>
        <w:autoSpaceDE/>
        <w:autoSpaceDN/>
        <w:snapToGrid w:val="0"/>
        <w:spacing w:line="240" w:lineRule="auto"/>
        <w:rPr>
          <w:sz w:val="18"/>
          <w:szCs w:val="18"/>
        </w:rPr>
      </w:pPr>
      <w:bookmarkStart w:id="0" w:name="OLE_LINK51"/>
      <w:bookmarkStart w:id="1" w:name="_Hlk126309931"/>
      <w:r w:rsidRPr="008B30D3">
        <w:rPr>
          <w:sz w:val="18"/>
          <w:szCs w:val="18"/>
        </w:rPr>
        <w:t xml:space="preserve">Supplementary </w:t>
      </w:r>
      <w:r w:rsidR="008B30D3" w:rsidRPr="008B30D3">
        <w:rPr>
          <w:rFonts w:eastAsiaTheme="minorEastAsia"/>
          <w:sz w:val="18"/>
          <w:szCs w:val="18"/>
          <w:lang w:eastAsia="zh-CN"/>
        </w:rPr>
        <w:t>file</w:t>
      </w:r>
      <w:r w:rsidR="008B30D3" w:rsidRPr="008B30D3">
        <w:rPr>
          <w:sz w:val="18"/>
          <w:szCs w:val="18"/>
        </w:rPr>
        <w:t xml:space="preserve"> for</w:t>
      </w:r>
    </w:p>
    <w:bookmarkEnd w:id="0"/>
    <w:p w14:paraId="3D7D0B21" w14:textId="77777777" w:rsidR="008B30D3" w:rsidRPr="008B30D3" w:rsidRDefault="008B30D3" w:rsidP="008B30D3">
      <w:pPr>
        <w:widowControl/>
        <w:autoSpaceDE/>
        <w:autoSpaceDN/>
        <w:snapToGrid w:val="0"/>
        <w:spacing w:before="0" w:line="240" w:lineRule="auto"/>
        <w:ind w:right="164"/>
        <w:contextualSpacing/>
        <w:rPr>
          <w:rFonts w:eastAsia="宋体"/>
          <w:sz w:val="30"/>
          <w:szCs w:val="30"/>
          <w:lang w:bidi="ar-SA"/>
        </w:rPr>
      </w:pPr>
      <w:r w:rsidRPr="008B30D3">
        <w:rPr>
          <w:rFonts w:eastAsia="宋体"/>
          <w:b/>
          <w:sz w:val="30"/>
          <w:szCs w:val="30"/>
          <w:lang w:bidi="ar-SA"/>
        </w:rPr>
        <w:t xml:space="preserve">Temporal and Spatial Distribution of SARS-CoV-2 Aerosols in a Large-Scale </w:t>
      </w:r>
      <w:proofErr w:type="spellStart"/>
      <w:r w:rsidRPr="008B30D3">
        <w:rPr>
          <w:rFonts w:eastAsia="宋体"/>
          <w:b/>
          <w:sz w:val="30"/>
          <w:szCs w:val="30"/>
          <w:lang w:bidi="ar-SA"/>
        </w:rPr>
        <w:t>Fangcang</w:t>
      </w:r>
      <w:proofErr w:type="spellEnd"/>
      <w:r w:rsidRPr="008B30D3">
        <w:rPr>
          <w:rFonts w:eastAsia="宋体"/>
          <w:b/>
          <w:sz w:val="30"/>
          <w:szCs w:val="30"/>
          <w:lang w:bidi="ar-SA"/>
        </w:rPr>
        <w:t xml:space="preserve"> Shelter Hospital in Shanghai, China</w:t>
      </w:r>
    </w:p>
    <w:p w14:paraId="0120C3B7" w14:textId="77777777" w:rsidR="008B30D3" w:rsidRPr="008B30D3" w:rsidRDefault="008B30D3" w:rsidP="008B30D3">
      <w:pPr>
        <w:widowControl/>
        <w:snapToGrid w:val="0"/>
        <w:spacing w:before="0" w:line="240" w:lineRule="auto"/>
        <w:jc w:val="both"/>
        <w:rPr>
          <w:rFonts w:eastAsia="等线"/>
          <w:szCs w:val="24"/>
          <w:lang w:bidi="ar-SA"/>
        </w:rPr>
      </w:pPr>
      <w:proofErr w:type="spellStart"/>
      <w:r w:rsidRPr="008B30D3">
        <w:rPr>
          <w:rFonts w:eastAsia="等线"/>
          <w:szCs w:val="24"/>
          <w:lang w:bidi="ar-SA"/>
        </w:rPr>
        <w:t>Jia</w:t>
      </w:r>
      <w:r w:rsidRPr="008B30D3">
        <w:rPr>
          <w:rFonts w:eastAsia="等线" w:hint="eastAsia"/>
          <w:szCs w:val="24"/>
          <w:lang w:bidi="ar-SA"/>
        </w:rPr>
        <w:t>f</w:t>
      </w:r>
      <w:r w:rsidRPr="008B30D3">
        <w:rPr>
          <w:rFonts w:eastAsia="等线"/>
          <w:szCs w:val="24"/>
          <w:lang w:bidi="ar-SA"/>
        </w:rPr>
        <w:t>u</w:t>
      </w:r>
      <w:proofErr w:type="spellEnd"/>
      <w:r w:rsidRPr="008B30D3">
        <w:rPr>
          <w:rFonts w:eastAsia="等线"/>
          <w:szCs w:val="24"/>
          <w:lang w:bidi="ar-SA"/>
        </w:rPr>
        <w:t xml:space="preserve"> Jiang</w:t>
      </w:r>
      <w:r w:rsidRPr="008B30D3">
        <w:rPr>
          <w:rFonts w:eastAsia="等线"/>
          <w:szCs w:val="24"/>
          <w:vertAlign w:val="superscript"/>
          <w:lang w:bidi="ar-SA"/>
        </w:rPr>
        <w:t xml:space="preserve"> a,#</w:t>
      </w:r>
      <w:r w:rsidRPr="008B30D3">
        <w:rPr>
          <w:rFonts w:eastAsia="等线"/>
          <w:szCs w:val="24"/>
          <w:lang w:bidi="ar-SA"/>
        </w:rPr>
        <w:t>, Zhe Yin</w:t>
      </w:r>
      <w:r w:rsidRPr="008B30D3">
        <w:rPr>
          <w:rFonts w:eastAsia="等线"/>
          <w:szCs w:val="24"/>
          <w:vertAlign w:val="superscript"/>
          <w:lang w:bidi="ar-SA"/>
        </w:rPr>
        <w:t xml:space="preserve"> a,#</w:t>
      </w:r>
      <w:r w:rsidRPr="008B30D3">
        <w:rPr>
          <w:rFonts w:eastAsia="等线"/>
          <w:szCs w:val="24"/>
          <w:lang w:bidi="ar-SA"/>
        </w:rPr>
        <w:t>, Jing Li</w:t>
      </w:r>
      <w:r w:rsidRPr="008B30D3">
        <w:rPr>
          <w:rFonts w:eastAsia="等线"/>
          <w:szCs w:val="24"/>
          <w:vertAlign w:val="superscript"/>
          <w:lang w:bidi="ar-SA"/>
        </w:rPr>
        <w:t xml:space="preserve"> a,#</w:t>
      </w:r>
      <w:r w:rsidRPr="008B30D3">
        <w:rPr>
          <w:rFonts w:eastAsia="等线"/>
          <w:szCs w:val="24"/>
          <w:lang w:bidi="ar-SA"/>
        </w:rPr>
        <w:t>, Lei</w:t>
      </w:r>
      <w:r w:rsidRPr="008B30D3">
        <w:rPr>
          <w:rFonts w:eastAsia="等线" w:hint="eastAsia"/>
          <w:szCs w:val="24"/>
          <w:lang w:bidi="ar-SA"/>
        </w:rPr>
        <w:t>l</w:t>
      </w:r>
      <w:r w:rsidRPr="008B30D3">
        <w:rPr>
          <w:rFonts w:eastAsia="等线"/>
          <w:szCs w:val="24"/>
          <w:lang w:bidi="ar-SA"/>
        </w:rPr>
        <w:t>i Jia</w:t>
      </w:r>
      <w:r w:rsidRPr="008B30D3">
        <w:rPr>
          <w:rFonts w:eastAsia="等线"/>
          <w:szCs w:val="24"/>
          <w:vertAlign w:val="superscript"/>
          <w:lang w:bidi="ar-SA"/>
        </w:rPr>
        <w:t xml:space="preserve"> b,#</w:t>
      </w:r>
      <w:r w:rsidRPr="008B30D3">
        <w:rPr>
          <w:rFonts w:eastAsia="等线"/>
          <w:szCs w:val="24"/>
          <w:lang w:bidi="ar-SA"/>
        </w:rPr>
        <w:t xml:space="preserve">, </w:t>
      </w:r>
      <w:proofErr w:type="spellStart"/>
      <w:r w:rsidRPr="008B30D3">
        <w:rPr>
          <w:rFonts w:eastAsia="等线"/>
          <w:szCs w:val="24"/>
          <w:lang w:bidi="ar-SA"/>
        </w:rPr>
        <w:t>Ru</w:t>
      </w:r>
      <w:r w:rsidRPr="008B30D3">
        <w:rPr>
          <w:rFonts w:eastAsia="等线" w:hint="eastAsia"/>
          <w:szCs w:val="24"/>
          <w:lang w:bidi="ar-SA"/>
        </w:rPr>
        <w:t>l</w:t>
      </w:r>
      <w:r w:rsidRPr="008B30D3">
        <w:rPr>
          <w:rFonts w:eastAsia="等线"/>
          <w:szCs w:val="24"/>
          <w:lang w:bidi="ar-SA"/>
        </w:rPr>
        <w:t>in</w:t>
      </w:r>
      <w:proofErr w:type="spellEnd"/>
      <w:r w:rsidRPr="008B30D3">
        <w:rPr>
          <w:rFonts w:eastAsia="等线"/>
          <w:szCs w:val="24"/>
          <w:lang w:bidi="ar-SA"/>
        </w:rPr>
        <w:t xml:space="preserve"> </w:t>
      </w:r>
      <w:proofErr w:type="spellStart"/>
      <w:r w:rsidRPr="008B30D3">
        <w:rPr>
          <w:rFonts w:eastAsia="等线"/>
          <w:szCs w:val="24"/>
          <w:lang w:bidi="ar-SA"/>
        </w:rPr>
        <w:t>He</w:t>
      </w:r>
      <w:r w:rsidRPr="008B30D3">
        <w:rPr>
          <w:rFonts w:eastAsia="等线"/>
          <w:szCs w:val="24"/>
          <w:vertAlign w:val="superscript"/>
          <w:lang w:bidi="ar-SA"/>
        </w:rPr>
        <w:t xml:space="preserve"> d</w:t>
      </w:r>
      <w:proofErr w:type="spellEnd"/>
      <w:r w:rsidRPr="008B30D3">
        <w:rPr>
          <w:rFonts w:eastAsia="等线"/>
          <w:szCs w:val="24"/>
          <w:vertAlign w:val="superscript"/>
          <w:lang w:bidi="ar-SA"/>
        </w:rPr>
        <w:t>,#</w:t>
      </w:r>
      <w:r w:rsidRPr="008B30D3">
        <w:rPr>
          <w:rFonts w:eastAsia="等线"/>
          <w:szCs w:val="24"/>
          <w:lang w:bidi="ar-SA"/>
        </w:rPr>
        <w:t>, Wen</w:t>
      </w:r>
      <w:r w:rsidRPr="008B30D3">
        <w:rPr>
          <w:rFonts w:eastAsia="等线" w:hint="eastAsia"/>
          <w:szCs w:val="24"/>
          <w:lang w:bidi="ar-SA"/>
        </w:rPr>
        <w:t>h</w:t>
      </w:r>
      <w:r w:rsidRPr="008B30D3">
        <w:rPr>
          <w:rFonts w:eastAsia="等线"/>
          <w:szCs w:val="24"/>
          <w:lang w:bidi="ar-SA"/>
        </w:rPr>
        <w:t>ui Yang</w:t>
      </w:r>
      <w:r w:rsidRPr="008B30D3">
        <w:rPr>
          <w:rFonts w:eastAsia="等线"/>
          <w:szCs w:val="24"/>
          <w:vertAlign w:val="superscript"/>
          <w:lang w:bidi="ar-SA"/>
        </w:rPr>
        <w:t xml:space="preserve"> a,#</w:t>
      </w:r>
      <w:r w:rsidRPr="008B30D3">
        <w:rPr>
          <w:rFonts w:eastAsia="等线"/>
          <w:szCs w:val="24"/>
          <w:lang w:bidi="ar-SA"/>
        </w:rPr>
        <w:t>, Ji</w:t>
      </w:r>
      <w:r w:rsidRPr="008B30D3">
        <w:rPr>
          <w:rFonts w:eastAsia="等线" w:hint="eastAsia"/>
          <w:szCs w:val="24"/>
          <w:lang w:bidi="ar-SA"/>
        </w:rPr>
        <w:t>h</w:t>
      </w:r>
      <w:r w:rsidRPr="008B30D3">
        <w:rPr>
          <w:rFonts w:eastAsia="等线"/>
          <w:szCs w:val="24"/>
          <w:lang w:bidi="ar-SA"/>
        </w:rPr>
        <w:t>u Yang</w:t>
      </w:r>
      <w:r w:rsidRPr="008B30D3">
        <w:rPr>
          <w:rFonts w:eastAsia="等线"/>
          <w:szCs w:val="24"/>
          <w:vertAlign w:val="superscript"/>
          <w:lang w:bidi="ar-SA"/>
        </w:rPr>
        <w:t xml:space="preserve"> a</w:t>
      </w:r>
      <w:r w:rsidRPr="008B30D3">
        <w:rPr>
          <w:rFonts w:eastAsia="等线"/>
          <w:szCs w:val="24"/>
          <w:lang w:bidi="ar-SA"/>
        </w:rPr>
        <w:t>, Hang Fan</w:t>
      </w:r>
      <w:r w:rsidRPr="008B30D3">
        <w:rPr>
          <w:rFonts w:eastAsia="等线"/>
          <w:szCs w:val="24"/>
          <w:vertAlign w:val="superscript"/>
          <w:lang w:bidi="ar-SA"/>
        </w:rPr>
        <w:t xml:space="preserve"> a</w:t>
      </w:r>
      <w:r w:rsidRPr="008B30D3">
        <w:rPr>
          <w:rFonts w:eastAsia="等线"/>
          <w:szCs w:val="24"/>
          <w:lang w:bidi="ar-SA"/>
        </w:rPr>
        <w:t>, Sen Zhang</w:t>
      </w:r>
      <w:r w:rsidRPr="008B30D3">
        <w:rPr>
          <w:rFonts w:eastAsia="等线"/>
          <w:szCs w:val="24"/>
          <w:vertAlign w:val="superscript"/>
          <w:lang w:bidi="ar-SA"/>
        </w:rPr>
        <w:t xml:space="preserve"> </w:t>
      </w:r>
      <w:proofErr w:type="spellStart"/>
      <w:r w:rsidRPr="008B30D3">
        <w:rPr>
          <w:rFonts w:eastAsia="等线"/>
          <w:szCs w:val="24"/>
          <w:vertAlign w:val="superscript"/>
          <w:lang w:bidi="ar-SA"/>
        </w:rPr>
        <w:t>a</w:t>
      </w:r>
      <w:r w:rsidRPr="008B30D3">
        <w:rPr>
          <w:rFonts w:eastAsia="等线"/>
          <w:szCs w:val="24"/>
          <w:lang w:bidi="ar-SA"/>
        </w:rPr>
        <w:t>,Yun</w:t>
      </w:r>
      <w:r w:rsidRPr="008B30D3">
        <w:rPr>
          <w:rFonts w:eastAsia="等线" w:hint="eastAsia"/>
          <w:szCs w:val="24"/>
          <w:lang w:bidi="ar-SA"/>
        </w:rPr>
        <w:t>f</w:t>
      </w:r>
      <w:r w:rsidRPr="008B30D3">
        <w:rPr>
          <w:rFonts w:eastAsia="等线"/>
          <w:szCs w:val="24"/>
          <w:lang w:bidi="ar-SA"/>
        </w:rPr>
        <w:t>ei</w:t>
      </w:r>
      <w:proofErr w:type="spellEnd"/>
      <w:r w:rsidRPr="008B30D3">
        <w:rPr>
          <w:rFonts w:eastAsia="等线"/>
          <w:szCs w:val="24"/>
          <w:lang w:bidi="ar-SA"/>
        </w:rPr>
        <w:t xml:space="preserve"> Wang</w:t>
      </w:r>
      <w:r w:rsidRPr="008B30D3">
        <w:rPr>
          <w:rFonts w:eastAsia="等线"/>
          <w:szCs w:val="24"/>
          <w:vertAlign w:val="superscript"/>
          <w:lang w:bidi="ar-SA"/>
        </w:rPr>
        <w:t xml:space="preserve"> a</w:t>
      </w:r>
      <w:r w:rsidRPr="008B30D3">
        <w:rPr>
          <w:rFonts w:eastAsia="等线"/>
          <w:szCs w:val="24"/>
          <w:lang w:bidi="ar-SA"/>
        </w:rPr>
        <w:t xml:space="preserve">, </w:t>
      </w:r>
      <w:proofErr w:type="spellStart"/>
      <w:r w:rsidRPr="008B30D3">
        <w:rPr>
          <w:rFonts w:eastAsia="等线"/>
          <w:szCs w:val="24"/>
          <w:lang w:bidi="ar-SA"/>
        </w:rPr>
        <w:t>Zeng</w:t>
      </w:r>
      <w:r w:rsidRPr="008B30D3">
        <w:rPr>
          <w:rFonts w:eastAsia="等线" w:hint="eastAsia"/>
          <w:szCs w:val="24"/>
          <w:lang w:bidi="ar-SA"/>
        </w:rPr>
        <w:t>m</w:t>
      </w:r>
      <w:r w:rsidRPr="008B30D3">
        <w:rPr>
          <w:rFonts w:eastAsia="等线"/>
          <w:szCs w:val="24"/>
          <w:lang w:bidi="ar-SA"/>
        </w:rPr>
        <w:t>ing</w:t>
      </w:r>
      <w:proofErr w:type="spellEnd"/>
      <w:r w:rsidRPr="008B30D3">
        <w:rPr>
          <w:rFonts w:eastAsia="等线"/>
          <w:szCs w:val="24"/>
          <w:lang w:bidi="ar-SA"/>
        </w:rPr>
        <w:t xml:space="preserve"> Zhao</w:t>
      </w:r>
      <w:r w:rsidRPr="008B30D3">
        <w:rPr>
          <w:rFonts w:eastAsia="等线"/>
          <w:szCs w:val="24"/>
          <w:vertAlign w:val="superscript"/>
          <w:lang w:bidi="ar-SA"/>
        </w:rPr>
        <w:t xml:space="preserve"> b</w:t>
      </w:r>
      <w:r w:rsidRPr="008B30D3">
        <w:rPr>
          <w:rFonts w:eastAsia="等线"/>
          <w:szCs w:val="24"/>
          <w:lang w:bidi="ar-SA"/>
        </w:rPr>
        <w:t>, Hao</w:t>
      </w:r>
      <w:r w:rsidRPr="008B30D3">
        <w:rPr>
          <w:rFonts w:eastAsia="等线" w:hint="eastAsia"/>
          <w:szCs w:val="24"/>
          <w:lang w:bidi="ar-SA"/>
        </w:rPr>
        <w:t>r</w:t>
      </w:r>
      <w:r w:rsidRPr="008B30D3">
        <w:rPr>
          <w:rFonts w:eastAsia="等线"/>
          <w:szCs w:val="24"/>
          <w:lang w:bidi="ar-SA"/>
        </w:rPr>
        <w:t>an Peng</w:t>
      </w:r>
      <w:r w:rsidRPr="008B30D3">
        <w:rPr>
          <w:rFonts w:eastAsia="等线"/>
          <w:szCs w:val="24"/>
          <w:vertAlign w:val="superscript"/>
          <w:lang w:bidi="ar-SA"/>
        </w:rPr>
        <w:t xml:space="preserve"> </w:t>
      </w:r>
      <w:proofErr w:type="spellStart"/>
      <w:r w:rsidRPr="008B30D3">
        <w:rPr>
          <w:rFonts w:eastAsia="等线"/>
          <w:szCs w:val="24"/>
          <w:vertAlign w:val="superscript"/>
          <w:lang w:bidi="ar-SA"/>
        </w:rPr>
        <w:t>i</w:t>
      </w:r>
      <w:proofErr w:type="spellEnd"/>
      <w:r w:rsidRPr="008B30D3">
        <w:rPr>
          <w:rFonts w:eastAsia="等线"/>
          <w:szCs w:val="24"/>
          <w:lang w:bidi="ar-SA"/>
        </w:rPr>
        <w:t xml:space="preserve">, </w:t>
      </w:r>
      <w:proofErr w:type="spellStart"/>
      <w:r w:rsidRPr="008B30D3">
        <w:rPr>
          <w:rFonts w:eastAsia="等线"/>
          <w:szCs w:val="24"/>
          <w:lang w:bidi="ar-SA"/>
        </w:rPr>
        <w:t>Li</w:t>
      </w:r>
      <w:r w:rsidRPr="008B30D3">
        <w:rPr>
          <w:rFonts w:eastAsia="等线" w:hint="eastAsia"/>
          <w:szCs w:val="24"/>
          <w:lang w:bidi="ar-SA"/>
        </w:rPr>
        <w:t>z</w:t>
      </w:r>
      <w:r w:rsidRPr="008B30D3">
        <w:rPr>
          <w:rFonts w:eastAsia="等线"/>
          <w:szCs w:val="24"/>
          <w:lang w:bidi="ar-SA"/>
        </w:rPr>
        <w:t>hong</w:t>
      </w:r>
      <w:proofErr w:type="spellEnd"/>
      <w:r w:rsidRPr="008B30D3">
        <w:rPr>
          <w:rFonts w:eastAsia="等线"/>
          <w:szCs w:val="24"/>
          <w:lang w:bidi="ar-SA"/>
        </w:rPr>
        <w:t xml:space="preserve"> Li</w:t>
      </w:r>
      <w:r w:rsidRPr="008B30D3">
        <w:rPr>
          <w:rFonts w:eastAsia="等线"/>
          <w:szCs w:val="24"/>
          <w:vertAlign w:val="superscript"/>
          <w:lang w:bidi="ar-SA"/>
        </w:rPr>
        <w:t xml:space="preserve"> b</w:t>
      </w:r>
      <w:r w:rsidRPr="008B30D3">
        <w:rPr>
          <w:rFonts w:eastAsia="等线"/>
          <w:szCs w:val="24"/>
          <w:lang w:bidi="ar-SA"/>
        </w:rPr>
        <w:t>, Yi Yang</w:t>
      </w:r>
      <w:r w:rsidRPr="008B30D3">
        <w:rPr>
          <w:rFonts w:eastAsia="等线"/>
          <w:szCs w:val="24"/>
          <w:vertAlign w:val="superscript"/>
          <w:lang w:bidi="ar-SA"/>
        </w:rPr>
        <w:t xml:space="preserve"> b</w:t>
      </w:r>
      <w:r w:rsidRPr="008B30D3">
        <w:rPr>
          <w:rFonts w:eastAsia="等线"/>
          <w:szCs w:val="24"/>
          <w:lang w:bidi="ar-SA"/>
        </w:rPr>
        <w:t>, Shi-Yong Fan</w:t>
      </w:r>
      <w:r w:rsidRPr="008B30D3">
        <w:rPr>
          <w:rFonts w:eastAsia="等线"/>
          <w:szCs w:val="24"/>
          <w:vertAlign w:val="superscript"/>
          <w:lang w:bidi="ar-SA"/>
        </w:rPr>
        <w:t xml:space="preserve"> j</w:t>
      </w:r>
      <w:r w:rsidRPr="008B30D3">
        <w:rPr>
          <w:rFonts w:eastAsia="等线"/>
          <w:szCs w:val="24"/>
          <w:lang w:bidi="ar-SA"/>
        </w:rPr>
        <w:t>, Rong Xiang</w:t>
      </w:r>
      <w:r w:rsidRPr="008B30D3">
        <w:rPr>
          <w:rFonts w:eastAsia="等线"/>
          <w:szCs w:val="24"/>
          <w:vertAlign w:val="superscript"/>
          <w:lang w:bidi="ar-SA"/>
        </w:rPr>
        <w:t xml:space="preserve"> a</w:t>
      </w:r>
      <w:r w:rsidRPr="008B30D3">
        <w:rPr>
          <w:rFonts w:eastAsia="等线"/>
          <w:szCs w:val="24"/>
          <w:lang w:bidi="ar-SA"/>
        </w:rPr>
        <w:t xml:space="preserve">, </w:t>
      </w:r>
      <w:proofErr w:type="spellStart"/>
      <w:r w:rsidRPr="008B30D3">
        <w:rPr>
          <w:rFonts w:eastAsia="等线"/>
          <w:szCs w:val="24"/>
          <w:lang w:bidi="ar-SA"/>
        </w:rPr>
        <w:t>Jian</w:t>
      </w:r>
      <w:r w:rsidRPr="008B30D3">
        <w:rPr>
          <w:rFonts w:eastAsia="等线" w:hint="eastAsia"/>
          <w:szCs w:val="24"/>
          <w:lang w:bidi="ar-SA"/>
        </w:rPr>
        <w:t>s</w:t>
      </w:r>
      <w:r w:rsidRPr="008B30D3">
        <w:rPr>
          <w:rFonts w:eastAsia="等线"/>
          <w:szCs w:val="24"/>
          <w:lang w:bidi="ar-SA"/>
        </w:rPr>
        <w:t>hu</w:t>
      </w:r>
      <w:proofErr w:type="spellEnd"/>
      <w:r w:rsidRPr="008B30D3">
        <w:rPr>
          <w:rFonts w:eastAsia="等线"/>
          <w:szCs w:val="24"/>
          <w:lang w:bidi="ar-SA"/>
        </w:rPr>
        <w:t xml:space="preserve"> Guo</w:t>
      </w:r>
      <w:r w:rsidRPr="008B30D3">
        <w:rPr>
          <w:rFonts w:eastAsia="等线"/>
          <w:szCs w:val="24"/>
          <w:vertAlign w:val="superscript"/>
          <w:lang w:bidi="ar-SA"/>
        </w:rPr>
        <w:t xml:space="preserve"> a</w:t>
      </w:r>
      <w:r w:rsidRPr="008B30D3">
        <w:rPr>
          <w:rFonts w:eastAsia="等线"/>
          <w:szCs w:val="24"/>
          <w:lang w:bidi="ar-SA"/>
        </w:rPr>
        <w:t xml:space="preserve">, </w:t>
      </w:r>
      <w:proofErr w:type="spellStart"/>
      <w:r w:rsidRPr="008B30D3">
        <w:rPr>
          <w:rFonts w:eastAsia="等线"/>
          <w:szCs w:val="24"/>
          <w:lang w:bidi="ar-SA"/>
        </w:rPr>
        <w:t>Jin</w:t>
      </w:r>
      <w:r w:rsidRPr="008B30D3">
        <w:rPr>
          <w:rFonts w:eastAsia="等线" w:hint="eastAsia"/>
          <w:szCs w:val="24"/>
          <w:lang w:bidi="ar-SA"/>
        </w:rPr>
        <w:t>j</w:t>
      </w:r>
      <w:r w:rsidRPr="008B30D3">
        <w:rPr>
          <w:rFonts w:eastAsia="等线"/>
          <w:szCs w:val="24"/>
          <w:lang w:bidi="ar-SA"/>
        </w:rPr>
        <w:t>in</w:t>
      </w:r>
      <w:proofErr w:type="spellEnd"/>
      <w:r w:rsidRPr="008B30D3">
        <w:rPr>
          <w:rFonts w:eastAsia="等线"/>
          <w:szCs w:val="24"/>
          <w:lang w:bidi="ar-SA"/>
        </w:rPr>
        <w:t xml:space="preserve"> Wang</w:t>
      </w:r>
      <w:r w:rsidRPr="008B30D3">
        <w:rPr>
          <w:rFonts w:eastAsia="等线"/>
          <w:szCs w:val="24"/>
          <w:vertAlign w:val="superscript"/>
          <w:lang w:bidi="ar-SA"/>
        </w:rPr>
        <w:t xml:space="preserve"> e</w:t>
      </w:r>
      <w:r w:rsidRPr="008B30D3">
        <w:rPr>
          <w:rFonts w:eastAsia="等线"/>
          <w:szCs w:val="24"/>
          <w:lang w:bidi="ar-SA"/>
        </w:rPr>
        <w:t xml:space="preserve">, </w:t>
      </w:r>
      <w:proofErr w:type="spellStart"/>
      <w:r w:rsidRPr="008B30D3">
        <w:rPr>
          <w:rFonts w:eastAsia="等线"/>
          <w:szCs w:val="24"/>
          <w:lang w:bidi="ar-SA"/>
        </w:rPr>
        <w:t>Juan</w:t>
      </w:r>
      <w:r w:rsidRPr="008B30D3">
        <w:rPr>
          <w:rFonts w:eastAsia="等线" w:hint="eastAsia"/>
          <w:szCs w:val="24"/>
          <w:lang w:bidi="ar-SA"/>
        </w:rPr>
        <w:t>n</w:t>
      </w:r>
      <w:r w:rsidRPr="008B30D3">
        <w:rPr>
          <w:rFonts w:eastAsia="等线"/>
          <w:szCs w:val="24"/>
          <w:lang w:bidi="ar-SA"/>
        </w:rPr>
        <w:t>ing</w:t>
      </w:r>
      <w:proofErr w:type="spellEnd"/>
      <w:r w:rsidRPr="008B30D3">
        <w:rPr>
          <w:rFonts w:eastAsia="等线"/>
          <w:szCs w:val="24"/>
          <w:lang w:bidi="ar-SA"/>
        </w:rPr>
        <w:t xml:space="preserve"> Wei</w:t>
      </w:r>
      <w:r w:rsidRPr="008B30D3">
        <w:rPr>
          <w:rFonts w:eastAsia="等线"/>
          <w:szCs w:val="24"/>
          <w:vertAlign w:val="superscript"/>
          <w:lang w:bidi="ar-SA"/>
        </w:rPr>
        <w:t xml:space="preserve"> f</w:t>
      </w:r>
      <w:r w:rsidRPr="008B30D3">
        <w:rPr>
          <w:rFonts w:eastAsia="等线"/>
          <w:szCs w:val="24"/>
          <w:lang w:bidi="ar-SA"/>
        </w:rPr>
        <w:t xml:space="preserve">, </w:t>
      </w:r>
      <w:proofErr w:type="spellStart"/>
      <w:r w:rsidRPr="008B30D3">
        <w:rPr>
          <w:rFonts w:eastAsia="等线"/>
          <w:szCs w:val="24"/>
          <w:lang w:bidi="ar-SA"/>
        </w:rPr>
        <w:t>Feng</w:t>
      </w:r>
      <w:r w:rsidRPr="008B30D3">
        <w:rPr>
          <w:rFonts w:eastAsia="等线" w:hint="eastAsia"/>
          <w:szCs w:val="24"/>
          <w:lang w:bidi="ar-SA"/>
        </w:rPr>
        <w:t>l</w:t>
      </w:r>
      <w:r w:rsidRPr="008B30D3">
        <w:rPr>
          <w:rFonts w:eastAsia="等线"/>
          <w:szCs w:val="24"/>
          <w:lang w:bidi="ar-SA"/>
        </w:rPr>
        <w:t>ing</w:t>
      </w:r>
      <w:proofErr w:type="spellEnd"/>
      <w:r w:rsidRPr="008B30D3">
        <w:rPr>
          <w:rFonts w:eastAsia="等线"/>
          <w:szCs w:val="24"/>
          <w:lang w:bidi="ar-SA"/>
        </w:rPr>
        <w:t xml:space="preserve"> Zhou</w:t>
      </w:r>
      <w:r w:rsidRPr="008B30D3">
        <w:rPr>
          <w:rFonts w:eastAsia="等线"/>
          <w:szCs w:val="24"/>
          <w:vertAlign w:val="superscript"/>
          <w:lang w:bidi="ar-SA"/>
        </w:rPr>
        <w:t xml:space="preserve"> g</w:t>
      </w:r>
      <w:r w:rsidRPr="008B30D3">
        <w:rPr>
          <w:rFonts w:eastAsia="等线"/>
          <w:szCs w:val="24"/>
          <w:lang w:bidi="ar-SA"/>
        </w:rPr>
        <w:t>, Ding Liu</w:t>
      </w:r>
      <w:r w:rsidRPr="008B30D3">
        <w:rPr>
          <w:rFonts w:eastAsia="等线"/>
          <w:szCs w:val="24"/>
          <w:vertAlign w:val="superscript"/>
          <w:lang w:bidi="ar-SA"/>
        </w:rPr>
        <w:t xml:space="preserve"> h</w:t>
      </w:r>
      <w:r w:rsidRPr="008B30D3">
        <w:rPr>
          <w:rFonts w:eastAsia="等线"/>
          <w:szCs w:val="24"/>
          <w:lang w:bidi="ar-SA"/>
        </w:rPr>
        <w:t>, Ping Zhao</w:t>
      </w:r>
      <w:r w:rsidRPr="008B30D3">
        <w:rPr>
          <w:rFonts w:eastAsia="等线"/>
          <w:szCs w:val="24"/>
          <w:vertAlign w:val="superscript"/>
          <w:lang w:bidi="ar-SA"/>
        </w:rPr>
        <w:t xml:space="preserve"> </w:t>
      </w:r>
      <w:proofErr w:type="spellStart"/>
      <w:r w:rsidRPr="008B30D3">
        <w:rPr>
          <w:rFonts w:eastAsia="等线"/>
          <w:szCs w:val="24"/>
          <w:vertAlign w:val="superscript"/>
          <w:lang w:bidi="ar-SA"/>
        </w:rPr>
        <w:t>i</w:t>
      </w:r>
      <w:proofErr w:type="spellEnd"/>
      <w:r w:rsidRPr="008B30D3">
        <w:rPr>
          <w:rFonts w:eastAsia="等线"/>
          <w:szCs w:val="24"/>
          <w:lang w:bidi="ar-SA"/>
        </w:rPr>
        <w:t>, Yu</w:t>
      </w:r>
      <w:r w:rsidRPr="008B30D3">
        <w:rPr>
          <w:rFonts w:eastAsia="等线" w:hint="eastAsia"/>
          <w:szCs w:val="24"/>
          <w:lang w:bidi="ar-SA"/>
        </w:rPr>
        <w:t>j</w:t>
      </w:r>
      <w:r w:rsidRPr="008B30D3">
        <w:rPr>
          <w:rFonts w:eastAsia="等线"/>
          <w:szCs w:val="24"/>
          <w:lang w:bidi="ar-SA"/>
        </w:rPr>
        <w:t>un Cui</w:t>
      </w:r>
      <w:r w:rsidRPr="008B30D3">
        <w:rPr>
          <w:rFonts w:eastAsia="等线"/>
          <w:szCs w:val="24"/>
          <w:vertAlign w:val="superscript"/>
          <w:lang w:bidi="ar-SA"/>
        </w:rPr>
        <w:t xml:space="preserve"> a</w:t>
      </w:r>
      <w:r w:rsidRPr="008B30D3">
        <w:rPr>
          <w:rFonts w:eastAsia="等线"/>
          <w:szCs w:val="24"/>
          <w:lang w:bidi="ar-SA"/>
        </w:rPr>
        <w:t>, Yun</w:t>
      </w:r>
      <w:r w:rsidRPr="008B30D3">
        <w:rPr>
          <w:rFonts w:eastAsia="等线" w:hint="eastAsia"/>
          <w:szCs w:val="24"/>
          <w:lang w:bidi="ar-SA"/>
        </w:rPr>
        <w:t>x</w:t>
      </w:r>
      <w:r w:rsidRPr="008B30D3">
        <w:rPr>
          <w:rFonts w:eastAsia="等线"/>
          <w:szCs w:val="24"/>
          <w:lang w:bidi="ar-SA"/>
        </w:rPr>
        <w:t>i Liu</w:t>
      </w:r>
      <w:r w:rsidRPr="008B30D3">
        <w:rPr>
          <w:rFonts w:eastAsia="等线"/>
          <w:szCs w:val="24"/>
          <w:vertAlign w:val="superscript"/>
          <w:lang w:bidi="ar-SA"/>
        </w:rPr>
        <w:t xml:space="preserve"> c,</w:t>
      </w:r>
      <w:r w:rsidRPr="008B30D3">
        <w:rPr>
          <w:rFonts w:eastAsia="等线"/>
          <w:szCs w:val="24"/>
          <w:lang w:bidi="ar-SA"/>
        </w:rPr>
        <w:t>*, Dong</w:t>
      </w:r>
      <w:r w:rsidRPr="008B30D3">
        <w:rPr>
          <w:rFonts w:eastAsia="等线" w:hint="eastAsia"/>
          <w:szCs w:val="24"/>
          <w:lang w:bidi="ar-SA"/>
        </w:rPr>
        <w:t>s</w:t>
      </w:r>
      <w:r w:rsidRPr="008B30D3">
        <w:rPr>
          <w:rFonts w:eastAsia="等线"/>
          <w:szCs w:val="24"/>
          <w:lang w:bidi="ar-SA"/>
        </w:rPr>
        <w:t>heng Zhou</w:t>
      </w:r>
      <w:r w:rsidRPr="008B30D3">
        <w:rPr>
          <w:rFonts w:eastAsia="等线"/>
          <w:szCs w:val="24"/>
          <w:vertAlign w:val="superscript"/>
          <w:lang w:bidi="ar-SA"/>
        </w:rPr>
        <w:t xml:space="preserve"> a,</w:t>
      </w:r>
      <w:r w:rsidRPr="008B30D3">
        <w:rPr>
          <w:rFonts w:eastAsia="等线"/>
          <w:szCs w:val="24"/>
          <w:lang w:bidi="ar-SA"/>
        </w:rPr>
        <w:t>*, Gang Dong</w:t>
      </w:r>
      <w:r w:rsidRPr="008B30D3">
        <w:rPr>
          <w:rFonts w:eastAsia="等线"/>
          <w:szCs w:val="24"/>
          <w:vertAlign w:val="superscript"/>
          <w:lang w:bidi="ar-SA"/>
        </w:rPr>
        <w:t xml:space="preserve"> a,</w:t>
      </w:r>
      <w:r w:rsidRPr="008B30D3">
        <w:rPr>
          <w:rFonts w:eastAsia="等线"/>
          <w:szCs w:val="24"/>
          <w:lang w:bidi="ar-SA"/>
        </w:rPr>
        <w:t>*</w:t>
      </w:r>
    </w:p>
    <w:p w14:paraId="6100E4F9" w14:textId="77777777" w:rsidR="008B30D3" w:rsidRPr="008B30D3" w:rsidRDefault="008B30D3" w:rsidP="008B30D3">
      <w:pPr>
        <w:widowControl/>
        <w:snapToGrid w:val="0"/>
        <w:spacing w:before="0" w:line="240" w:lineRule="auto"/>
        <w:jc w:val="both"/>
        <w:rPr>
          <w:rFonts w:eastAsia="等线"/>
          <w:i/>
          <w:iCs/>
          <w:sz w:val="18"/>
          <w:szCs w:val="18"/>
          <w:lang w:bidi="ar-SA"/>
        </w:rPr>
      </w:pPr>
      <w:r w:rsidRPr="008B30D3">
        <w:rPr>
          <w:rFonts w:eastAsia="等线"/>
          <w:sz w:val="18"/>
          <w:szCs w:val="18"/>
          <w:vertAlign w:val="superscript"/>
          <w:lang w:bidi="ar-SA"/>
        </w:rPr>
        <w:t xml:space="preserve">a </w:t>
      </w:r>
      <w:r w:rsidRPr="008B30D3">
        <w:rPr>
          <w:rFonts w:eastAsia="等线"/>
          <w:i/>
          <w:iCs/>
          <w:sz w:val="18"/>
          <w:szCs w:val="18"/>
          <w:lang w:bidi="ar-SA"/>
        </w:rPr>
        <w:t>Beijing Institute of Microbiology and Epidemiology, Academy of Military Medical Sciences, Beijing 100071, China</w:t>
      </w:r>
    </w:p>
    <w:p w14:paraId="7A5D05B6" w14:textId="77777777" w:rsidR="008B30D3" w:rsidRPr="008B30D3" w:rsidRDefault="008B30D3" w:rsidP="008B30D3">
      <w:pPr>
        <w:widowControl/>
        <w:snapToGrid w:val="0"/>
        <w:spacing w:before="0" w:line="240" w:lineRule="auto"/>
        <w:jc w:val="both"/>
        <w:rPr>
          <w:rFonts w:eastAsia="等线"/>
          <w:i/>
          <w:iCs/>
          <w:sz w:val="18"/>
          <w:szCs w:val="18"/>
          <w:lang w:bidi="ar-SA"/>
        </w:rPr>
      </w:pPr>
      <w:r w:rsidRPr="008B30D3">
        <w:rPr>
          <w:rFonts w:eastAsia="等线"/>
          <w:sz w:val="18"/>
          <w:szCs w:val="18"/>
          <w:vertAlign w:val="superscript"/>
          <w:lang w:bidi="ar-SA"/>
        </w:rPr>
        <w:t xml:space="preserve">b </w:t>
      </w:r>
      <w:r w:rsidRPr="008B30D3">
        <w:rPr>
          <w:rFonts w:eastAsia="等线"/>
          <w:i/>
          <w:iCs/>
          <w:sz w:val="18"/>
          <w:szCs w:val="18"/>
          <w:lang w:bidi="ar-SA"/>
        </w:rPr>
        <w:t>Chinese People’s Liberation Army Center for Disease Control and Prevention, Beijing 100071, China</w:t>
      </w:r>
    </w:p>
    <w:p w14:paraId="4C35FED0" w14:textId="02AE434A" w:rsidR="00B07F67" w:rsidRDefault="008B30D3" w:rsidP="008B30D3">
      <w:pPr>
        <w:widowControl/>
        <w:snapToGrid w:val="0"/>
        <w:spacing w:before="0" w:line="240" w:lineRule="auto"/>
        <w:jc w:val="both"/>
        <w:rPr>
          <w:rFonts w:eastAsia="等线"/>
          <w:i/>
          <w:iCs/>
          <w:sz w:val="18"/>
          <w:szCs w:val="18"/>
          <w:lang w:bidi="ar-SA"/>
        </w:rPr>
      </w:pPr>
      <w:r w:rsidRPr="008B30D3">
        <w:rPr>
          <w:rFonts w:eastAsia="等线"/>
          <w:sz w:val="18"/>
          <w:szCs w:val="18"/>
          <w:vertAlign w:val="superscript"/>
          <w:lang w:bidi="ar-SA"/>
        </w:rPr>
        <w:t xml:space="preserve">c </w:t>
      </w:r>
      <w:r w:rsidR="00B07F67" w:rsidRPr="00B07F67">
        <w:rPr>
          <w:rFonts w:eastAsia="等线"/>
          <w:i/>
          <w:iCs/>
          <w:sz w:val="18"/>
          <w:szCs w:val="18"/>
          <w:lang w:bidi="ar-SA"/>
        </w:rPr>
        <w:t xml:space="preserve">Department of Disease Prevention and Control, </w:t>
      </w:r>
      <w:r w:rsidR="00B07F67">
        <w:rPr>
          <w:rFonts w:eastAsia="等线" w:hint="eastAsia"/>
          <w:i/>
          <w:iCs/>
          <w:sz w:val="18"/>
          <w:szCs w:val="18"/>
          <w:lang w:eastAsia="zh-CN" w:bidi="ar-SA"/>
        </w:rPr>
        <w:t>t</w:t>
      </w:r>
      <w:r w:rsidR="00B07F67" w:rsidRPr="00B07F67">
        <w:rPr>
          <w:rFonts w:eastAsia="等线"/>
          <w:i/>
          <w:iCs/>
          <w:sz w:val="18"/>
          <w:szCs w:val="18"/>
          <w:lang w:bidi="ar-SA"/>
        </w:rPr>
        <w:t>he First Medical Center of Chinese People</w:t>
      </w:r>
      <w:r w:rsidR="00B07F67">
        <w:rPr>
          <w:rFonts w:eastAsia="等线"/>
          <w:i/>
          <w:iCs/>
          <w:sz w:val="18"/>
          <w:szCs w:val="18"/>
          <w:lang w:bidi="ar-SA"/>
        </w:rPr>
        <w:t>’</w:t>
      </w:r>
      <w:r w:rsidR="00B07F67" w:rsidRPr="00B07F67">
        <w:rPr>
          <w:rFonts w:eastAsia="等线"/>
          <w:i/>
          <w:iCs/>
          <w:sz w:val="18"/>
          <w:szCs w:val="18"/>
          <w:lang w:bidi="ar-SA"/>
        </w:rPr>
        <w:t>s Liberation Army General Hospita</w:t>
      </w:r>
      <w:r w:rsidR="00B07F67">
        <w:rPr>
          <w:rFonts w:eastAsia="等线"/>
          <w:i/>
          <w:iCs/>
          <w:sz w:val="18"/>
          <w:szCs w:val="18"/>
          <w:lang w:bidi="ar-SA"/>
        </w:rPr>
        <w:t>l</w:t>
      </w:r>
      <w:r w:rsidR="00B07F67" w:rsidRPr="00B07F67">
        <w:rPr>
          <w:rFonts w:eastAsia="等线"/>
          <w:i/>
          <w:iCs/>
          <w:sz w:val="18"/>
          <w:szCs w:val="18"/>
          <w:lang w:bidi="ar-SA"/>
        </w:rPr>
        <w:t>, Beijing 100853, China</w:t>
      </w:r>
    </w:p>
    <w:p w14:paraId="6E3D1215" w14:textId="50A7B0C9" w:rsidR="008B30D3" w:rsidRPr="008B30D3" w:rsidRDefault="008B30D3" w:rsidP="008B30D3">
      <w:pPr>
        <w:widowControl/>
        <w:snapToGrid w:val="0"/>
        <w:spacing w:before="0" w:line="240" w:lineRule="auto"/>
        <w:jc w:val="both"/>
        <w:rPr>
          <w:rFonts w:eastAsia="等线"/>
          <w:i/>
          <w:iCs/>
          <w:sz w:val="18"/>
          <w:szCs w:val="18"/>
          <w:lang w:bidi="ar-SA"/>
        </w:rPr>
      </w:pPr>
      <w:r w:rsidRPr="008B30D3">
        <w:rPr>
          <w:rFonts w:eastAsia="等线"/>
          <w:sz w:val="18"/>
          <w:szCs w:val="18"/>
          <w:vertAlign w:val="superscript"/>
          <w:lang w:bidi="ar-SA"/>
        </w:rPr>
        <w:t xml:space="preserve">d </w:t>
      </w:r>
      <w:proofErr w:type="gramStart"/>
      <w:r w:rsidRPr="008B30D3">
        <w:rPr>
          <w:rFonts w:eastAsia="等线"/>
          <w:i/>
          <w:iCs/>
          <w:sz w:val="18"/>
          <w:szCs w:val="18"/>
          <w:lang w:bidi="ar-SA"/>
        </w:rPr>
        <w:t>The</w:t>
      </w:r>
      <w:proofErr w:type="gramEnd"/>
      <w:r w:rsidRPr="008B30D3">
        <w:rPr>
          <w:rFonts w:eastAsia="等线"/>
          <w:i/>
          <w:iCs/>
          <w:sz w:val="18"/>
          <w:szCs w:val="18"/>
          <w:lang w:bidi="ar-SA"/>
        </w:rPr>
        <w:t xml:space="preserve"> 902 Hospital of People’s Liberation Army Joint Logistics Support Force, Bengbu 233015, China</w:t>
      </w:r>
    </w:p>
    <w:p w14:paraId="37EBA02C" w14:textId="77777777" w:rsidR="008B30D3" w:rsidRPr="008B30D3" w:rsidRDefault="008B30D3" w:rsidP="008B30D3">
      <w:pPr>
        <w:widowControl/>
        <w:snapToGrid w:val="0"/>
        <w:spacing w:before="0" w:line="240" w:lineRule="auto"/>
        <w:jc w:val="both"/>
        <w:rPr>
          <w:rFonts w:eastAsia="等线"/>
          <w:i/>
          <w:iCs/>
          <w:sz w:val="18"/>
          <w:szCs w:val="18"/>
          <w:lang w:bidi="ar-SA"/>
        </w:rPr>
      </w:pPr>
      <w:r w:rsidRPr="008B30D3">
        <w:rPr>
          <w:rFonts w:eastAsia="等线"/>
          <w:sz w:val="18"/>
          <w:szCs w:val="18"/>
          <w:vertAlign w:val="superscript"/>
          <w:lang w:bidi="ar-SA"/>
        </w:rPr>
        <w:t xml:space="preserve">e </w:t>
      </w:r>
      <w:r w:rsidRPr="008B30D3">
        <w:rPr>
          <w:rFonts w:eastAsia="等线"/>
          <w:i/>
          <w:iCs/>
          <w:sz w:val="18"/>
          <w:szCs w:val="18"/>
          <w:lang w:bidi="ar-SA"/>
        </w:rPr>
        <w:t>General Hospital of Eastern Theater Command, People’s Liberation Army, Nanjing 210002, China</w:t>
      </w:r>
    </w:p>
    <w:p w14:paraId="656C8B3A" w14:textId="77777777" w:rsidR="008B30D3" w:rsidRPr="008B30D3" w:rsidRDefault="008B30D3" w:rsidP="008B30D3">
      <w:pPr>
        <w:widowControl/>
        <w:snapToGrid w:val="0"/>
        <w:spacing w:before="0" w:line="240" w:lineRule="auto"/>
        <w:jc w:val="both"/>
        <w:rPr>
          <w:rFonts w:eastAsia="等线"/>
          <w:i/>
          <w:iCs/>
          <w:sz w:val="18"/>
          <w:szCs w:val="18"/>
          <w:lang w:bidi="ar-SA"/>
        </w:rPr>
      </w:pPr>
      <w:r w:rsidRPr="008B30D3">
        <w:rPr>
          <w:rFonts w:eastAsia="等线"/>
          <w:sz w:val="18"/>
          <w:szCs w:val="18"/>
          <w:vertAlign w:val="superscript"/>
          <w:lang w:bidi="ar-SA"/>
        </w:rPr>
        <w:t xml:space="preserve">f </w:t>
      </w:r>
      <w:r w:rsidRPr="008B30D3">
        <w:rPr>
          <w:rFonts w:eastAsia="等线"/>
          <w:i/>
          <w:iCs/>
          <w:sz w:val="18"/>
          <w:szCs w:val="18"/>
          <w:lang w:bidi="ar-SA"/>
        </w:rPr>
        <w:t xml:space="preserve">Fourth Military Medical University, </w:t>
      </w:r>
      <w:proofErr w:type="spellStart"/>
      <w:r w:rsidRPr="008B30D3">
        <w:rPr>
          <w:rFonts w:eastAsia="等线"/>
          <w:i/>
          <w:iCs/>
          <w:sz w:val="18"/>
          <w:szCs w:val="18"/>
          <w:lang w:bidi="ar-SA"/>
        </w:rPr>
        <w:t>Xijing</w:t>
      </w:r>
      <w:proofErr w:type="spellEnd"/>
      <w:r w:rsidRPr="008B30D3">
        <w:rPr>
          <w:rFonts w:eastAsia="等线"/>
          <w:i/>
          <w:iCs/>
          <w:sz w:val="18"/>
          <w:szCs w:val="18"/>
          <w:lang w:bidi="ar-SA"/>
        </w:rPr>
        <w:t xml:space="preserve"> Hospital, Xi’an 710032, China</w:t>
      </w:r>
    </w:p>
    <w:p w14:paraId="102628B5" w14:textId="77777777" w:rsidR="008B30D3" w:rsidRPr="008B30D3" w:rsidRDefault="008B30D3" w:rsidP="008B30D3">
      <w:pPr>
        <w:widowControl/>
        <w:snapToGrid w:val="0"/>
        <w:spacing w:before="0" w:line="240" w:lineRule="auto"/>
        <w:jc w:val="both"/>
        <w:rPr>
          <w:rFonts w:eastAsia="等线"/>
          <w:i/>
          <w:iCs/>
          <w:sz w:val="18"/>
          <w:szCs w:val="18"/>
          <w:lang w:bidi="ar-SA"/>
        </w:rPr>
      </w:pPr>
      <w:r w:rsidRPr="008B30D3">
        <w:rPr>
          <w:rFonts w:eastAsia="等线"/>
          <w:sz w:val="18"/>
          <w:szCs w:val="18"/>
          <w:vertAlign w:val="superscript"/>
          <w:lang w:bidi="ar-SA"/>
        </w:rPr>
        <w:t xml:space="preserve">g </w:t>
      </w:r>
      <w:r w:rsidRPr="008B30D3">
        <w:rPr>
          <w:rFonts w:eastAsia="等线"/>
          <w:i/>
          <w:iCs/>
          <w:sz w:val="18"/>
          <w:szCs w:val="18"/>
          <w:lang w:bidi="ar-SA"/>
        </w:rPr>
        <w:t>General Hospital of Central Theater Command of Chinese People’s Liberation Army, Wuhan 430070, China</w:t>
      </w:r>
    </w:p>
    <w:p w14:paraId="22F46C2A" w14:textId="77777777" w:rsidR="008B30D3" w:rsidRPr="008B30D3" w:rsidRDefault="008B30D3" w:rsidP="008B30D3">
      <w:pPr>
        <w:widowControl/>
        <w:snapToGrid w:val="0"/>
        <w:spacing w:before="0" w:line="240" w:lineRule="auto"/>
        <w:jc w:val="both"/>
        <w:rPr>
          <w:rFonts w:eastAsia="等线"/>
          <w:i/>
          <w:iCs/>
          <w:sz w:val="18"/>
          <w:szCs w:val="18"/>
          <w:lang w:bidi="ar-SA"/>
        </w:rPr>
      </w:pPr>
      <w:r w:rsidRPr="008B30D3">
        <w:rPr>
          <w:rFonts w:eastAsia="等线"/>
          <w:sz w:val="18"/>
          <w:szCs w:val="18"/>
          <w:vertAlign w:val="superscript"/>
          <w:lang w:bidi="ar-SA"/>
        </w:rPr>
        <w:t xml:space="preserve">h </w:t>
      </w:r>
      <w:r w:rsidRPr="008B30D3">
        <w:rPr>
          <w:rFonts w:eastAsia="等线"/>
          <w:i/>
          <w:iCs/>
          <w:sz w:val="18"/>
          <w:szCs w:val="18"/>
          <w:lang w:bidi="ar-SA"/>
        </w:rPr>
        <w:t>Third Military Medical University, Southwest Hospital, Chongqing 400038, China</w:t>
      </w:r>
    </w:p>
    <w:p w14:paraId="15E65AE1" w14:textId="77777777" w:rsidR="008B30D3" w:rsidRPr="008B30D3" w:rsidRDefault="008B30D3" w:rsidP="008B30D3">
      <w:pPr>
        <w:widowControl/>
        <w:snapToGrid w:val="0"/>
        <w:spacing w:before="0" w:line="240" w:lineRule="auto"/>
        <w:jc w:val="both"/>
        <w:rPr>
          <w:rFonts w:eastAsia="等线"/>
          <w:i/>
          <w:iCs/>
          <w:sz w:val="18"/>
          <w:szCs w:val="18"/>
          <w:lang w:bidi="ar-SA"/>
        </w:rPr>
      </w:pPr>
      <w:proofErr w:type="spellStart"/>
      <w:r w:rsidRPr="008B30D3">
        <w:rPr>
          <w:rFonts w:eastAsia="等线"/>
          <w:sz w:val="18"/>
          <w:szCs w:val="18"/>
          <w:vertAlign w:val="superscript"/>
          <w:lang w:bidi="ar-SA"/>
        </w:rPr>
        <w:t>i</w:t>
      </w:r>
      <w:proofErr w:type="spellEnd"/>
      <w:r w:rsidRPr="008B30D3">
        <w:rPr>
          <w:rFonts w:eastAsia="等线"/>
          <w:sz w:val="18"/>
          <w:szCs w:val="18"/>
          <w:vertAlign w:val="superscript"/>
          <w:lang w:bidi="ar-SA"/>
        </w:rPr>
        <w:t xml:space="preserve"> </w:t>
      </w:r>
      <w:r w:rsidRPr="008B30D3">
        <w:rPr>
          <w:rFonts w:eastAsia="等线"/>
          <w:i/>
          <w:iCs/>
          <w:sz w:val="18"/>
          <w:szCs w:val="18"/>
          <w:lang w:bidi="ar-SA"/>
        </w:rPr>
        <w:t>Department of Microbiology, Faculty of Naval Medicine, Naval Medical University, Shanghai 200433, China</w:t>
      </w:r>
    </w:p>
    <w:p w14:paraId="4139387D" w14:textId="77777777" w:rsidR="008B30D3" w:rsidRPr="008B30D3" w:rsidRDefault="008B30D3" w:rsidP="008B30D3">
      <w:pPr>
        <w:widowControl/>
        <w:snapToGrid w:val="0"/>
        <w:spacing w:before="0" w:line="240" w:lineRule="auto"/>
        <w:jc w:val="both"/>
        <w:rPr>
          <w:rFonts w:eastAsia="等线"/>
          <w:i/>
          <w:iCs/>
          <w:sz w:val="18"/>
          <w:szCs w:val="18"/>
          <w:lang w:bidi="ar-SA"/>
        </w:rPr>
      </w:pPr>
      <w:r w:rsidRPr="008B30D3">
        <w:rPr>
          <w:rFonts w:eastAsia="等线"/>
          <w:sz w:val="18"/>
          <w:szCs w:val="18"/>
          <w:vertAlign w:val="superscript"/>
          <w:lang w:bidi="ar-SA"/>
        </w:rPr>
        <w:t xml:space="preserve">j </w:t>
      </w:r>
      <w:r w:rsidRPr="008B30D3">
        <w:rPr>
          <w:rFonts w:eastAsia="等线"/>
          <w:i/>
          <w:iCs/>
          <w:sz w:val="18"/>
          <w:szCs w:val="18"/>
          <w:lang w:bidi="ar-SA"/>
        </w:rPr>
        <w:t>Academy of Military Medical Sciences Institute of Pharmacology and Toxicology, Beijing 100039, China</w:t>
      </w:r>
    </w:p>
    <w:p w14:paraId="4B38E994" w14:textId="77777777" w:rsidR="008B30D3" w:rsidRPr="008B30D3" w:rsidRDefault="008B30D3" w:rsidP="008B30D3">
      <w:pPr>
        <w:widowControl/>
        <w:autoSpaceDE/>
        <w:autoSpaceDN/>
        <w:adjustRightInd/>
        <w:spacing w:before="0" w:line="240" w:lineRule="auto"/>
        <w:rPr>
          <w:rFonts w:eastAsia="宋体"/>
          <w:szCs w:val="24"/>
          <w:lang w:bidi="ar-SA"/>
        </w:rPr>
      </w:pPr>
    </w:p>
    <w:p w14:paraId="6165A842" w14:textId="77777777" w:rsidR="008B30D3" w:rsidRPr="008B30D3" w:rsidRDefault="008B30D3" w:rsidP="008B30D3">
      <w:pPr>
        <w:widowControl/>
        <w:snapToGrid w:val="0"/>
        <w:spacing w:before="0" w:line="240" w:lineRule="auto"/>
        <w:rPr>
          <w:rFonts w:eastAsia="宋体"/>
          <w:sz w:val="18"/>
          <w:szCs w:val="18"/>
          <w:lang w:bidi="ar-SA"/>
        </w:rPr>
      </w:pPr>
      <w:r w:rsidRPr="008B30D3">
        <w:rPr>
          <w:rFonts w:eastAsia="宋体" w:hint="eastAsia"/>
          <w:position w:val="7"/>
          <w:sz w:val="18"/>
          <w:szCs w:val="18"/>
          <w:lang w:eastAsia="zh-CN" w:bidi="ar-SA"/>
        </w:rPr>
        <w:t>#</w:t>
      </w:r>
      <w:r w:rsidRPr="008B30D3">
        <w:rPr>
          <w:rFonts w:eastAsia="宋体"/>
          <w:position w:val="7"/>
          <w:sz w:val="18"/>
          <w:szCs w:val="18"/>
          <w:lang w:eastAsia="zh-CN" w:bidi="ar-SA"/>
        </w:rPr>
        <w:t xml:space="preserve"> </w:t>
      </w:r>
      <w:r w:rsidRPr="008B30D3">
        <w:rPr>
          <w:rFonts w:eastAsia="宋体"/>
          <w:sz w:val="18"/>
          <w:szCs w:val="18"/>
          <w:lang w:bidi="ar-SA"/>
        </w:rPr>
        <w:t>These authors contributed equally to this work.</w:t>
      </w:r>
    </w:p>
    <w:p w14:paraId="13F4CF7C" w14:textId="77777777" w:rsidR="008B30D3" w:rsidRPr="008B30D3" w:rsidRDefault="008B30D3" w:rsidP="008B30D3">
      <w:pPr>
        <w:widowControl/>
        <w:snapToGrid w:val="0"/>
        <w:spacing w:before="0" w:line="240" w:lineRule="auto"/>
        <w:rPr>
          <w:rFonts w:eastAsia="宋体"/>
          <w:bCs/>
          <w:sz w:val="18"/>
          <w:szCs w:val="18"/>
          <w:lang w:bidi="ar-SA"/>
        </w:rPr>
      </w:pPr>
      <w:r w:rsidRPr="008B30D3">
        <w:rPr>
          <w:rFonts w:eastAsia="宋体"/>
          <w:bCs/>
          <w:sz w:val="18"/>
          <w:szCs w:val="18"/>
          <w:lang w:bidi="ar-SA"/>
        </w:rPr>
        <w:t xml:space="preserve">* Corresponding authors. </w:t>
      </w:r>
    </w:p>
    <w:p w14:paraId="25700E83" w14:textId="3D49EA68" w:rsidR="008B30D3" w:rsidRDefault="008B30D3" w:rsidP="008B30D3">
      <w:pPr>
        <w:widowControl/>
        <w:snapToGrid w:val="0"/>
        <w:spacing w:before="0" w:line="240" w:lineRule="auto"/>
        <w:rPr>
          <w:rFonts w:eastAsia="宋体"/>
          <w:sz w:val="18"/>
          <w:szCs w:val="18"/>
          <w:lang w:bidi="ar-SA"/>
        </w:rPr>
      </w:pPr>
      <w:r w:rsidRPr="008B30D3">
        <w:rPr>
          <w:rFonts w:eastAsia="等线" w:hint="eastAsia"/>
          <w:i/>
          <w:iCs/>
          <w:sz w:val="18"/>
          <w:szCs w:val="18"/>
          <w:lang w:eastAsia="zh-CN" w:bidi="ar-SA"/>
        </w:rPr>
        <w:t>E-</w:t>
      </w:r>
      <w:r w:rsidRPr="008B30D3">
        <w:rPr>
          <w:rFonts w:eastAsia="等线"/>
          <w:i/>
          <w:iCs/>
          <w:sz w:val="18"/>
          <w:szCs w:val="18"/>
          <w:lang w:bidi="ar-SA"/>
        </w:rPr>
        <w:t>mail addresses</w:t>
      </w:r>
      <w:r w:rsidRPr="008B30D3">
        <w:rPr>
          <w:rFonts w:eastAsia="等线"/>
          <w:sz w:val="18"/>
          <w:szCs w:val="18"/>
          <w:lang w:bidi="ar-SA"/>
        </w:rPr>
        <w:t>:</w:t>
      </w:r>
      <w:r w:rsidRPr="008B30D3">
        <w:rPr>
          <w:rFonts w:eastAsia="宋体"/>
          <w:sz w:val="18"/>
          <w:szCs w:val="18"/>
          <w:lang w:bidi="ar-SA"/>
        </w:rPr>
        <w:t xml:space="preserve"> liuyunxi301@qq.com (Y. Liu); </w:t>
      </w:r>
      <w:hyperlink r:id="rId7" w:history="1">
        <w:r w:rsidR="007E73BB" w:rsidRPr="00B40669">
          <w:rPr>
            <w:rStyle w:val="ad"/>
            <w:rFonts w:eastAsia="宋体"/>
            <w:sz w:val="18"/>
            <w:szCs w:val="18"/>
            <w:lang w:bidi="ar-SA"/>
          </w:rPr>
          <w:t>zhouds@bmi.ac.cn</w:t>
        </w:r>
      </w:hyperlink>
      <w:r w:rsidR="007E73BB">
        <w:rPr>
          <w:rFonts w:eastAsia="宋体"/>
          <w:sz w:val="18"/>
          <w:szCs w:val="18"/>
          <w:lang w:bidi="ar-SA"/>
        </w:rPr>
        <w:t xml:space="preserve"> </w:t>
      </w:r>
      <w:r w:rsidRPr="008B30D3">
        <w:rPr>
          <w:rFonts w:eastAsia="宋体"/>
          <w:sz w:val="18"/>
          <w:szCs w:val="18"/>
          <w:lang w:bidi="ar-SA"/>
        </w:rPr>
        <w:t>(D. Zhou); donggang@bmi.ac.cn (G. Dong).</w:t>
      </w:r>
    </w:p>
    <w:p w14:paraId="5C6443C3" w14:textId="77777777" w:rsidR="008B30D3" w:rsidRPr="008B30D3" w:rsidRDefault="008B30D3" w:rsidP="008B30D3">
      <w:pPr>
        <w:pStyle w:val="a0"/>
        <w:ind w:left="0"/>
        <w:rPr>
          <w:lang w:bidi="ar-SA"/>
        </w:rPr>
      </w:pPr>
    </w:p>
    <w:p w14:paraId="3CF43A3E" w14:textId="07355E51" w:rsidR="00256B2F" w:rsidRPr="008B30D3" w:rsidRDefault="008B30D3" w:rsidP="008B30D3">
      <w:pPr>
        <w:pStyle w:val="4"/>
        <w:keepNext w:val="0"/>
        <w:keepLines w:val="0"/>
        <w:widowControl/>
        <w:tabs>
          <w:tab w:val="left" w:pos="864"/>
        </w:tabs>
        <w:kinsoku w:val="0"/>
        <w:autoSpaceDE/>
        <w:autoSpaceDN/>
        <w:snapToGrid w:val="0"/>
        <w:spacing w:beforeLines="50" w:before="120" w:afterLines="50" w:after="120" w:line="240" w:lineRule="auto"/>
        <w:jc w:val="both"/>
        <w:rPr>
          <w:rFonts w:ascii="Times New Roman" w:eastAsia="宋体" w:hAnsi="Times New Roman" w:cs="Times New Roman"/>
          <w:b/>
          <w:i w:val="0"/>
          <w:iCs w:val="0"/>
          <w:color w:val="000000" w:themeColor="text1"/>
          <w:sz w:val="21"/>
          <w:szCs w:val="21"/>
          <w:lang w:bidi="ar-SA"/>
        </w:rPr>
      </w:pPr>
      <w:r w:rsidRPr="008B30D3">
        <w:rPr>
          <w:rFonts w:ascii="Times New Roman" w:eastAsia="宋体" w:hAnsi="Times New Roman" w:cs="Times New Roman"/>
          <w:b/>
          <w:i w:val="0"/>
          <w:iCs w:val="0"/>
          <w:color w:val="000000" w:themeColor="text1"/>
          <w:sz w:val="21"/>
          <w:szCs w:val="21"/>
          <w:lang w:bidi="ar-SA"/>
        </w:rPr>
        <w:t>1. Description of the performance evaluation of the aerosol sampling device</w:t>
      </w:r>
    </w:p>
    <w:p w14:paraId="006B2821" w14:textId="0D886C01" w:rsidR="00256B2F" w:rsidRPr="008B30D3" w:rsidRDefault="00000000">
      <w:pPr>
        <w:pStyle w:val="4"/>
        <w:keepNext w:val="0"/>
        <w:keepLines w:val="0"/>
        <w:widowControl/>
        <w:tabs>
          <w:tab w:val="left" w:pos="864"/>
        </w:tabs>
        <w:kinsoku w:val="0"/>
        <w:autoSpaceDE/>
        <w:autoSpaceDN/>
        <w:snapToGrid w:val="0"/>
        <w:spacing w:beforeLines="50" w:before="120" w:afterLines="50" w:after="120" w:line="240" w:lineRule="auto"/>
        <w:jc w:val="both"/>
        <w:rPr>
          <w:rFonts w:ascii="Times New Roman" w:hAnsi="Times New Roman" w:cs="Times New Roman"/>
          <w:bCs/>
          <w:color w:val="000000" w:themeColor="text1"/>
          <w:sz w:val="21"/>
          <w:szCs w:val="21"/>
          <w:lang w:bidi="ar-SA"/>
        </w:rPr>
      </w:pPr>
      <w:r w:rsidRPr="008B30D3">
        <w:rPr>
          <w:rFonts w:ascii="Times New Roman" w:hAnsi="Times New Roman" w:cs="Times New Roman"/>
          <w:bCs/>
          <w:color w:val="000000" w:themeColor="text1"/>
          <w:sz w:val="21"/>
          <w:szCs w:val="21"/>
          <w:lang w:bidi="ar-SA"/>
        </w:rPr>
        <w:t>1.</w:t>
      </w:r>
      <w:r w:rsidR="008B30D3" w:rsidRPr="008B30D3">
        <w:rPr>
          <w:rFonts w:ascii="Times New Roman" w:hAnsi="Times New Roman" w:cs="Times New Roman"/>
          <w:bCs/>
          <w:color w:val="000000" w:themeColor="text1"/>
          <w:sz w:val="21"/>
          <w:szCs w:val="21"/>
          <w:lang w:bidi="ar-SA"/>
        </w:rPr>
        <w:t>1.</w:t>
      </w:r>
      <w:r w:rsidRPr="008B30D3">
        <w:rPr>
          <w:rFonts w:ascii="Times New Roman" w:hAnsi="Times New Roman" w:cs="Times New Roman"/>
          <w:bCs/>
          <w:color w:val="000000" w:themeColor="text1"/>
          <w:sz w:val="21"/>
          <w:szCs w:val="21"/>
          <w:lang w:bidi="ar-SA"/>
        </w:rPr>
        <w:t xml:space="preserve"> Aerosol sampling device</w:t>
      </w:r>
    </w:p>
    <w:p w14:paraId="29EF3808" w14:textId="3BFEAD35" w:rsidR="00256B2F" w:rsidRDefault="00000000">
      <w:pPr>
        <w:autoSpaceDE/>
        <w:autoSpaceDN/>
        <w:snapToGrid w:val="0"/>
        <w:spacing w:before="0" w:line="240" w:lineRule="auto"/>
        <w:ind w:firstLineChars="100" w:firstLine="210"/>
        <w:jc w:val="both"/>
        <w:rPr>
          <w:rFonts w:eastAsia="宋体"/>
          <w:kern w:val="2"/>
          <w:sz w:val="21"/>
          <w:szCs w:val="20"/>
          <w:lang w:eastAsia="zh-CN" w:bidi="ar-SA"/>
        </w:rPr>
      </w:pPr>
      <w:r>
        <w:rPr>
          <w:rFonts w:eastAsia="宋体"/>
          <w:kern w:val="2"/>
          <w:sz w:val="21"/>
          <w:szCs w:val="20"/>
          <w:lang w:eastAsia="zh-CN" w:bidi="ar-SA"/>
        </w:rPr>
        <w:t xml:space="preserve">A </w:t>
      </w:r>
      <w:bookmarkStart w:id="2" w:name="_Hlk138929884"/>
      <w:r>
        <w:rPr>
          <w:rFonts w:eastAsia="宋体"/>
          <w:kern w:val="2"/>
          <w:sz w:val="21"/>
          <w:szCs w:val="20"/>
          <w:lang w:eastAsia="zh-CN" w:bidi="ar-SA"/>
        </w:rPr>
        <w:t xml:space="preserve">high-volume bioaerosol sampling device </w:t>
      </w:r>
      <w:bookmarkEnd w:id="2"/>
      <w:r>
        <w:rPr>
          <w:rFonts w:eastAsia="宋体"/>
          <w:kern w:val="2"/>
          <w:sz w:val="21"/>
          <w:szCs w:val="20"/>
          <w:lang w:eastAsia="zh-CN" w:bidi="ar-SA"/>
        </w:rPr>
        <w:t xml:space="preserve">(HRH-BSA350, </w:t>
      </w:r>
      <w:r w:rsidR="008B30D3" w:rsidRPr="008B30D3">
        <w:rPr>
          <w:rFonts w:eastAsia="宋体"/>
          <w:kern w:val="2"/>
          <w:sz w:val="21"/>
          <w:szCs w:val="20"/>
          <w:lang w:eastAsia="zh-CN" w:bidi="ar-SA"/>
        </w:rPr>
        <w:t xml:space="preserve">Beijing </w:t>
      </w:r>
      <w:proofErr w:type="spellStart"/>
      <w:r w:rsidR="008B30D3" w:rsidRPr="008B30D3">
        <w:rPr>
          <w:rFonts w:eastAsia="宋体"/>
          <w:kern w:val="2"/>
          <w:sz w:val="21"/>
          <w:szCs w:val="20"/>
          <w:lang w:eastAsia="zh-CN" w:bidi="ar-SA"/>
        </w:rPr>
        <w:t>Huironghe</w:t>
      </w:r>
      <w:proofErr w:type="spellEnd"/>
      <w:r w:rsidR="008B30D3" w:rsidRPr="008B30D3">
        <w:rPr>
          <w:rFonts w:eastAsia="宋体"/>
          <w:kern w:val="2"/>
          <w:sz w:val="21"/>
          <w:szCs w:val="20"/>
          <w:lang w:eastAsia="zh-CN" w:bidi="ar-SA"/>
        </w:rPr>
        <w:t xml:space="preserve"> Tech Co., Ltd.</w:t>
      </w:r>
      <w:r w:rsidR="008B30D3">
        <w:rPr>
          <w:rFonts w:eastAsia="宋体"/>
          <w:kern w:val="2"/>
          <w:sz w:val="21"/>
          <w:szCs w:val="20"/>
          <w:lang w:eastAsia="zh-CN" w:bidi="ar-SA"/>
        </w:rPr>
        <w:t>,</w:t>
      </w:r>
      <w:r>
        <w:rPr>
          <w:rFonts w:eastAsia="宋体"/>
          <w:kern w:val="2"/>
          <w:sz w:val="21"/>
          <w:szCs w:val="20"/>
          <w:lang w:eastAsia="zh-CN" w:bidi="ar-SA"/>
        </w:rPr>
        <w:t xml:space="preserve"> </w:t>
      </w:r>
      <w:r w:rsidR="008B30D3">
        <w:rPr>
          <w:rFonts w:eastAsia="宋体"/>
          <w:kern w:val="2"/>
          <w:sz w:val="21"/>
          <w:szCs w:val="20"/>
          <w:lang w:eastAsia="zh-CN" w:bidi="ar-SA"/>
        </w:rPr>
        <w:t>China</w:t>
      </w:r>
      <w:r>
        <w:rPr>
          <w:rFonts w:eastAsia="宋体"/>
          <w:kern w:val="2"/>
          <w:sz w:val="21"/>
          <w:szCs w:val="20"/>
          <w:lang w:eastAsia="zh-CN" w:bidi="ar-SA"/>
        </w:rPr>
        <w:t>) based on the wet-wall cyclone principle was used in this study. It consisted of an air inlet, cyclone chamber, centrifugal fan, air outlet, liquid replenishment system, central control module and operation panel (Fig. S1</w:t>
      </w:r>
      <w:r w:rsidR="00F458A8">
        <w:rPr>
          <w:rFonts w:eastAsia="宋体" w:hint="eastAsia"/>
          <w:kern w:val="2"/>
          <w:sz w:val="21"/>
          <w:szCs w:val="20"/>
          <w:lang w:eastAsia="zh-CN" w:bidi="ar-SA"/>
        </w:rPr>
        <w:t>(</w:t>
      </w:r>
      <w:r>
        <w:rPr>
          <w:rFonts w:eastAsia="宋体"/>
          <w:kern w:val="2"/>
          <w:sz w:val="21"/>
          <w:szCs w:val="20"/>
          <w:lang w:eastAsia="zh-CN" w:bidi="ar-SA"/>
        </w:rPr>
        <w:t>a</w:t>
      </w:r>
      <w:r w:rsidR="00F458A8">
        <w:rPr>
          <w:rFonts w:eastAsia="宋体"/>
          <w:kern w:val="2"/>
          <w:sz w:val="21"/>
          <w:szCs w:val="20"/>
          <w:lang w:eastAsia="zh-CN" w:bidi="ar-SA"/>
        </w:rPr>
        <w:t>)</w:t>
      </w:r>
      <w:r>
        <w:rPr>
          <w:rFonts w:eastAsia="宋体"/>
          <w:kern w:val="2"/>
          <w:sz w:val="21"/>
          <w:szCs w:val="20"/>
          <w:lang w:eastAsia="zh-CN" w:bidi="ar-SA"/>
        </w:rPr>
        <w:t>). When the device was in operation (Fig. S1</w:t>
      </w:r>
      <w:r w:rsidR="00F458A8">
        <w:rPr>
          <w:rFonts w:eastAsia="宋体"/>
          <w:kern w:val="2"/>
          <w:sz w:val="21"/>
          <w:szCs w:val="20"/>
          <w:lang w:eastAsia="zh-CN" w:bidi="ar-SA"/>
        </w:rPr>
        <w:t>(</w:t>
      </w:r>
      <w:r>
        <w:rPr>
          <w:rFonts w:eastAsia="宋体"/>
          <w:kern w:val="2"/>
          <w:sz w:val="21"/>
          <w:szCs w:val="20"/>
          <w:lang w:eastAsia="zh-CN" w:bidi="ar-SA"/>
        </w:rPr>
        <w:t>b</w:t>
      </w:r>
      <w:r w:rsidR="00F458A8">
        <w:rPr>
          <w:rFonts w:eastAsia="宋体"/>
          <w:kern w:val="2"/>
          <w:sz w:val="21"/>
          <w:szCs w:val="20"/>
          <w:lang w:eastAsia="zh-CN" w:bidi="ar-SA"/>
        </w:rPr>
        <w:t>)</w:t>
      </w:r>
      <w:r>
        <w:rPr>
          <w:rFonts w:eastAsia="宋体"/>
          <w:kern w:val="2"/>
          <w:sz w:val="21"/>
          <w:szCs w:val="20"/>
          <w:lang w:eastAsia="zh-CN" w:bidi="ar-SA"/>
        </w:rPr>
        <w:t xml:space="preserve">), the air entered the cyclone chamber with a flow rate of 350 </w:t>
      </w:r>
      <w:proofErr w:type="spellStart"/>
      <w:r>
        <w:rPr>
          <w:rFonts w:eastAsia="宋体"/>
          <w:kern w:val="2"/>
          <w:sz w:val="21"/>
          <w:szCs w:val="20"/>
          <w:lang w:eastAsia="zh-CN" w:bidi="ar-SA"/>
        </w:rPr>
        <w:t>L</w:t>
      </w:r>
      <w:r w:rsidR="00AB1051" w:rsidRPr="00AB1051">
        <w:rPr>
          <w:rFonts w:eastAsia="宋体"/>
          <w:kern w:val="2"/>
          <w:sz w:val="21"/>
          <w:szCs w:val="20"/>
          <w:lang w:eastAsia="zh-CN" w:bidi="ar-SA"/>
        </w:rPr>
        <w:t>·</w:t>
      </w:r>
      <w:r>
        <w:rPr>
          <w:rFonts w:eastAsia="宋体"/>
          <w:kern w:val="2"/>
          <w:sz w:val="21"/>
          <w:szCs w:val="20"/>
          <w:lang w:eastAsia="zh-CN" w:bidi="ar-SA"/>
        </w:rPr>
        <w:t>min</w:t>
      </w:r>
      <w:proofErr w:type="spellEnd"/>
      <w:r w:rsidR="00AB1051" w:rsidRPr="00AB1051">
        <w:rPr>
          <w:rFonts w:eastAsia="宋体"/>
          <w:kern w:val="2"/>
          <w:sz w:val="21"/>
          <w:szCs w:val="20"/>
          <w:vertAlign w:val="superscript"/>
          <w:lang w:eastAsia="zh-CN" w:bidi="ar-SA"/>
        </w:rPr>
        <w:t>–1</w:t>
      </w:r>
      <w:r>
        <w:rPr>
          <w:rFonts w:eastAsia="宋体"/>
          <w:kern w:val="2"/>
          <w:sz w:val="21"/>
          <w:szCs w:val="20"/>
          <w:lang w:eastAsia="zh-CN" w:bidi="ar-SA"/>
        </w:rPr>
        <w:t>, and the aerosol particles in the air separated from the main airflow in the cyclone and were trapped onto the liquid membranes generated by the cyclone. When aerosol sampling was completed, the collected aerosol particles were enriched in approximately 4 m</w:t>
      </w:r>
      <w:r w:rsidR="00AB1051">
        <w:rPr>
          <w:rFonts w:eastAsia="宋体"/>
          <w:kern w:val="2"/>
          <w:sz w:val="21"/>
          <w:szCs w:val="20"/>
          <w:lang w:eastAsia="zh-CN" w:bidi="ar-SA"/>
        </w:rPr>
        <w:t>L</w:t>
      </w:r>
      <w:r>
        <w:rPr>
          <w:rFonts w:eastAsia="宋体"/>
          <w:kern w:val="2"/>
          <w:sz w:val="21"/>
          <w:szCs w:val="20"/>
          <w:lang w:eastAsia="zh-CN" w:bidi="ar-SA"/>
        </w:rPr>
        <w:t xml:space="preserve"> of sampling liquid for subsequent analysis. The sampler's internal high-capacity battery and liquid replenishment system allow the sampling device to perform continuous sampling for minutes to hours and tens of hours of sampling when connected to utility power, without worrying about the reduction of sampling liquid. The sampling device was integrated with a disinfection and cleaning function, which could perform quick disinfection and cleaning in the field to prevent contamination of collected samples from previous sampling. PBS buffer (Gibco) was usually used as the sampling medium, while </w:t>
      </w:r>
      <w:r w:rsidR="00AB1051">
        <w:rPr>
          <w:rFonts w:eastAsia="宋体"/>
          <w:kern w:val="2"/>
          <w:sz w:val="21"/>
          <w:szCs w:val="20"/>
          <w:lang w:eastAsia="zh-CN" w:bidi="ar-SA"/>
        </w:rPr>
        <w:t xml:space="preserve">virus transport medium </w:t>
      </w:r>
      <w:r>
        <w:rPr>
          <w:rFonts w:eastAsia="宋体"/>
          <w:kern w:val="2"/>
          <w:sz w:val="21"/>
          <w:szCs w:val="20"/>
          <w:lang w:eastAsia="zh-CN" w:bidi="ar-SA"/>
        </w:rPr>
        <w:t>(</w:t>
      </w:r>
      <w:r w:rsidR="00AB1051">
        <w:rPr>
          <w:rFonts w:eastAsia="宋体"/>
          <w:kern w:val="2"/>
          <w:sz w:val="21"/>
          <w:szCs w:val="20"/>
          <w:lang w:eastAsia="zh-CN" w:bidi="ar-SA"/>
        </w:rPr>
        <w:t>VTM</w:t>
      </w:r>
      <w:r>
        <w:rPr>
          <w:rFonts w:eastAsia="宋体"/>
          <w:kern w:val="2"/>
          <w:sz w:val="21"/>
          <w:szCs w:val="20"/>
          <w:lang w:eastAsia="zh-CN" w:bidi="ar-SA"/>
        </w:rPr>
        <w:t>) was more suited for virus sampling. It is important to mention that an additional 0.1% Antifoam B Emulsion (Sigma) can effectively reduce the generation of foam during the sampling process.</w:t>
      </w:r>
    </w:p>
    <w:p w14:paraId="59454DAB" w14:textId="3D0548DA" w:rsidR="00256B2F" w:rsidRPr="008B30D3" w:rsidRDefault="008B30D3" w:rsidP="008B30D3">
      <w:pPr>
        <w:pStyle w:val="4"/>
        <w:keepNext w:val="0"/>
        <w:keepLines w:val="0"/>
        <w:widowControl/>
        <w:tabs>
          <w:tab w:val="left" w:pos="864"/>
        </w:tabs>
        <w:kinsoku w:val="0"/>
        <w:autoSpaceDE/>
        <w:autoSpaceDN/>
        <w:snapToGrid w:val="0"/>
        <w:spacing w:beforeLines="50" w:before="120" w:afterLines="50" w:after="120" w:line="240" w:lineRule="auto"/>
        <w:jc w:val="both"/>
        <w:rPr>
          <w:rFonts w:ascii="Times New Roman" w:hAnsi="Times New Roman" w:cs="Times New Roman"/>
          <w:bCs/>
          <w:color w:val="000000" w:themeColor="text1"/>
          <w:sz w:val="21"/>
          <w:szCs w:val="21"/>
          <w:lang w:bidi="ar-SA"/>
        </w:rPr>
      </w:pPr>
      <w:r>
        <w:rPr>
          <w:rFonts w:ascii="Times New Roman" w:hAnsi="Times New Roman" w:cs="Times New Roman"/>
          <w:bCs/>
          <w:color w:val="000000" w:themeColor="text1"/>
          <w:sz w:val="21"/>
          <w:szCs w:val="21"/>
          <w:lang w:bidi="ar-SA"/>
        </w:rPr>
        <w:t xml:space="preserve">1.2. </w:t>
      </w:r>
      <w:r w:rsidRPr="008B30D3">
        <w:rPr>
          <w:rFonts w:ascii="Times New Roman" w:hAnsi="Times New Roman" w:cs="Times New Roman"/>
          <w:bCs/>
          <w:color w:val="000000" w:themeColor="text1"/>
          <w:sz w:val="21"/>
          <w:szCs w:val="21"/>
          <w:lang w:bidi="ar-SA"/>
        </w:rPr>
        <w:t>Performance of the aerosol sampling device</w:t>
      </w:r>
    </w:p>
    <w:p w14:paraId="52C17864" w14:textId="38A79D94" w:rsidR="00256B2F" w:rsidRDefault="00000000">
      <w:pPr>
        <w:autoSpaceDE/>
        <w:autoSpaceDN/>
        <w:snapToGrid w:val="0"/>
        <w:spacing w:before="0" w:line="240" w:lineRule="auto"/>
        <w:ind w:firstLineChars="100" w:firstLine="210"/>
        <w:jc w:val="both"/>
        <w:rPr>
          <w:rFonts w:eastAsiaTheme="minorEastAsia"/>
          <w:b/>
          <w:sz w:val="21"/>
          <w:szCs w:val="20"/>
          <w:lang w:eastAsia="zh-CN"/>
        </w:rPr>
      </w:pPr>
      <w:r>
        <w:rPr>
          <w:rFonts w:eastAsia="宋体"/>
          <w:kern w:val="2"/>
          <w:sz w:val="21"/>
          <w:szCs w:val="20"/>
          <w:lang w:eastAsia="zh-CN" w:bidi="ar-SA"/>
        </w:rPr>
        <w:t xml:space="preserve">All performance tests were conducted in an aerosol wind tunnel with a cross-sectional area of 400 </w:t>
      </w:r>
      <w:r w:rsidR="00AB1051">
        <w:rPr>
          <w:rFonts w:eastAsia="宋体"/>
          <w:kern w:val="2"/>
          <w:sz w:val="21"/>
          <w:szCs w:val="20"/>
          <w:lang w:eastAsia="zh-CN" w:bidi="ar-SA"/>
        </w:rPr>
        <w:t xml:space="preserve">mm </w:t>
      </w:r>
      <w:r>
        <w:rPr>
          <w:rFonts w:eastAsia="宋体"/>
          <w:kern w:val="2"/>
          <w:sz w:val="21"/>
          <w:szCs w:val="20"/>
          <w:lang w:eastAsia="zh-CN" w:bidi="ar-SA"/>
        </w:rPr>
        <w:t>× 400 mm. The physical sampling efficiency was tested using polydisperse solid aerosols of the Arizona test dust described previously [</w:t>
      </w:r>
      <w:r w:rsidR="00AB1051">
        <w:rPr>
          <w:rFonts w:eastAsia="宋体"/>
          <w:kern w:val="2"/>
          <w:sz w:val="21"/>
          <w:szCs w:val="20"/>
          <w:lang w:eastAsia="zh-CN" w:bidi="ar-SA"/>
        </w:rPr>
        <w:t>1</w:t>
      </w:r>
      <w:r>
        <w:rPr>
          <w:rFonts w:eastAsia="宋体"/>
          <w:kern w:val="2"/>
          <w:sz w:val="21"/>
          <w:szCs w:val="20"/>
          <w:lang w:eastAsia="zh-CN" w:bidi="ar-SA"/>
        </w:rPr>
        <w:t xml:space="preserve">]. The evaluation showed that the cutoff size of HRH-BSA 350 was approximately 2.0 </w:t>
      </w:r>
      <w:proofErr w:type="spellStart"/>
      <w:r>
        <w:rPr>
          <w:rFonts w:eastAsia="宋体"/>
          <w:kern w:val="2"/>
          <w:sz w:val="21"/>
          <w:szCs w:val="20"/>
          <w:lang w:eastAsia="zh-CN" w:bidi="ar-SA"/>
        </w:rPr>
        <w:t>μm</w:t>
      </w:r>
      <w:proofErr w:type="spellEnd"/>
      <w:r>
        <w:rPr>
          <w:rFonts w:eastAsia="宋体"/>
          <w:kern w:val="2"/>
          <w:sz w:val="21"/>
          <w:szCs w:val="20"/>
          <w:lang w:eastAsia="zh-CN" w:bidi="ar-SA"/>
        </w:rPr>
        <w:t xml:space="preserve">, reaching a maximum sampling efficiency of 80% at 5.1 </w:t>
      </w:r>
      <w:proofErr w:type="spellStart"/>
      <w:r>
        <w:rPr>
          <w:rFonts w:eastAsia="宋体"/>
          <w:kern w:val="2"/>
          <w:sz w:val="21"/>
          <w:szCs w:val="20"/>
          <w:lang w:eastAsia="zh-CN" w:bidi="ar-SA"/>
        </w:rPr>
        <w:t>μm</w:t>
      </w:r>
      <w:proofErr w:type="spellEnd"/>
      <w:r>
        <w:rPr>
          <w:rFonts w:eastAsia="宋体"/>
          <w:kern w:val="2"/>
          <w:sz w:val="21"/>
          <w:szCs w:val="20"/>
          <w:lang w:eastAsia="zh-CN" w:bidi="ar-SA"/>
        </w:rPr>
        <w:t xml:space="preserve"> (Fig. S1</w:t>
      </w:r>
      <w:r w:rsidR="00AB1051">
        <w:rPr>
          <w:rFonts w:eastAsia="宋体"/>
          <w:kern w:val="2"/>
          <w:sz w:val="21"/>
          <w:szCs w:val="20"/>
          <w:lang w:eastAsia="zh-CN" w:bidi="ar-SA"/>
        </w:rPr>
        <w:t>(</w:t>
      </w:r>
      <w:r>
        <w:rPr>
          <w:rFonts w:eastAsia="宋体"/>
          <w:kern w:val="2"/>
          <w:sz w:val="21"/>
          <w:szCs w:val="20"/>
          <w:lang w:eastAsia="zh-CN" w:bidi="ar-SA"/>
        </w:rPr>
        <w:t>c</w:t>
      </w:r>
      <w:r w:rsidR="00AB1051">
        <w:rPr>
          <w:rFonts w:eastAsia="宋体"/>
          <w:kern w:val="2"/>
          <w:sz w:val="21"/>
          <w:szCs w:val="20"/>
          <w:lang w:eastAsia="zh-CN" w:bidi="ar-SA"/>
        </w:rPr>
        <w:t>)</w:t>
      </w:r>
      <w:r>
        <w:rPr>
          <w:rFonts w:eastAsia="宋体"/>
          <w:kern w:val="2"/>
          <w:sz w:val="21"/>
          <w:szCs w:val="20"/>
          <w:lang w:eastAsia="zh-CN" w:bidi="ar-SA"/>
        </w:rPr>
        <w:t xml:space="preserve">). Three biological sampling efficiencies were evaluated using coronavirus GX_P2V (SARS coronavirus), a near-source strain of SARS-CoV-2, with a count median aerodynamic diameter (CMAD) of 0.83 </w:t>
      </w:r>
      <w:proofErr w:type="spellStart"/>
      <w:r>
        <w:rPr>
          <w:rFonts w:eastAsia="宋体"/>
          <w:kern w:val="2"/>
          <w:sz w:val="21"/>
          <w:szCs w:val="20"/>
          <w:lang w:eastAsia="zh-CN" w:bidi="ar-SA"/>
        </w:rPr>
        <w:t>μm</w:t>
      </w:r>
      <w:proofErr w:type="spellEnd"/>
      <w:r>
        <w:rPr>
          <w:rFonts w:eastAsia="宋体"/>
          <w:kern w:val="2"/>
          <w:sz w:val="21"/>
          <w:szCs w:val="20"/>
          <w:lang w:eastAsia="zh-CN" w:bidi="ar-SA"/>
        </w:rPr>
        <w:t xml:space="preserve"> and a geometric standard deviation (GSD) of 1.49. In the results (Fig. S1</w:t>
      </w:r>
      <w:r w:rsidR="00AB1051">
        <w:rPr>
          <w:rFonts w:eastAsia="宋体"/>
          <w:kern w:val="2"/>
          <w:sz w:val="21"/>
          <w:szCs w:val="20"/>
          <w:lang w:eastAsia="zh-CN" w:bidi="ar-SA"/>
        </w:rPr>
        <w:t>(</w:t>
      </w:r>
      <w:r>
        <w:rPr>
          <w:rFonts w:eastAsia="宋体"/>
          <w:kern w:val="2"/>
          <w:sz w:val="21"/>
          <w:szCs w:val="20"/>
          <w:lang w:eastAsia="zh-CN" w:bidi="ar-SA"/>
        </w:rPr>
        <w:t>d</w:t>
      </w:r>
      <w:r w:rsidR="00AB1051">
        <w:rPr>
          <w:rFonts w:eastAsia="宋体"/>
          <w:kern w:val="2"/>
          <w:sz w:val="21"/>
          <w:szCs w:val="20"/>
          <w:lang w:eastAsia="zh-CN" w:bidi="ar-SA"/>
        </w:rPr>
        <w:t>)</w:t>
      </w:r>
      <w:r>
        <w:rPr>
          <w:rFonts w:eastAsia="宋体"/>
          <w:kern w:val="2"/>
          <w:sz w:val="21"/>
          <w:szCs w:val="20"/>
          <w:lang w:eastAsia="zh-CN" w:bidi="ar-SA"/>
        </w:rPr>
        <w:t xml:space="preserve">), the enrichment ratio (virus concentration in sample compared to that in air) of HRH-BSA 350 when sampling GX_P2V was </w:t>
      </w:r>
      <w:r w:rsidR="00AB1051">
        <w:rPr>
          <w:rFonts w:eastAsia="宋体"/>
          <w:kern w:val="2"/>
          <w:sz w:val="21"/>
          <w:szCs w:val="20"/>
          <w:lang w:eastAsia="zh-CN" w:bidi="ar-SA"/>
        </w:rPr>
        <w:t>(</w:t>
      </w:r>
      <w:r>
        <w:rPr>
          <w:rFonts w:eastAsia="宋体"/>
          <w:kern w:val="2"/>
          <w:sz w:val="21"/>
          <w:szCs w:val="20"/>
          <w:lang w:eastAsia="zh-CN" w:bidi="ar-SA"/>
        </w:rPr>
        <w:t>3.9 ± 0.5</w:t>
      </w:r>
      <w:r w:rsidR="00AB1051">
        <w:rPr>
          <w:rFonts w:eastAsia="宋体"/>
          <w:kern w:val="2"/>
          <w:sz w:val="21"/>
          <w:szCs w:val="20"/>
          <w:lang w:eastAsia="zh-CN" w:bidi="ar-SA"/>
        </w:rPr>
        <w:t>)</w:t>
      </w:r>
      <w:r>
        <w:rPr>
          <w:rFonts w:eastAsia="宋体"/>
          <w:kern w:val="2"/>
          <w:sz w:val="21"/>
          <w:szCs w:val="20"/>
          <w:lang w:eastAsia="zh-CN" w:bidi="ar-SA"/>
        </w:rPr>
        <w:t xml:space="preserve"> × 10</w:t>
      </w:r>
      <w:r w:rsidRPr="00AB1051">
        <w:rPr>
          <w:rFonts w:eastAsia="宋体"/>
          <w:kern w:val="2"/>
          <w:sz w:val="21"/>
          <w:szCs w:val="20"/>
          <w:vertAlign w:val="superscript"/>
          <w:lang w:eastAsia="zh-CN" w:bidi="ar-SA"/>
        </w:rPr>
        <w:t>4</w:t>
      </w:r>
      <w:r w:rsidR="00AB1051">
        <w:rPr>
          <w:rFonts w:eastAsia="宋体"/>
          <w:kern w:val="2"/>
          <w:sz w:val="21"/>
          <w:szCs w:val="20"/>
          <w:lang w:eastAsia="zh-CN" w:bidi="ar-SA"/>
        </w:rPr>
        <w:t xml:space="preserve"> </w:t>
      </w:r>
      <w:r>
        <w:rPr>
          <w:rFonts w:eastAsia="宋体"/>
          <w:kern w:val="2"/>
          <w:sz w:val="21"/>
          <w:szCs w:val="20"/>
          <w:lang w:eastAsia="zh-CN" w:bidi="ar-SA"/>
        </w:rPr>
        <w:t>min</w:t>
      </w:r>
      <w:r w:rsidR="00AB1051" w:rsidRPr="00AB1051">
        <w:rPr>
          <w:rFonts w:eastAsia="宋体"/>
          <w:kern w:val="2"/>
          <w:sz w:val="21"/>
          <w:szCs w:val="20"/>
          <w:vertAlign w:val="superscript"/>
          <w:lang w:eastAsia="zh-CN" w:bidi="ar-SA"/>
        </w:rPr>
        <w:t>–1</w:t>
      </w:r>
      <w:r>
        <w:rPr>
          <w:rFonts w:eastAsia="宋体"/>
          <w:kern w:val="2"/>
          <w:sz w:val="21"/>
          <w:szCs w:val="20"/>
          <w:lang w:eastAsia="zh-CN" w:bidi="ar-SA"/>
        </w:rPr>
        <w:t xml:space="preserve">, which was </w:t>
      </w:r>
      <w:r w:rsidR="00AB1051">
        <w:rPr>
          <w:rFonts w:eastAsia="宋体"/>
          <w:kern w:val="2"/>
          <w:sz w:val="21"/>
          <w:szCs w:val="20"/>
          <w:lang w:eastAsia="zh-CN" w:bidi="ar-SA"/>
        </w:rPr>
        <w:t>(</w:t>
      </w:r>
      <w:r>
        <w:rPr>
          <w:rFonts w:eastAsia="宋体"/>
          <w:kern w:val="2"/>
          <w:sz w:val="21"/>
          <w:szCs w:val="20"/>
          <w:lang w:eastAsia="zh-CN" w:bidi="ar-SA"/>
        </w:rPr>
        <w:t>62</w:t>
      </w:r>
      <w:r w:rsidR="00AB1051">
        <w:rPr>
          <w:rFonts w:eastAsia="宋体"/>
          <w:kern w:val="2"/>
          <w:sz w:val="21"/>
          <w:szCs w:val="20"/>
          <w:lang w:eastAsia="zh-CN" w:bidi="ar-SA"/>
        </w:rPr>
        <w:t>.0</w:t>
      </w:r>
      <w:r>
        <w:rPr>
          <w:rFonts w:eastAsia="宋体"/>
          <w:kern w:val="2"/>
          <w:sz w:val="21"/>
          <w:szCs w:val="20"/>
          <w:lang w:eastAsia="zh-CN" w:bidi="ar-SA"/>
        </w:rPr>
        <w:t xml:space="preserve"> ± 7.9</w:t>
      </w:r>
      <w:r w:rsidR="00AB1051">
        <w:rPr>
          <w:rFonts w:eastAsia="宋体"/>
          <w:kern w:val="2"/>
          <w:sz w:val="21"/>
          <w:szCs w:val="20"/>
          <w:lang w:eastAsia="zh-CN" w:bidi="ar-SA"/>
        </w:rPr>
        <w:t>)</w:t>
      </w:r>
      <w:r>
        <w:rPr>
          <w:rFonts w:eastAsia="宋体"/>
          <w:kern w:val="2"/>
          <w:sz w:val="21"/>
          <w:szCs w:val="20"/>
          <w:lang w:eastAsia="zh-CN" w:bidi="ar-SA"/>
        </w:rPr>
        <w:t xml:space="preserve"> times higher than that of AGI-30. The total bioaerosol sampling efficiency (calculated virus concentration in air compared to real virus concentration in air) and the survival rate (alive virus proportion in sample compared to that in air) of HRH-BSA 350 were </w:t>
      </w:r>
      <w:r w:rsidR="00AB1051">
        <w:rPr>
          <w:rFonts w:eastAsia="宋体"/>
          <w:kern w:val="2"/>
          <w:sz w:val="21"/>
          <w:szCs w:val="20"/>
          <w:lang w:eastAsia="zh-CN" w:bidi="ar-SA"/>
        </w:rPr>
        <w:t>(</w:t>
      </w:r>
      <w:r>
        <w:rPr>
          <w:rFonts w:eastAsia="宋体"/>
          <w:kern w:val="2"/>
          <w:sz w:val="21"/>
          <w:szCs w:val="20"/>
          <w:lang w:eastAsia="zh-CN" w:bidi="ar-SA"/>
        </w:rPr>
        <w:t>44.2</w:t>
      </w:r>
      <w:r w:rsidR="00AB1051">
        <w:rPr>
          <w:rFonts w:eastAsia="宋体"/>
          <w:kern w:val="2"/>
          <w:sz w:val="21"/>
          <w:szCs w:val="20"/>
          <w:lang w:eastAsia="zh-CN" w:bidi="ar-SA"/>
        </w:rPr>
        <w:t xml:space="preserve">% </w:t>
      </w:r>
      <w:r>
        <w:rPr>
          <w:rFonts w:eastAsia="宋体"/>
          <w:kern w:val="2"/>
          <w:sz w:val="21"/>
          <w:szCs w:val="20"/>
          <w:lang w:eastAsia="zh-CN" w:bidi="ar-SA"/>
        </w:rPr>
        <w:t>±</w:t>
      </w:r>
      <w:r w:rsidR="00AB1051">
        <w:rPr>
          <w:rFonts w:eastAsia="宋体"/>
          <w:kern w:val="2"/>
          <w:sz w:val="21"/>
          <w:szCs w:val="20"/>
          <w:lang w:eastAsia="zh-CN" w:bidi="ar-SA"/>
        </w:rPr>
        <w:t xml:space="preserve"> </w:t>
      </w:r>
      <w:r>
        <w:rPr>
          <w:rFonts w:eastAsia="宋体"/>
          <w:kern w:val="2"/>
          <w:sz w:val="21"/>
          <w:szCs w:val="20"/>
          <w:lang w:eastAsia="zh-CN" w:bidi="ar-SA"/>
        </w:rPr>
        <w:t>6.0%</w:t>
      </w:r>
      <w:r w:rsidR="00AB1051">
        <w:rPr>
          <w:rFonts w:eastAsia="宋体"/>
          <w:kern w:val="2"/>
          <w:sz w:val="21"/>
          <w:szCs w:val="20"/>
          <w:lang w:eastAsia="zh-CN" w:bidi="ar-SA"/>
        </w:rPr>
        <w:t>)</w:t>
      </w:r>
      <w:r>
        <w:rPr>
          <w:rFonts w:eastAsia="宋体"/>
          <w:kern w:val="2"/>
          <w:sz w:val="21"/>
          <w:szCs w:val="20"/>
          <w:lang w:eastAsia="zh-CN" w:bidi="ar-SA"/>
        </w:rPr>
        <w:t xml:space="preserve"> and </w:t>
      </w:r>
      <w:r w:rsidR="00AB1051">
        <w:rPr>
          <w:rFonts w:eastAsia="宋体"/>
          <w:kern w:val="2"/>
          <w:sz w:val="21"/>
          <w:szCs w:val="20"/>
          <w:lang w:eastAsia="zh-CN" w:bidi="ar-SA"/>
        </w:rPr>
        <w:t>(</w:t>
      </w:r>
      <w:r>
        <w:rPr>
          <w:rFonts w:eastAsia="宋体"/>
          <w:kern w:val="2"/>
          <w:sz w:val="21"/>
          <w:szCs w:val="20"/>
          <w:lang w:eastAsia="zh-CN" w:bidi="ar-SA"/>
        </w:rPr>
        <w:t>96.0</w:t>
      </w:r>
      <w:r w:rsidR="00AB1051">
        <w:rPr>
          <w:rFonts w:eastAsia="宋体"/>
          <w:kern w:val="2"/>
          <w:sz w:val="21"/>
          <w:szCs w:val="20"/>
          <w:lang w:eastAsia="zh-CN" w:bidi="ar-SA"/>
        </w:rPr>
        <w:t xml:space="preserve">% </w:t>
      </w:r>
      <w:r>
        <w:rPr>
          <w:rFonts w:eastAsia="宋体"/>
          <w:kern w:val="2"/>
          <w:sz w:val="21"/>
          <w:szCs w:val="20"/>
          <w:lang w:eastAsia="zh-CN" w:bidi="ar-SA"/>
        </w:rPr>
        <w:t>±</w:t>
      </w:r>
      <w:r w:rsidR="00AB1051">
        <w:rPr>
          <w:rFonts w:eastAsia="宋体"/>
          <w:kern w:val="2"/>
          <w:sz w:val="21"/>
          <w:szCs w:val="20"/>
          <w:lang w:eastAsia="zh-CN" w:bidi="ar-SA"/>
        </w:rPr>
        <w:t xml:space="preserve"> </w:t>
      </w:r>
      <w:r>
        <w:rPr>
          <w:rFonts w:eastAsia="宋体"/>
          <w:kern w:val="2"/>
          <w:sz w:val="21"/>
          <w:szCs w:val="20"/>
          <w:lang w:eastAsia="zh-CN" w:bidi="ar-SA"/>
        </w:rPr>
        <w:t>26.1%</w:t>
      </w:r>
      <w:r w:rsidR="00AB1051">
        <w:rPr>
          <w:rFonts w:eastAsia="宋体"/>
          <w:kern w:val="2"/>
          <w:sz w:val="21"/>
          <w:szCs w:val="20"/>
          <w:lang w:eastAsia="zh-CN" w:bidi="ar-SA"/>
        </w:rPr>
        <w:t>)</w:t>
      </w:r>
      <w:r>
        <w:rPr>
          <w:rFonts w:eastAsia="宋体"/>
          <w:kern w:val="2"/>
          <w:sz w:val="21"/>
          <w:szCs w:val="20"/>
          <w:lang w:eastAsia="zh-CN" w:bidi="ar-SA"/>
        </w:rPr>
        <w:t xml:space="preserve"> </w:t>
      </w:r>
      <w:r w:rsidR="00826265">
        <w:rPr>
          <w:rFonts w:eastAsia="宋体"/>
          <w:kern w:val="2"/>
          <w:sz w:val="21"/>
          <w:szCs w:val="20"/>
          <w:lang w:eastAsia="zh-CN" w:bidi="ar-SA"/>
        </w:rPr>
        <w:t>of</w:t>
      </w:r>
      <w:r>
        <w:rPr>
          <w:rFonts w:eastAsia="宋体"/>
          <w:kern w:val="2"/>
          <w:sz w:val="21"/>
          <w:szCs w:val="20"/>
          <w:lang w:eastAsia="zh-CN" w:bidi="ar-SA"/>
        </w:rPr>
        <w:t xml:space="preserve"> those of AGI-30, respectively. In conclusion, HRH-BSA350 showed a superior enrichment efficiency for aerosol collection at the cost of impaired accuracy for aerosol concentration quantification; hence, it was suitable for sampling bioaerosols at low concentrations in ambient air for subsequent virus qualitative detection.</w:t>
      </w:r>
    </w:p>
    <w:p w14:paraId="63347FA0" w14:textId="77777777" w:rsidR="00256B2F" w:rsidRDefault="00000000">
      <w:pPr>
        <w:spacing w:beforeLines="50"/>
        <w:jc w:val="center"/>
        <w:rPr>
          <w:b/>
        </w:rPr>
      </w:pPr>
      <w:r>
        <w:rPr>
          <w:rFonts w:eastAsia="宋体"/>
          <w:noProof/>
          <w:szCs w:val="21"/>
          <w:shd w:val="clear" w:color="auto" w:fill="FFFFFF"/>
          <w:lang w:eastAsia="zh-CN"/>
        </w:rPr>
        <w:lastRenderedPageBreak/>
        <w:drawing>
          <wp:inline distT="0" distB="0" distL="0" distR="0" wp14:anchorId="3A80ABC3" wp14:editId="60408E6F">
            <wp:extent cx="4124325" cy="3161307"/>
            <wp:effectExtent l="0" t="0" r="0" b="1270"/>
            <wp:docPr id="1514696459" name="图片 1514696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696459" name="图片 1514696459"/>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74563" cy="3199814"/>
                    </a:xfrm>
                    <a:prstGeom prst="rect">
                      <a:avLst/>
                    </a:prstGeom>
                    <a:noFill/>
                  </pic:spPr>
                </pic:pic>
              </a:graphicData>
            </a:graphic>
          </wp:inline>
        </w:drawing>
      </w:r>
    </w:p>
    <w:p w14:paraId="05DE1126" w14:textId="699B3B18" w:rsidR="00AB1051" w:rsidRDefault="00000000" w:rsidP="00AB1051">
      <w:pPr>
        <w:snapToGrid w:val="0"/>
        <w:spacing w:before="0" w:line="240" w:lineRule="auto"/>
        <w:rPr>
          <w:bCs/>
          <w:sz w:val="18"/>
          <w:szCs w:val="18"/>
        </w:rPr>
      </w:pPr>
      <w:r>
        <w:rPr>
          <w:b/>
          <w:sz w:val="18"/>
          <w:szCs w:val="18"/>
        </w:rPr>
        <w:t xml:space="preserve">Fig. S1. </w:t>
      </w:r>
      <w:r w:rsidRPr="00AB1051">
        <w:rPr>
          <w:bCs/>
          <w:sz w:val="18"/>
          <w:szCs w:val="18"/>
        </w:rPr>
        <w:t>Working principle and performance of the aerosol sampling device in this study.</w:t>
      </w:r>
      <w:r w:rsidR="00AB1051" w:rsidRPr="00AB1051">
        <w:rPr>
          <w:rFonts w:eastAsiaTheme="minorEastAsia" w:hint="eastAsia"/>
          <w:bCs/>
          <w:sz w:val="18"/>
          <w:szCs w:val="18"/>
          <w:lang w:eastAsia="zh-CN"/>
        </w:rPr>
        <w:t xml:space="preserve"> </w:t>
      </w:r>
      <w:r w:rsidRPr="00AB1051">
        <w:rPr>
          <w:bCs/>
          <w:sz w:val="18"/>
          <w:szCs w:val="18"/>
        </w:rPr>
        <w:t xml:space="preserve">(a) Working </w:t>
      </w:r>
      <w:proofErr w:type="gramStart"/>
      <w:r w:rsidRPr="00AB1051">
        <w:rPr>
          <w:bCs/>
          <w:sz w:val="18"/>
          <w:szCs w:val="18"/>
        </w:rPr>
        <w:t>principle</w:t>
      </w:r>
      <w:proofErr w:type="gramEnd"/>
      <w:r w:rsidRPr="00AB1051">
        <w:rPr>
          <w:bCs/>
          <w:sz w:val="18"/>
          <w:szCs w:val="18"/>
        </w:rPr>
        <w:t xml:space="preserve"> diagram and (b)</w:t>
      </w:r>
      <w:r w:rsidRPr="00AB1051">
        <w:rPr>
          <w:rFonts w:eastAsia="宋体"/>
          <w:bCs/>
          <w:sz w:val="18"/>
          <w:szCs w:val="18"/>
          <w:lang w:eastAsia="zh-CN"/>
        </w:rPr>
        <w:t xml:space="preserve"> device image </w:t>
      </w:r>
      <w:r w:rsidRPr="00AB1051">
        <w:rPr>
          <w:bCs/>
          <w:sz w:val="18"/>
          <w:szCs w:val="18"/>
        </w:rPr>
        <w:t xml:space="preserve">of </w:t>
      </w:r>
      <w:r w:rsidRPr="00AB1051">
        <w:rPr>
          <w:rFonts w:eastAsia="宋体"/>
          <w:bCs/>
          <w:kern w:val="2"/>
          <w:sz w:val="18"/>
          <w:szCs w:val="18"/>
          <w:lang w:eastAsia="zh-CN" w:bidi="ar-SA"/>
        </w:rPr>
        <w:t>HRH-BSA 350</w:t>
      </w:r>
      <w:r w:rsidRPr="00AB1051">
        <w:rPr>
          <w:bCs/>
          <w:sz w:val="18"/>
          <w:szCs w:val="18"/>
        </w:rPr>
        <w:t>. (c) Physical sampling efficiency. (d) Biological sampling efficiencies. All experiments were replicated three times.</w:t>
      </w:r>
      <w:bookmarkStart w:id="3" w:name="_Hlk126316518"/>
      <w:bookmarkEnd w:id="1"/>
    </w:p>
    <w:p w14:paraId="08BD38AC" w14:textId="77777777" w:rsidR="000228ED" w:rsidRDefault="000228ED" w:rsidP="000228ED">
      <w:pPr>
        <w:pStyle w:val="a0"/>
        <w:ind w:left="0"/>
      </w:pPr>
    </w:p>
    <w:p w14:paraId="48107965" w14:textId="77777777" w:rsidR="000228ED" w:rsidRDefault="000228ED" w:rsidP="000228ED">
      <w:pPr>
        <w:autoSpaceDE/>
        <w:autoSpaceDN/>
        <w:snapToGrid w:val="0"/>
        <w:spacing w:before="0" w:line="240" w:lineRule="auto"/>
        <w:jc w:val="both"/>
        <w:rPr>
          <w:b/>
          <w:bCs/>
          <w:sz w:val="18"/>
          <w:szCs w:val="18"/>
          <w:lang w:eastAsia="zh-CN" w:bidi="ar-SA"/>
        </w:rPr>
      </w:pPr>
      <w:r>
        <w:rPr>
          <w:b/>
          <w:bCs/>
          <w:sz w:val="18"/>
          <w:szCs w:val="18"/>
          <w:lang w:eastAsia="zh-CN" w:bidi="ar-SA"/>
        </w:rPr>
        <w:t>Table S1</w:t>
      </w:r>
    </w:p>
    <w:p w14:paraId="3B0DFD4B" w14:textId="77777777" w:rsidR="000228ED" w:rsidRPr="00F13618" w:rsidRDefault="000228ED" w:rsidP="000228ED">
      <w:pPr>
        <w:autoSpaceDE/>
        <w:autoSpaceDN/>
        <w:snapToGrid w:val="0"/>
        <w:spacing w:before="0" w:line="240" w:lineRule="auto"/>
        <w:jc w:val="both"/>
        <w:rPr>
          <w:szCs w:val="24"/>
          <w:lang w:eastAsia="zh-CN" w:bidi="ar-SA"/>
        </w:rPr>
      </w:pPr>
      <w:r w:rsidRPr="00F13618">
        <w:rPr>
          <w:sz w:val="18"/>
          <w:szCs w:val="18"/>
          <w:lang w:eastAsia="zh-CN" w:bidi="ar-SA"/>
        </w:rPr>
        <w:t>Accession numbers in GISAID and the collection date of the 12 reference sequences.</w:t>
      </w:r>
    </w:p>
    <w:tbl>
      <w:tblPr>
        <w:tblStyle w:val="a7"/>
        <w:tblW w:w="4999" w:type="pct"/>
        <w:tblInd w:w="0" w:type="dxa"/>
        <w:tblBorders>
          <w:left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
      <w:tblGrid>
        <w:gridCol w:w="3664"/>
        <w:gridCol w:w="3668"/>
        <w:gridCol w:w="3136"/>
      </w:tblGrid>
      <w:tr w:rsidR="000228ED" w14:paraId="38884BBD" w14:textId="77777777" w:rsidTr="00A2644D">
        <w:trPr>
          <w:trHeight w:val="333"/>
        </w:trPr>
        <w:tc>
          <w:tcPr>
            <w:tcW w:w="1750" w:type="pct"/>
            <w:tcBorders>
              <w:top w:val="single" w:sz="4" w:space="0" w:color="auto"/>
              <w:bottom w:val="single" w:sz="4" w:space="0" w:color="auto"/>
            </w:tcBorders>
          </w:tcPr>
          <w:p w14:paraId="22BB0BC7" w14:textId="77777777" w:rsidR="000228ED" w:rsidRDefault="000228ED" w:rsidP="00A2644D">
            <w:pPr>
              <w:autoSpaceDE/>
              <w:autoSpaceDN/>
              <w:adjustRightInd/>
              <w:spacing w:before="0"/>
              <w:rPr>
                <w:rFonts w:eastAsiaTheme="minorEastAsia"/>
                <w:kern w:val="2"/>
                <w:sz w:val="15"/>
                <w:szCs w:val="15"/>
                <w:lang w:eastAsia="zh-CN" w:bidi="ar-SA"/>
              </w:rPr>
            </w:pPr>
            <w:r>
              <w:rPr>
                <w:rFonts w:eastAsia="宋体"/>
                <w:color w:val="000033"/>
                <w:kern w:val="2"/>
                <w:sz w:val="15"/>
                <w:szCs w:val="15"/>
                <w:lang w:eastAsia="zh-CN" w:bidi="ar-SA"/>
              </w:rPr>
              <w:t>Accession number</w:t>
            </w:r>
          </w:p>
        </w:tc>
        <w:tc>
          <w:tcPr>
            <w:tcW w:w="1752" w:type="pct"/>
            <w:tcBorders>
              <w:top w:val="single" w:sz="4" w:space="0" w:color="auto"/>
              <w:bottom w:val="single" w:sz="4" w:space="0" w:color="auto"/>
            </w:tcBorders>
          </w:tcPr>
          <w:p w14:paraId="7CBF897C" w14:textId="77777777" w:rsidR="000228ED" w:rsidRDefault="000228ED" w:rsidP="00A2644D">
            <w:pPr>
              <w:autoSpaceDE/>
              <w:autoSpaceDN/>
              <w:adjustRightInd/>
              <w:spacing w:before="0"/>
              <w:rPr>
                <w:rFonts w:eastAsiaTheme="minorEastAsia"/>
                <w:kern w:val="2"/>
                <w:sz w:val="15"/>
                <w:szCs w:val="15"/>
                <w:lang w:eastAsia="zh-CN" w:bidi="ar-SA"/>
              </w:rPr>
            </w:pPr>
            <w:r>
              <w:rPr>
                <w:rFonts w:eastAsia="宋体"/>
                <w:color w:val="000033"/>
                <w:kern w:val="2"/>
                <w:sz w:val="15"/>
                <w:szCs w:val="15"/>
                <w:lang w:eastAsia="zh-CN" w:bidi="ar-SA"/>
              </w:rPr>
              <w:t>Collection date</w:t>
            </w:r>
          </w:p>
        </w:tc>
        <w:tc>
          <w:tcPr>
            <w:tcW w:w="1498" w:type="pct"/>
            <w:tcBorders>
              <w:top w:val="single" w:sz="4" w:space="0" w:color="auto"/>
              <w:bottom w:val="single" w:sz="4" w:space="0" w:color="auto"/>
            </w:tcBorders>
          </w:tcPr>
          <w:p w14:paraId="5B0A6317" w14:textId="77777777" w:rsidR="000228ED" w:rsidRDefault="000228ED" w:rsidP="00A2644D">
            <w:pPr>
              <w:autoSpaceDE/>
              <w:autoSpaceDN/>
              <w:adjustRightInd/>
              <w:spacing w:before="0"/>
              <w:rPr>
                <w:rFonts w:eastAsia="宋体"/>
                <w:color w:val="000033"/>
                <w:kern w:val="2"/>
                <w:sz w:val="15"/>
                <w:szCs w:val="15"/>
                <w:lang w:eastAsia="zh-CN" w:bidi="ar-SA"/>
              </w:rPr>
            </w:pPr>
            <w:r>
              <w:rPr>
                <w:rFonts w:eastAsia="宋体"/>
                <w:color w:val="000033"/>
                <w:kern w:val="2"/>
                <w:sz w:val="15"/>
                <w:szCs w:val="15"/>
                <w:lang w:eastAsia="zh-CN" w:bidi="ar-SA"/>
              </w:rPr>
              <w:t>Collection location</w:t>
            </w:r>
          </w:p>
        </w:tc>
      </w:tr>
      <w:tr w:rsidR="000228ED" w14:paraId="3D7C3096" w14:textId="77777777" w:rsidTr="00A2644D">
        <w:trPr>
          <w:trHeight w:val="316"/>
        </w:trPr>
        <w:tc>
          <w:tcPr>
            <w:tcW w:w="1750" w:type="pct"/>
            <w:tcBorders>
              <w:top w:val="single" w:sz="4" w:space="0" w:color="auto"/>
            </w:tcBorders>
          </w:tcPr>
          <w:p w14:paraId="5FCE5817"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EPI ISL 16137928</w:t>
            </w:r>
          </w:p>
        </w:tc>
        <w:tc>
          <w:tcPr>
            <w:tcW w:w="1752" w:type="pct"/>
            <w:tcBorders>
              <w:top w:val="single" w:sz="4" w:space="0" w:color="auto"/>
            </w:tcBorders>
          </w:tcPr>
          <w:p w14:paraId="0A1660AC"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2022/4/10</w:t>
            </w:r>
          </w:p>
        </w:tc>
        <w:tc>
          <w:tcPr>
            <w:tcW w:w="1498" w:type="pct"/>
            <w:tcBorders>
              <w:top w:val="single" w:sz="4" w:space="0" w:color="auto"/>
            </w:tcBorders>
          </w:tcPr>
          <w:p w14:paraId="178752B2" w14:textId="77777777" w:rsidR="000228ED" w:rsidRDefault="000228ED" w:rsidP="00A2644D">
            <w:pPr>
              <w:autoSpaceDE/>
              <w:autoSpaceDN/>
              <w:adjustRightInd/>
              <w:spacing w:before="0"/>
              <w:rPr>
                <w:rFonts w:eastAsiaTheme="minorEastAsia"/>
                <w:kern w:val="2"/>
                <w:sz w:val="15"/>
                <w:szCs w:val="15"/>
                <w:lang w:eastAsia="zh-CN" w:bidi="ar-SA"/>
              </w:rPr>
            </w:pPr>
            <w:r>
              <w:rPr>
                <w:rFonts w:eastAsiaTheme="minorEastAsia"/>
                <w:kern w:val="2"/>
                <w:sz w:val="15"/>
                <w:szCs w:val="15"/>
                <w:lang w:eastAsia="zh-CN" w:bidi="ar-SA"/>
              </w:rPr>
              <w:t>Shanghai, China</w:t>
            </w:r>
          </w:p>
        </w:tc>
      </w:tr>
      <w:tr w:rsidR="000228ED" w14:paraId="382F8BF9" w14:textId="77777777" w:rsidTr="00A2644D">
        <w:trPr>
          <w:trHeight w:val="330"/>
        </w:trPr>
        <w:tc>
          <w:tcPr>
            <w:tcW w:w="1750" w:type="pct"/>
          </w:tcPr>
          <w:p w14:paraId="6060ADA0"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EPI ISL 16137933</w:t>
            </w:r>
          </w:p>
        </w:tc>
        <w:tc>
          <w:tcPr>
            <w:tcW w:w="1752" w:type="pct"/>
          </w:tcPr>
          <w:p w14:paraId="77F1C9BC"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2022/4/9</w:t>
            </w:r>
          </w:p>
        </w:tc>
        <w:tc>
          <w:tcPr>
            <w:tcW w:w="1498" w:type="pct"/>
          </w:tcPr>
          <w:p w14:paraId="11D51FBF" w14:textId="77777777" w:rsidR="000228ED" w:rsidRDefault="000228ED" w:rsidP="00A2644D">
            <w:pPr>
              <w:autoSpaceDE/>
              <w:autoSpaceDN/>
              <w:adjustRightInd/>
              <w:spacing w:before="0"/>
              <w:rPr>
                <w:rFonts w:eastAsiaTheme="minorEastAsia"/>
                <w:kern w:val="2"/>
                <w:sz w:val="15"/>
                <w:szCs w:val="15"/>
                <w:lang w:eastAsia="zh-CN" w:bidi="ar-SA"/>
              </w:rPr>
            </w:pPr>
            <w:r>
              <w:rPr>
                <w:rFonts w:eastAsiaTheme="minorEastAsia"/>
                <w:kern w:val="2"/>
                <w:sz w:val="15"/>
                <w:szCs w:val="15"/>
                <w:lang w:eastAsia="zh-CN" w:bidi="ar-SA"/>
              </w:rPr>
              <w:t>Shanghai, China</w:t>
            </w:r>
          </w:p>
        </w:tc>
      </w:tr>
      <w:tr w:rsidR="000228ED" w14:paraId="1BAA866B" w14:textId="77777777" w:rsidTr="00A2644D">
        <w:trPr>
          <w:trHeight w:val="330"/>
        </w:trPr>
        <w:tc>
          <w:tcPr>
            <w:tcW w:w="1750" w:type="pct"/>
          </w:tcPr>
          <w:p w14:paraId="1319A208"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EPI ISL 16137940</w:t>
            </w:r>
          </w:p>
        </w:tc>
        <w:tc>
          <w:tcPr>
            <w:tcW w:w="1752" w:type="pct"/>
          </w:tcPr>
          <w:p w14:paraId="5969C6D3"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2022/4/7</w:t>
            </w:r>
          </w:p>
        </w:tc>
        <w:tc>
          <w:tcPr>
            <w:tcW w:w="1498" w:type="pct"/>
          </w:tcPr>
          <w:p w14:paraId="49FD7627" w14:textId="77777777" w:rsidR="000228ED" w:rsidRDefault="000228ED" w:rsidP="00A2644D">
            <w:pPr>
              <w:autoSpaceDE/>
              <w:autoSpaceDN/>
              <w:adjustRightInd/>
              <w:spacing w:before="0"/>
              <w:rPr>
                <w:rFonts w:eastAsiaTheme="minorEastAsia"/>
                <w:kern w:val="2"/>
                <w:sz w:val="15"/>
                <w:szCs w:val="15"/>
                <w:lang w:eastAsia="zh-CN" w:bidi="ar-SA"/>
              </w:rPr>
            </w:pPr>
            <w:r>
              <w:rPr>
                <w:rFonts w:eastAsiaTheme="minorEastAsia"/>
                <w:kern w:val="2"/>
                <w:sz w:val="15"/>
                <w:szCs w:val="15"/>
                <w:lang w:eastAsia="zh-CN" w:bidi="ar-SA"/>
              </w:rPr>
              <w:t>Shanghai, China</w:t>
            </w:r>
          </w:p>
        </w:tc>
      </w:tr>
      <w:tr w:rsidR="000228ED" w14:paraId="375BDEF9" w14:textId="77777777" w:rsidTr="00A2644D">
        <w:trPr>
          <w:trHeight w:val="288"/>
        </w:trPr>
        <w:tc>
          <w:tcPr>
            <w:tcW w:w="1750" w:type="pct"/>
          </w:tcPr>
          <w:p w14:paraId="77F37EF3"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EPI ISL 16137930</w:t>
            </w:r>
          </w:p>
        </w:tc>
        <w:tc>
          <w:tcPr>
            <w:tcW w:w="1752" w:type="pct"/>
          </w:tcPr>
          <w:p w14:paraId="535A2670"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2022/4/10</w:t>
            </w:r>
          </w:p>
        </w:tc>
        <w:tc>
          <w:tcPr>
            <w:tcW w:w="1498" w:type="pct"/>
          </w:tcPr>
          <w:p w14:paraId="448181C3" w14:textId="77777777" w:rsidR="000228ED" w:rsidRDefault="000228ED" w:rsidP="00A2644D">
            <w:pPr>
              <w:autoSpaceDE/>
              <w:autoSpaceDN/>
              <w:adjustRightInd/>
              <w:spacing w:before="0"/>
              <w:rPr>
                <w:rFonts w:eastAsiaTheme="minorEastAsia"/>
                <w:kern w:val="2"/>
                <w:sz w:val="15"/>
                <w:szCs w:val="15"/>
                <w:lang w:eastAsia="zh-CN" w:bidi="ar-SA"/>
              </w:rPr>
            </w:pPr>
            <w:r>
              <w:rPr>
                <w:rFonts w:eastAsiaTheme="minorEastAsia"/>
                <w:kern w:val="2"/>
                <w:sz w:val="15"/>
                <w:szCs w:val="15"/>
                <w:lang w:eastAsia="zh-CN" w:bidi="ar-SA"/>
              </w:rPr>
              <w:t>Shanghai, China</w:t>
            </w:r>
          </w:p>
        </w:tc>
      </w:tr>
      <w:tr w:rsidR="000228ED" w14:paraId="26766278" w14:textId="77777777" w:rsidTr="00A2644D">
        <w:trPr>
          <w:trHeight w:val="371"/>
        </w:trPr>
        <w:tc>
          <w:tcPr>
            <w:tcW w:w="1750" w:type="pct"/>
          </w:tcPr>
          <w:p w14:paraId="5A85B4B9"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EPI ISL 13352744</w:t>
            </w:r>
          </w:p>
        </w:tc>
        <w:tc>
          <w:tcPr>
            <w:tcW w:w="1752" w:type="pct"/>
          </w:tcPr>
          <w:p w14:paraId="5672F4DF"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2022/4/4</w:t>
            </w:r>
          </w:p>
        </w:tc>
        <w:tc>
          <w:tcPr>
            <w:tcW w:w="1498" w:type="pct"/>
          </w:tcPr>
          <w:p w14:paraId="1328FCC9" w14:textId="77777777" w:rsidR="000228ED" w:rsidRDefault="000228ED" w:rsidP="00A2644D">
            <w:pPr>
              <w:autoSpaceDE/>
              <w:autoSpaceDN/>
              <w:adjustRightInd/>
              <w:spacing w:before="0"/>
              <w:rPr>
                <w:rFonts w:eastAsiaTheme="minorEastAsia"/>
                <w:kern w:val="2"/>
                <w:sz w:val="15"/>
                <w:szCs w:val="15"/>
                <w:lang w:eastAsia="zh-CN" w:bidi="ar-SA"/>
              </w:rPr>
            </w:pPr>
            <w:r>
              <w:rPr>
                <w:rFonts w:eastAsiaTheme="minorEastAsia"/>
                <w:kern w:val="2"/>
                <w:sz w:val="15"/>
                <w:szCs w:val="15"/>
                <w:lang w:eastAsia="zh-CN" w:bidi="ar-SA"/>
              </w:rPr>
              <w:t>Shanghai, China</w:t>
            </w:r>
          </w:p>
        </w:tc>
      </w:tr>
      <w:tr w:rsidR="000228ED" w14:paraId="7DA923EF" w14:textId="77777777" w:rsidTr="00A2644D">
        <w:trPr>
          <w:trHeight w:val="316"/>
        </w:trPr>
        <w:tc>
          <w:tcPr>
            <w:tcW w:w="1750" w:type="pct"/>
          </w:tcPr>
          <w:p w14:paraId="26AC58F5"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EPI ISL 12461216</w:t>
            </w:r>
          </w:p>
        </w:tc>
        <w:tc>
          <w:tcPr>
            <w:tcW w:w="1752" w:type="pct"/>
          </w:tcPr>
          <w:p w14:paraId="3CDD6DCB"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2022/3/14</w:t>
            </w:r>
          </w:p>
        </w:tc>
        <w:tc>
          <w:tcPr>
            <w:tcW w:w="1498" w:type="pct"/>
          </w:tcPr>
          <w:p w14:paraId="15C9E6D5" w14:textId="77777777" w:rsidR="000228ED" w:rsidRDefault="000228ED" w:rsidP="00A2644D">
            <w:pPr>
              <w:autoSpaceDE/>
              <w:autoSpaceDN/>
              <w:adjustRightInd/>
              <w:spacing w:before="0"/>
              <w:rPr>
                <w:rFonts w:eastAsiaTheme="minorEastAsia"/>
                <w:kern w:val="2"/>
                <w:sz w:val="15"/>
                <w:szCs w:val="15"/>
                <w:lang w:eastAsia="zh-CN" w:bidi="ar-SA"/>
              </w:rPr>
            </w:pPr>
            <w:r>
              <w:rPr>
                <w:rFonts w:eastAsiaTheme="minorEastAsia"/>
                <w:kern w:val="2"/>
                <w:sz w:val="15"/>
                <w:szCs w:val="15"/>
                <w:lang w:eastAsia="zh-CN" w:bidi="ar-SA"/>
              </w:rPr>
              <w:t>Shanghai, China</w:t>
            </w:r>
          </w:p>
        </w:tc>
      </w:tr>
      <w:tr w:rsidR="000228ED" w14:paraId="32E05779" w14:textId="77777777" w:rsidTr="00A2644D">
        <w:trPr>
          <w:trHeight w:val="329"/>
        </w:trPr>
        <w:tc>
          <w:tcPr>
            <w:tcW w:w="1750" w:type="pct"/>
          </w:tcPr>
          <w:p w14:paraId="5CD48E9E"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EPI ISL 12461212</w:t>
            </w:r>
          </w:p>
        </w:tc>
        <w:tc>
          <w:tcPr>
            <w:tcW w:w="1752" w:type="pct"/>
          </w:tcPr>
          <w:p w14:paraId="61703AE8"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2022/2/19</w:t>
            </w:r>
          </w:p>
        </w:tc>
        <w:tc>
          <w:tcPr>
            <w:tcW w:w="1498" w:type="pct"/>
          </w:tcPr>
          <w:p w14:paraId="2990CB9F" w14:textId="77777777" w:rsidR="000228ED" w:rsidRDefault="000228ED" w:rsidP="00A2644D">
            <w:pPr>
              <w:autoSpaceDE/>
              <w:autoSpaceDN/>
              <w:adjustRightInd/>
              <w:spacing w:before="0"/>
              <w:rPr>
                <w:rFonts w:eastAsiaTheme="minorEastAsia"/>
                <w:kern w:val="2"/>
                <w:sz w:val="15"/>
                <w:szCs w:val="15"/>
                <w:lang w:eastAsia="zh-CN" w:bidi="ar-SA"/>
              </w:rPr>
            </w:pPr>
            <w:r>
              <w:rPr>
                <w:rFonts w:eastAsiaTheme="minorEastAsia"/>
                <w:kern w:val="2"/>
                <w:sz w:val="15"/>
                <w:szCs w:val="15"/>
                <w:lang w:eastAsia="zh-CN" w:bidi="ar-SA"/>
              </w:rPr>
              <w:t>Shanghai, China</w:t>
            </w:r>
          </w:p>
        </w:tc>
      </w:tr>
      <w:tr w:rsidR="000228ED" w14:paraId="7851B05D" w14:textId="77777777" w:rsidTr="00A2644D">
        <w:trPr>
          <w:trHeight w:val="302"/>
        </w:trPr>
        <w:tc>
          <w:tcPr>
            <w:tcW w:w="1750" w:type="pct"/>
          </w:tcPr>
          <w:p w14:paraId="63888616"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EPI ISL 16137935</w:t>
            </w:r>
          </w:p>
        </w:tc>
        <w:tc>
          <w:tcPr>
            <w:tcW w:w="1752" w:type="pct"/>
          </w:tcPr>
          <w:p w14:paraId="078CDEA0"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2022/4/9</w:t>
            </w:r>
          </w:p>
        </w:tc>
        <w:tc>
          <w:tcPr>
            <w:tcW w:w="1498" w:type="pct"/>
          </w:tcPr>
          <w:p w14:paraId="4245516E" w14:textId="77777777" w:rsidR="000228ED" w:rsidRDefault="000228ED" w:rsidP="00A2644D">
            <w:pPr>
              <w:autoSpaceDE/>
              <w:autoSpaceDN/>
              <w:adjustRightInd/>
              <w:spacing w:before="0"/>
              <w:rPr>
                <w:rFonts w:eastAsiaTheme="minorEastAsia"/>
                <w:kern w:val="2"/>
                <w:sz w:val="15"/>
                <w:szCs w:val="15"/>
                <w:lang w:eastAsia="zh-CN" w:bidi="ar-SA"/>
              </w:rPr>
            </w:pPr>
            <w:r>
              <w:rPr>
                <w:rFonts w:eastAsiaTheme="minorEastAsia"/>
                <w:kern w:val="2"/>
                <w:sz w:val="15"/>
                <w:szCs w:val="15"/>
                <w:lang w:eastAsia="zh-CN" w:bidi="ar-SA"/>
              </w:rPr>
              <w:t>Shanghai, China</w:t>
            </w:r>
          </w:p>
        </w:tc>
      </w:tr>
      <w:tr w:rsidR="000228ED" w14:paraId="5A08BE28" w14:textId="77777777" w:rsidTr="00A2644D">
        <w:trPr>
          <w:trHeight w:val="316"/>
        </w:trPr>
        <w:tc>
          <w:tcPr>
            <w:tcW w:w="1750" w:type="pct"/>
          </w:tcPr>
          <w:p w14:paraId="70E7E3F5"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EPI ISL 16137925</w:t>
            </w:r>
          </w:p>
        </w:tc>
        <w:tc>
          <w:tcPr>
            <w:tcW w:w="1752" w:type="pct"/>
          </w:tcPr>
          <w:p w14:paraId="0B2117BB"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2022/4/12</w:t>
            </w:r>
          </w:p>
        </w:tc>
        <w:tc>
          <w:tcPr>
            <w:tcW w:w="1498" w:type="pct"/>
          </w:tcPr>
          <w:p w14:paraId="0F981FCD" w14:textId="77777777" w:rsidR="000228ED" w:rsidRDefault="000228ED" w:rsidP="00A2644D">
            <w:pPr>
              <w:autoSpaceDE/>
              <w:autoSpaceDN/>
              <w:adjustRightInd/>
              <w:spacing w:before="0"/>
              <w:rPr>
                <w:rFonts w:eastAsiaTheme="minorEastAsia"/>
                <w:kern w:val="2"/>
                <w:sz w:val="15"/>
                <w:szCs w:val="15"/>
                <w:lang w:eastAsia="zh-CN" w:bidi="ar-SA"/>
              </w:rPr>
            </w:pPr>
            <w:r>
              <w:rPr>
                <w:rFonts w:eastAsiaTheme="minorEastAsia"/>
                <w:kern w:val="2"/>
                <w:sz w:val="15"/>
                <w:szCs w:val="15"/>
                <w:lang w:eastAsia="zh-CN" w:bidi="ar-SA"/>
              </w:rPr>
              <w:t>Shanghai, China</w:t>
            </w:r>
          </w:p>
        </w:tc>
      </w:tr>
      <w:tr w:rsidR="000228ED" w14:paraId="0139AFFF" w14:textId="77777777" w:rsidTr="00A2644D">
        <w:trPr>
          <w:trHeight w:val="303"/>
        </w:trPr>
        <w:tc>
          <w:tcPr>
            <w:tcW w:w="1750" w:type="pct"/>
          </w:tcPr>
          <w:p w14:paraId="1C73F7B3"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EPI ISL 16137922</w:t>
            </w:r>
          </w:p>
        </w:tc>
        <w:tc>
          <w:tcPr>
            <w:tcW w:w="1752" w:type="pct"/>
          </w:tcPr>
          <w:p w14:paraId="27F24879"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2022/4/19</w:t>
            </w:r>
          </w:p>
        </w:tc>
        <w:tc>
          <w:tcPr>
            <w:tcW w:w="1498" w:type="pct"/>
          </w:tcPr>
          <w:p w14:paraId="14D31783" w14:textId="77777777" w:rsidR="000228ED" w:rsidRDefault="000228ED" w:rsidP="00A2644D">
            <w:pPr>
              <w:autoSpaceDE/>
              <w:autoSpaceDN/>
              <w:adjustRightInd/>
              <w:spacing w:before="0"/>
              <w:rPr>
                <w:rFonts w:eastAsiaTheme="minorEastAsia"/>
                <w:kern w:val="2"/>
                <w:sz w:val="15"/>
                <w:szCs w:val="15"/>
                <w:lang w:eastAsia="zh-CN" w:bidi="ar-SA"/>
              </w:rPr>
            </w:pPr>
            <w:r>
              <w:rPr>
                <w:rFonts w:eastAsiaTheme="minorEastAsia"/>
                <w:kern w:val="2"/>
                <w:sz w:val="15"/>
                <w:szCs w:val="15"/>
                <w:lang w:eastAsia="zh-CN" w:bidi="ar-SA"/>
              </w:rPr>
              <w:t>Shanghai, China</w:t>
            </w:r>
          </w:p>
        </w:tc>
      </w:tr>
      <w:tr w:rsidR="000228ED" w14:paraId="73FC485A" w14:textId="77777777" w:rsidTr="00A2644D">
        <w:trPr>
          <w:trHeight w:val="330"/>
        </w:trPr>
        <w:tc>
          <w:tcPr>
            <w:tcW w:w="1750" w:type="pct"/>
          </w:tcPr>
          <w:p w14:paraId="1D216DFB"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EPI ISL 16137929</w:t>
            </w:r>
          </w:p>
        </w:tc>
        <w:tc>
          <w:tcPr>
            <w:tcW w:w="1752" w:type="pct"/>
          </w:tcPr>
          <w:p w14:paraId="2684ED55"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2022/4/10</w:t>
            </w:r>
          </w:p>
        </w:tc>
        <w:tc>
          <w:tcPr>
            <w:tcW w:w="1498" w:type="pct"/>
          </w:tcPr>
          <w:p w14:paraId="5491AF3B" w14:textId="77777777" w:rsidR="000228ED" w:rsidRDefault="000228ED" w:rsidP="00A2644D">
            <w:pPr>
              <w:autoSpaceDE/>
              <w:autoSpaceDN/>
              <w:adjustRightInd/>
              <w:spacing w:before="0"/>
              <w:rPr>
                <w:rFonts w:eastAsiaTheme="minorEastAsia"/>
                <w:kern w:val="2"/>
                <w:sz w:val="15"/>
                <w:szCs w:val="15"/>
                <w:lang w:eastAsia="zh-CN" w:bidi="ar-SA"/>
              </w:rPr>
            </w:pPr>
            <w:r>
              <w:rPr>
                <w:rFonts w:eastAsiaTheme="minorEastAsia"/>
                <w:kern w:val="2"/>
                <w:sz w:val="15"/>
                <w:szCs w:val="15"/>
                <w:lang w:eastAsia="zh-CN" w:bidi="ar-SA"/>
              </w:rPr>
              <w:t>Shanghai, China</w:t>
            </w:r>
          </w:p>
        </w:tc>
      </w:tr>
      <w:tr w:rsidR="000228ED" w14:paraId="10A4BB4A" w14:textId="77777777" w:rsidTr="00A2644D">
        <w:trPr>
          <w:trHeight w:val="343"/>
        </w:trPr>
        <w:tc>
          <w:tcPr>
            <w:tcW w:w="1750" w:type="pct"/>
          </w:tcPr>
          <w:p w14:paraId="3070AC04"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EPI ISL 16137918</w:t>
            </w:r>
          </w:p>
        </w:tc>
        <w:tc>
          <w:tcPr>
            <w:tcW w:w="1752" w:type="pct"/>
          </w:tcPr>
          <w:p w14:paraId="6D83F117" w14:textId="77777777" w:rsidR="000228ED" w:rsidRDefault="000228ED" w:rsidP="00A2644D">
            <w:pPr>
              <w:autoSpaceDE/>
              <w:autoSpaceDN/>
              <w:adjustRightInd/>
              <w:spacing w:before="0"/>
              <w:rPr>
                <w:rFonts w:eastAsiaTheme="minorEastAsia"/>
                <w:kern w:val="2"/>
                <w:sz w:val="15"/>
                <w:szCs w:val="15"/>
                <w:lang w:eastAsia="zh-CN" w:bidi="ar-SA"/>
              </w:rPr>
            </w:pPr>
            <w:r>
              <w:rPr>
                <w:rFonts w:eastAsia="等线"/>
                <w:color w:val="000000"/>
                <w:kern w:val="2"/>
                <w:sz w:val="15"/>
                <w:szCs w:val="15"/>
                <w:lang w:eastAsia="zh-CN" w:bidi="ar-SA"/>
              </w:rPr>
              <w:t>2022/4/18</w:t>
            </w:r>
          </w:p>
        </w:tc>
        <w:tc>
          <w:tcPr>
            <w:tcW w:w="1498" w:type="pct"/>
          </w:tcPr>
          <w:p w14:paraId="79C4DED0" w14:textId="77777777" w:rsidR="000228ED" w:rsidRDefault="000228ED" w:rsidP="00A2644D">
            <w:pPr>
              <w:autoSpaceDE/>
              <w:autoSpaceDN/>
              <w:adjustRightInd/>
              <w:spacing w:before="0"/>
              <w:rPr>
                <w:rFonts w:eastAsiaTheme="minorEastAsia"/>
                <w:kern w:val="2"/>
                <w:sz w:val="15"/>
                <w:szCs w:val="15"/>
                <w:lang w:eastAsia="zh-CN" w:bidi="ar-SA"/>
              </w:rPr>
            </w:pPr>
            <w:r>
              <w:rPr>
                <w:rFonts w:eastAsiaTheme="minorEastAsia"/>
                <w:kern w:val="2"/>
                <w:sz w:val="15"/>
                <w:szCs w:val="15"/>
                <w:lang w:eastAsia="zh-CN" w:bidi="ar-SA"/>
              </w:rPr>
              <w:t>Shanghai, China</w:t>
            </w:r>
          </w:p>
        </w:tc>
      </w:tr>
    </w:tbl>
    <w:p w14:paraId="02473ED8" w14:textId="22E397D8" w:rsidR="00256B2F" w:rsidRDefault="00256B2F" w:rsidP="000228ED">
      <w:pPr>
        <w:widowControl/>
        <w:tabs>
          <w:tab w:val="left" w:pos="6919"/>
        </w:tabs>
        <w:snapToGrid w:val="0"/>
        <w:spacing w:before="0" w:line="240" w:lineRule="auto"/>
        <w:contextualSpacing/>
        <w:jc w:val="both"/>
        <w:rPr>
          <w:b/>
          <w:lang w:eastAsia="zh-CN"/>
        </w:rPr>
      </w:pPr>
    </w:p>
    <w:bookmarkEnd w:id="3"/>
    <w:p w14:paraId="02428DC2" w14:textId="77777777" w:rsidR="00256B2F" w:rsidRDefault="00000000" w:rsidP="00AB1051">
      <w:pPr>
        <w:widowControl/>
        <w:spacing w:beforeLines="50"/>
        <w:jc w:val="center"/>
        <w:rPr>
          <w:b/>
          <w:lang w:eastAsia="zh-CN"/>
        </w:rPr>
      </w:pPr>
      <w:r>
        <w:rPr>
          <w:b/>
          <w:noProof/>
          <w:lang w:eastAsia="zh-CN"/>
        </w:rPr>
        <w:drawing>
          <wp:inline distT="0" distB="0" distL="114300" distR="114300" wp14:anchorId="38D6E39A" wp14:editId="350C2113">
            <wp:extent cx="5817870" cy="2183473"/>
            <wp:effectExtent l="0" t="0" r="0" b="7620"/>
            <wp:docPr id="3" name="图片 3" descr="Fig S1standard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ig S1standard curve"/>
                    <pic:cNvPicPr>
                      <a:picLocks noChangeAspect="1"/>
                    </pic:cNvPicPr>
                  </pic:nvPicPr>
                  <pic:blipFill>
                    <a:blip r:embed="rId9"/>
                    <a:stretch>
                      <a:fillRect/>
                    </a:stretch>
                  </pic:blipFill>
                  <pic:spPr>
                    <a:xfrm>
                      <a:off x="0" y="0"/>
                      <a:ext cx="5848844" cy="2195098"/>
                    </a:xfrm>
                    <a:prstGeom prst="rect">
                      <a:avLst/>
                    </a:prstGeom>
                  </pic:spPr>
                </pic:pic>
              </a:graphicData>
            </a:graphic>
          </wp:inline>
        </w:drawing>
      </w:r>
    </w:p>
    <w:p w14:paraId="4E45022D" w14:textId="270420CB" w:rsidR="00256B2F" w:rsidRPr="00AB1051" w:rsidRDefault="00000000" w:rsidP="00AB1051">
      <w:pPr>
        <w:widowControl/>
        <w:snapToGrid w:val="0"/>
        <w:spacing w:before="0" w:line="240" w:lineRule="auto"/>
        <w:jc w:val="center"/>
        <w:rPr>
          <w:rFonts w:eastAsia="宋体"/>
          <w:bCs/>
          <w:sz w:val="18"/>
          <w:szCs w:val="16"/>
          <w:lang w:eastAsia="zh-CN"/>
        </w:rPr>
      </w:pPr>
      <w:r>
        <w:rPr>
          <w:b/>
          <w:sz w:val="18"/>
          <w:szCs w:val="16"/>
        </w:rPr>
        <w:t>Fig. S</w:t>
      </w:r>
      <w:r w:rsidR="00AB1051">
        <w:rPr>
          <w:rFonts w:eastAsia="宋体"/>
          <w:b/>
          <w:sz w:val="18"/>
          <w:szCs w:val="16"/>
          <w:lang w:eastAsia="zh-CN"/>
        </w:rPr>
        <w:t>2</w:t>
      </w:r>
      <w:r>
        <w:rPr>
          <w:b/>
          <w:sz w:val="18"/>
          <w:szCs w:val="16"/>
        </w:rPr>
        <w:t xml:space="preserve">. </w:t>
      </w:r>
      <w:r w:rsidRPr="00AB1051">
        <w:rPr>
          <w:rFonts w:eastAsia="宋体" w:hint="eastAsia"/>
          <w:bCs/>
          <w:sz w:val="18"/>
          <w:szCs w:val="16"/>
          <w:lang w:eastAsia="zh-CN"/>
        </w:rPr>
        <w:t xml:space="preserve">Standard curves of </w:t>
      </w:r>
      <w:r w:rsidRPr="00AB1051">
        <w:rPr>
          <w:rFonts w:eastAsia="宋体"/>
          <w:bCs/>
          <w:sz w:val="18"/>
          <w:szCs w:val="16"/>
          <w:lang w:eastAsia="zh-CN"/>
        </w:rPr>
        <w:t xml:space="preserve">the </w:t>
      </w:r>
      <w:r w:rsidRPr="00AB1051">
        <w:rPr>
          <w:rFonts w:eastAsia="宋体" w:hint="eastAsia"/>
          <w:bCs/>
          <w:i/>
          <w:iCs/>
          <w:sz w:val="18"/>
          <w:szCs w:val="16"/>
          <w:lang w:eastAsia="zh-CN"/>
        </w:rPr>
        <w:t>N</w:t>
      </w:r>
      <w:r w:rsidRPr="00AB1051">
        <w:rPr>
          <w:rFonts w:eastAsia="宋体" w:hint="eastAsia"/>
          <w:bCs/>
          <w:sz w:val="18"/>
          <w:szCs w:val="16"/>
          <w:lang w:eastAsia="zh-CN"/>
        </w:rPr>
        <w:t xml:space="preserve"> and </w:t>
      </w:r>
      <w:r w:rsidRPr="00AB1051">
        <w:rPr>
          <w:rFonts w:eastAsia="宋体" w:hint="eastAsia"/>
          <w:bCs/>
          <w:i/>
          <w:iCs/>
          <w:sz w:val="18"/>
          <w:szCs w:val="16"/>
          <w:lang w:eastAsia="zh-CN"/>
        </w:rPr>
        <w:t>ORF1ab</w:t>
      </w:r>
      <w:r w:rsidRPr="00AB1051">
        <w:rPr>
          <w:rFonts w:eastAsia="宋体" w:hint="eastAsia"/>
          <w:bCs/>
          <w:sz w:val="18"/>
          <w:szCs w:val="16"/>
          <w:lang w:eastAsia="zh-CN"/>
        </w:rPr>
        <w:t xml:space="preserve"> gene</w:t>
      </w:r>
      <w:r w:rsidR="00AB1051">
        <w:rPr>
          <w:rFonts w:eastAsia="宋体"/>
          <w:bCs/>
          <w:sz w:val="18"/>
          <w:szCs w:val="16"/>
          <w:lang w:eastAsia="zh-CN"/>
        </w:rPr>
        <w:t>.</w:t>
      </w:r>
    </w:p>
    <w:p w14:paraId="487159C0" w14:textId="77777777" w:rsidR="00256B2F" w:rsidRDefault="00256B2F">
      <w:pPr>
        <w:widowControl/>
        <w:spacing w:beforeLines="50"/>
        <w:jc w:val="both"/>
        <w:rPr>
          <w:b/>
          <w:lang w:eastAsia="zh-CN"/>
        </w:rPr>
      </w:pPr>
    </w:p>
    <w:p w14:paraId="3F8CF20B" w14:textId="77777777" w:rsidR="00256B2F" w:rsidRDefault="00000000" w:rsidP="00AB1051">
      <w:pPr>
        <w:widowControl/>
        <w:spacing w:beforeLines="50"/>
        <w:jc w:val="center"/>
        <w:rPr>
          <w:b/>
          <w:lang w:eastAsia="zh-CN"/>
        </w:rPr>
      </w:pPr>
      <w:r>
        <w:rPr>
          <w:rFonts w:eastAsia="仿宋"/>
          <w:noProof/>
          <w:color w:val="4472C4"/>
        </w:rPr>
        <w:lastRenderedPageBreak/>
        <w:drawing>
          <wp:inline distT="0" distB="0" distL="114300" distR="114300" wp14:anchorId="6E061816" wp14:editId="5965135B">
            <wp:extent cx="5748655" cy="2976245"/>
            <wp:effectExtent l="0" t="0" r="4445" b="14605"/>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6630227" w14:textId="456E834E" w:rsidR="00256B2F" w:rsidRPr="00F13618" w:rsidRDefault="00000000" w:rsidP="00F13618">
      <w:pPr>
        <w:widowControl/>
        <w:snapToGrid w:val="0"/>
        <w:spacing w:before="0" w:line="240" w:lineRule="auto"/>
        <w:jc w:val="both"/>
        <w:rPr>
          <w:b/>
          <w:sz w:val="18"/>
          <w:szCs w:val="16"/>
        </w:rPr>
      </w:pPr>
      <w:r>
        <w:rPr>
          <w:b/>
          <w:sz w:val="18"/>
          <w:szCs w:val="16"/>
        </w:rPr>
        <w:t>Fig. S</w:t>
      </w:r>
      <w:r w:rsidR="00AB1051">
        <w:rPr>
          <w:rFonts w:eastAsia="宋体"/>
          <w:b/>
          <w:sz w:val="18"/>
          <w:szCs w:val="16"/>
          <w:lang w:eastAsia="zh-CN"/>
        </w:rPr>
        <w:t>3</w:t>
      </w:r>
      <w:r>
        <w:rPr>
          <w:b/>
          <w:sz w:val="18"/>
          <w:szCs w:val="16"/>
        </w:rPr>
        <w:t>.</w:t>
      </w:r>
      <w:r w:rsidRPr="00F13618">
        <w:rPr>
          <w:bCs/>
          <w:sz w:val="18"/>
          <w:szCs w:val="16"/>
        </w:rPr>
        <w:t xml:space="preserve"> Temporal distribution of the number of samples and positivity rates for </w:t>
      </w:r>
      <w:bookmarkStart w:id="4" w:name="_Hlk119910400"/>
      <w:r w:rsidRPr="00F13618">
        <w:rPr>
          <w:bCs/>
          <w:sz w:val="18"/>
          <w:szCs w:val="16"/>
        </w:rPr>
        <w:t>SARS-CoV-2</w:t>
      </w:r>
      <w:bookmarkEnd w:id="4"/>
      <w:r w:rsidRPr="00F13618">
        <w:rPr>
          <w:bCs/>
          <w:sz w:val="18"/>
          <w:szCs w:val="16"/>
        </w:rPr>
        <w:t xml:space="preserve"> collected from</w:t>
      </w:r>
      <w:r w:rsidRPr="00F13618">
        <w:rPr>
          <w:rFonts w:eastAsia="宋体" w:hint="eastAsia"/>
          <w:bCs/>
          <w:sz w:val="18"/>
          <w:szCs w:val="16"/>
          <w:lang w:eastAsia="zh-CN"/>
        </w:rPr>
        <w:t xml:space="preserve"> the</w:t>
      </w:r>
      <w:r w:rsidRPr="00F13618">
        <w:rPr>
          <w:bCs/>
          <w:sz w:val="18"/>
          <w:szCs w:val="16"/>
        </w:rPr>
        <w:t xml:space="preserve"> </w:t>
      </w:r>
      <w:r w:rsidRPr="00F13618">
        <w:rPr>
          <w:rFonts w:hint="eastAsia"/>
          <w:bCs/>
          <w:sz w:val="18"/>
          <w:szCs w:val="16"/>
        </w:rPr>
        <w:t>Shanghai</w:t>
      </w:r>
      <w:r w:rsidRPr="00F13618">
        <w:rPr>
          <w:bCs/>
          <w:sz w:val="18"/>
          <w:szCs w:val="16"/>
        </w:rPr>
        <w:t xml:space="preserve"> </w:t>
      </w:r>
      <w:proofErr w:type="spellStart"/>
      <w:r w:rsidRPr="00F13618">
        <w:rPr>
          <w:bCs/>
          <w:sz w:val="18"/>
          <w:szCs w:val="16"/>
        </w:rPr>
        <w:t>Fangcang</w:t>
      </w:r>
      <w:proofErr w:type="spellEnd"/>
      <w:r w:rsidRPr="00F13618">
        <w:rPr>
          <w:bCs/>
          <w:sz w:val="18"/>
          <w:szCs w:val="16"/>
        </w:rPr>
        <w:t xml:space="preserve"> hospital between April 23 and May 21, 2022</w:t>
      </w:r>
      <w:r w:rsidR="00F13618" w:rsidRPr="00F13618">
        <w:rPr>
          <w:rFonts w:eastAsiaTheme="minorEastAsia" w:hint="eastAsia"/>
          <w:bCs/>
          <w:sz w:val="18"/>
          <w:szCs w:val="16"/>
          <w:lang w:eastAsia="zh-CN"/>
        </w:rPr>
        <w:t>.</w:t>
      </w:r>
      <w:r w:rsidR="00F13618" w:rsidRPr="00F13618">
        <w:rPr>
          <w:rFonts w:eastAsiaTheme="minorEastAsia"/>
          <w:bCs/>
          <w:sz w:val="18"/>
          <w:szCs w:val="16"/>
          <w:lang w:eastAsia="zh-CN"/>
        </w:rPr>
        <w:t xml:space="preserve"> </w:t>
      </w:r>
      <w:r>
        <w:rPr>
          <w:rFonts w:eastAsia="宋体" w:hint="eastAsia"/>
          <w:sz w:val="18"/>
          <w:szCs w:val="16"/>
          <w:lang w:eastAsia="zh-CN"/>
        </w:rPr>
        <w:t>D</w:t>
      </w:r>
      <w:r>
        <w:rPr>
          <w:sz w:val="18"/>
          <w:szCs w:val="16"/>
        </w:rPr>
        <w:t>ark blue bars represent the</w:t>
      </w:r>
      <w:r>
        <w:rPr>
          <w:rFonts w:eastAsia="宋体" w:hint="eastAsia"/>
          <w:sz w:val="18"/>
          <w:szCs w:val="16"/>
          <w:lang w:eastAsia="zh-CN"/>
        </w:rPr>
        <w:t xml:space="preserve"> total</w:t>
      </w:r>
      <w:r>
        <w:rPr>
          <w:sz w:val="18"/>
          <w:szCs w:val="16"/>
        </w:rPr>
        <w:t xml:space="preserve"> number of samples positive for SARS-CoV-2. The light blue bars represent the </w:t>
      </w:r>
      <w:r>
        <w:rPr>
          <w:rFonts w:eastAsia="宋体" w:hint="eastAsia"/>
          <w:sz w:val="18"/>
          <w:szCs w:val="16"/>
          <w:lang w:eastAsia="zh-CN"/>
        </w:rPr>
        <w:t xml:space="preserve">total </w:t>
      </w:r>
      <w:r>
        <w:rPr>
          <w:sz w:val="18"/>
          <w:szCs w:val="16"/>
        </w:rPr>
        <w:t>number of sample</w:t>
      </w:r>
      <w:r>
        <w:rPr>
          <w:rFonts w:eastAsia="宋体" w:hint="eastAsia"/>
          <w:sz w:val="18"/>
          <w:szCs w:val="16"/>
          <w:lang w:eastAsia="zh-CN"/>
        </w:rPr>
        <w:t>s</w:t>
      </w:r>
      <w:r>
        <w:rPr>
          <w:sz w:val="18"/>
          <w:szCs w:val="16"/>
        </w:rPr>
        <w:t xml:space="preserve"> negative for SARS-CoV-2. The red</w:t>
      </w:r>
      <w:r>
        <w:rPr>
          <w:rFonts w:eastAsia="宋体" w:hint="eastAsia"/>
          <w:sz w:val="18"/>
          <w:szCs w:val="16"/>
          <w:lang w:eastAsia="zh-CN"/>
        </w:rPr>
        <w:t>, yellow and blue</w:t>
      </w:r>
      <w:r>
        <w:rPr>
          <w:sz w:val="18"/>
          <w:szCs w:val="16"/>
        </w:rPr>
        <w:t xml:space="preserve"> dotted line</w:t>
      </w:r>
      <w:r>
        <w:rPr>
          <w:rFonts w:eastAsia="宋体" w:hint="eastAsia"/>
          <w:sz w:val="18"/>
          <w:szCs w:val="16"/>
          <w:lang w:eastAsia="zh-CN"/>
        </w:rPr>
        <w:t>s</w:t>
      </w:r>
      <w:r>
        <w:rPr>
          <w:sz w:val="18"/>
          <w:szCs w:val="16"/>
        </w:rPr>
        <w:t xml:space="preserve"> </w:t>
      </w:r>
      <w:r>
        <w:rPr>
          <w:rFonts w:eastAsia="宋体" w:hint="eastAsia"/>
          <w:sz w:val="18"/>
          <w:szCs w:val="16"/>
          <w:lang w:eastAsia="zh-CN"/>
        </w:rPr>
        <w:t>indicate</w:t>
      </w:r>
      <w:r>
        <w:rPr>
          <w:sz w:val="18"/>
          <w:szCs w:val="16"/>
        </w:rPr>
        <w:t xml:space="preserve"> the positivity rates</w:t>
      </w:r>
      <w:r>
        <w:rPr>
          <w:rFonts w:eastAsia="宋体" w:hint="eastAsia"/>
          <w:sz w:val="18"/>
          <w:szCs w:val="16"/>
          <w:lang w:eastAsia="zh-CN"/>
        </w:rPr>
        <w:t xml:space="preserve"> of air samples, surface samples and total samples</w:t>
      </w:r>
      <w:r>
        <w:rPr>
          <w:rFonts w:eastAsia="宋体"/>
          <w:sz w:val="18"/>
          <w:szCs w:val="16"/>
          <w:lang w:eastAsia="zh-CN"/>
        </w:rPr>
        <w:t>,</w:t>
      </w:r>
      <w:r>
        <w:rPr>
          <w:rFonts w:eastAsia="宋体" w:hint="eastAsia"/>
          <w:sz w:val="18"/>
          <w:szCs w:val="16"/>
          <w:lang w:eastAsia="zh-CN"/>
        </w:rPr>
        <w:t xml:space="preserve"> respectively</w:t>
      </w:r>
      <w:r>
        <w:rPr>
          <w:sz w:val="18"/>
          <w:szCs w:val="16"/>
        </w:rPr>
        <w:t>.</w:t>
      </w:r>
    </w:p>
    <w:p w14:paraId="6F5653A7" w14:textId="77777777" w:rsidR="00256B2F" w:rsidRDefault="00000000" w:rsidP="00AB1051">
      <w:pPr>
        <w:widowControl/>
        <w:spacing w:beforeLines="50"/>
        <w:jc w:val="center"/>
        <w:rPr>
          <w:b/>
          <w:lang w:eastAsia="zh-CN"/>
        </w:rPr>
      </w:pPr>
      <w:r>
        <w:rPr>
          <w:b/>
          <w:noProof/>
          <w:lang w:eastAsia="zh-CN"/>
        </w:rPr>
        <w:drawing>
          <wp:inline distT="0" distB="0" distL="114300" distR="114300" wp14:anchorId="265E3D30" wp14:editId="085E2465">
            <wp:extent cx="5874385" cy="3301365"/>
            <wp:effectExtent l="0" t="0" r="12065" b="13335"/>
            <wp:docPr id="1" name="图片 1" descr="Fig S3-Jam新增"/>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ig S3-Jam新增"/>
                    <pic:cNvPicPr>
                      <a:picLocks noChangeAspect="1"/>
                    </pic:cNvPicPr>
                  </pic:nvPicPr>
                  <pic:blipFill>
                    <a:blip r:embed="rId11"/>
                    <a:stretch>
                      <a:fillRect/>
                    </a:stretch>
                  </pic:blipFill>
                  <pic:spPr>
                    <a:xfrm>
                      <a:off x="0" y="0"/>
                      <a:ext cx="5874385" cy="3301365"/>
                    </a:xfrm>
                    <a:prstGeom prst="rect">
                      <a:avLst/>
                    </a:prstGeom>
                  </pic:spPr>
                </pic:pic>
              </a:graphicData>
            </a:graphic>
          </wp:inline>
        </w:drawing>
      </w:r>
    </w:p>
    <w:p w14:paraId="2E86660E" w14:textId="302C900B" w:rsidR="00256B2F" w:rsidRPr="00AB1051" w:rsidRDefault="00000000" w:rsidP="00AB1051">
      <w:pPr>
        <w:widowControl/>
        <w:snapToGrid w:val="0"/>
        <w:spacing w:before="0" w:line="240" w:lineRule="auto"/>
        <w:jc w:val="both"/>
        <w:rPr>
          <w:b/>
          <w:sz w:val="18"/>
          <w:szCs w:val="16"/>
        </w:rPr>
      </w:pPr>
      <w:r>
        <w:rPr>
          <w:b/>
          <w:sz w:val="18"/>
          <w:szCs w:val="16"/>
        </w:rPr>
        <w:t>Fig. S</w:t>
      </w:r>
      <w:r w:rsidR="00AB1051">
        <w:rPr>
          <w:rFonts w:eastAsia="宋体"/>
          <w:b/>
          <w:sz w:val="18"/>
          <w:szCs w:val="16"/>
          <w:lang w:eastAsia="zh-CN"/>
        </w:rPr>
        <w:t>4</w:t>
      </w:r>
      <w:r>
        <w:rPr>
          <w:b/>
          <w:sz w:val="18"/>
          <w:szCs w:val="16"/>
        </w:rPr>
        <w:t xml:space="preserve">. </w:t>
      </w:r>
      <w:r w:rsidRPr="00F13618">
        <w:rPr>
          <w:bCs/>
          <w:sz w:val="18"/>
          <w:szCs w:val="16"/>
          <w:lang w:eastAsia="zh-CN"/>
        </w:rPr>
        <w:t>Quantitative and qualitative testing f</w:t>
      </w:r>
      <w:r w:rsidRPr="00F13618">
        <w:rPr>
          <w:bCs/>
          <w:sz w:val="18"/>
          <w:szCs w:val="16"/>
        </w:rPr>
        <w:t>or SARS-CoV-2 spike RNA and antigen in the supernatant of incubated swab and aerosol samples in Vero-E6 cells.</w:t>
      </w:r>
      <w:r w:rsidR="00AB1051" w:rsidRPr="00F13618">
        <w:rPr>
          <w:rFonts w:eastAsiaTheme="minorEastAsia" w:hint="eastAsia"/>
          <w:bCs/>
          <w:sz w:val="18"/>
          <w:szCs w:val="16"/>
          <w:lang w:eastAsia="zh-CN"/>
        </w:rPr>
        <w:t xml:space="preserve"> </w:t>
      </w:r>
      <w:r w:rsidRPr="00F13618">
        <w:rPr>
          <w:rFonts w:eastAsia="宋体" w:hint="eastAsia"/>
          <w:bCs/>
          <w:sz w:val="18"/>
          <w:szCs w:val="16"/>
          <w:lang w:eastAsia="zh-CN"/>
        </w:rPr>
        <w:t>(a)</w:t>
      </w:r>
      <w:r w:rsidRPr="00F13618">
        <w:rPr>
          <w:bCs/>
          <w:sz w:val="18"/>
          <w:szCs w:val="16"/>
        </w:rPr>
        <w:t xml:space="preserve"> Ct value of the supernatant of the Vero-E6 cells post</w:t>
      </w:r>
      <w:r w:rsidRPr="00F13618">
        <w:rPr>
          <w:rFonts w:eastAsia="宋体" w:hint="eastAsia"/>
          <w:bCs/>
          <w:sz w:val="18"/>
          <w:szCs w:val="16"/>
          <w:lang w:eastAsia="zh-CN"/>
        </w:rPr>
        <w:t>-</w:t>
      </w:r>
      <w:r w:rsidRPr="00F13618">
        <w:rPr>
          <w:bCs/>
          <w:sz w:val="18"/>
          <w:szCs w:val="16"/>
        </w:rPr>
        <w:t xml:space="preserve">incubation for 0 or 96 h with the </w:t>
      </w:r>
      <w:r w:rsidRPr="00F13618">
        <w:rPr>
          <w:rFonts w:eastAsia="宋体" w:hint="eastAsia"/>
          <w:bCs/>
          <w:sz w:val="18"/>
          <w:szCs w:val="16"/>
          <w:lang w:eastAsia="zh-CN"/>
        </w:rPr>
        <w:t xml:space="preserve">1st and 10th aerosol samples and the </w:t>
      </w:r>
      <w:r w:rsidRPr="00F13618">
        <w:rPr>
          <w:bCs/>
          <w:sz w:val="18"/>
          <w:szCs w:val="16"/>
        </w:rPr>
        <w:t>4th and 10th swab samples</w:t>
      </w:r>
      <w:r w:rsidRPr="00F13618">
        <w:rPr>
          <w:rFonts w:eastAsia="宋体" w:hint="eastAsia"/>
          <w:bCs/>
          <w:sz w:val="18"/>
          <w:szCs w:val="16"/>
          <w:lang w:eastAsia="zh-CN"/>
        </w:rPr>
        <w:t xml:space="preserve"> </w:t>
      </w:r>
      <w:r w:rsidRPr="00F13618">
        <w:rPr>
          <w:bCs/>
          <w:sz w:val="18"/>
          <w:szCs w:val="16"/>
        </w:rPr>
        <w:t xml:space="preserve">from the same patient 0512-K7-B8-188; the </w:t>
      </w:r>
      <w:r w:rsidRPr="00F13618">
        <w:rPr>
          <w:rFonts w:eastAsia="宋体" w:hint="eastAsia"/>
          <w:bCs/>
          <w:sz w:val="18"/>
          <w:szCs w:val="16"/>
          <w:lang w:eastAsia="zh-CN"/>
        </w:rPr>
        <w:t>numbers above bars indicate</w:t>
      </w:r>
      <w:r w:rsidRPr="00F13618">
        <w:rPr>
          <w:bCs/>
          <w:sz w:val="18"/>
          <w:szCs w:val="16"/>
        </w:rPr>
        <w:t xml:space="preserve"> virus multiplication </w:t>
      </w:r>
      <w:r w:rsidRPr="00F13618">
        <w:rPr>
          <w:rFonts w:eastAsia="宋体" w:hint="eastAsia"/>
          <w:bCs/>
          <w:sz w:val="18"/>
          <w:szCs w:val="16"/>
          <w:lang w:eastAsia="zh-CN"/>
        </w:rPr>
        <w:t>values</w:t>
      </w:r>
      <w:r w:rsidRPr="00F13618">
        <w:rPr>
          <w:bCs/>
          <w:sz w:val="18"/>
          <w:szCs w:val="16"/>
        </w:rPr>
        <w:t xml:space="preserve">. </w:t>
      </w:r>
      <w:r w:rsidRPr="00F13618">
        <w:rPr>
          <w:rFonts w:eastAsia="宋体" w:hint="eastAsia"/>
          <w:bCs/>
          <w:sz w:val="18"/>
          <w:szCs w:val="16"/>
          <w:lang w:eastAsia="zh-CN"/>
        </w:rPr>
        <w:t>(b)</w:t>
      </w:r>
      <w:r w:rsidRPr="00F13618">
        <w:rPr>
          <w:rFonts w:eastAsia="宋体"/>
          <w:bCs/>
          <w:sz w:val="18"/>
          <w:szCs w:val="16"/>
          <w:lang w:eastAsia="zh-CN"/>
        </w:rPr>
        <w:t xml:space="preserve"> </w:t>
      </w:r>
      <w:r w:rsidRPr="00F13618">
        <w:rPr>
          <w:bCs/>
          <w:sz w:val="18"/>
          <w:szCs w:val="16"/>
        </w:rPr>
        <w:t>Colloidal gold test results for SARS-CoV-2 spike antigen for the supernatant samples for aerosol samples 1</w:t>
      </w:r>
      <w:r w:rsidR="00F13618">
        <w:rPr>
          <w:bCs/>
          <w:sz w:val="18"/>
          <w:szCs w:val="16"/>
        </w:rPr>
        <w:t>–</w:t>
      </w:r>
      <w:r w:rsidRPr="00F13618">
        <w:rPr>
          <w:bCs/>
          <w:sz w:val="18"/>
          <w:szCs w:val="16"/>
        </w:rPr>
        <w:t>5 and for swab samples 6</w:t>
      </w:r>
      <w:r w:rsidR="00F13618">
        <w:rPr>
          <w:bCs/>
          <w:sz w:val="18"/>
          <w:szCs w:val="16"/>
        </w:rPr>
        <w:t>–</w:t>
      </w:r>
      <w:r w:rsidRPr="00F13618">
        <w:rPr>
          <w:bCs/>
          <w:sz w:val="18"/>
          <w:szCs w:val="16"/>
        </w:rPr>
        <w:t>7 and 9</w:t>
      </w:r>
      <w:r w:rsidR="00F13618">
        <w:rPr>
          <w:bCs/>
          <w:sz w:val="18"/>
          <w:szCs w:val="16"/>
        </w:rPr>
        <w:t>–</w:t>
      </w:r>
      <w:r w:rsidRPr="00F13618">
        <w:rPr>
          <w:bCs/>
          <w:sz w:val="18"/>
          <w:szCs w:val="16"/>
        </w:rPr>
        <w:t>10 in two independent rounds of propagation.</w:t>
      </w:r>
    </w:p>
    <w:p w14:paraId="7505F59C" w14:textId="77777777" w:rsidR="00256B2F" w:rsidRDefault="00256B2F">
      <w:pPr>
        <w:jc w:val="both"/>
      </w:pPr>
    </w:p>
    <w:p w14:paraId="00AC494D" w14:textId="77777777" w:rsidR="00256B2F" w:rsidRDefault="00000000" w:rsidP="00AB1051">
      <w:pPr>
        <w:jc w:val="center"/>
        <w:rPr>
          <w:rFonts w:eastAsia="宋体"/>
          <w:lang w:eastAsia="zh-CN"/>
        </w:rPr>
      </w:pPr>
      <w:r>
        <w:rPr>
          <w:rFonts w:eastAsia="宋体" w:hint="eastAsia"/>
          <w:noProof/>
          <w:lang w:eastAsia="zh-CN"/>
        </w:rPr>
        <w:lastRenderedPageBreak/>
        <w:drawing>
          <wp:inline distT="0" distB="0" distL="114300" distR="114300" wp14:anchorId="1EA6F4E2" wp14:editId="060D52CE">
            <wp:extent cx="5751195" cy="6670675"/>
            <wp:effectExtent l="0" t="0" r="1905" b="15875"/>
            <wp:docPr id="5" name="图片 5" descr="Fig S4 1.2和2.2 空气样点分布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ig S4 1.2和2.2 空气样点分布图"/>
                    <pic:cNvPicPr>
                      <a:picLocks noChangeAspect="1"/>
                    </pic:cNvPicPr>
                  </pic:nvPicPr>
                  <pic:blipFill>
                    <a:blip r:embed="rId12"/>
                    <a:stretch>
                      <a:fillRect/>
                    </a:stretch>
                  </pic:blipFill>
                  <pic:spPr>
                    <a:xfrm>
                      <a:off x="0" y="0"/>
                      <a:ext cx="5751195" cy="6670675"/>
                    </a:xfrm>
                    <a:prstGeom prst="rect">
                      <a:avLst/>
                    </a:prstGeom>
                  </pic:spPr>
                </pic:pic>
              </a:graphicData>
            </a:graphic>
          </wp:inline>
        </w:drawing>
      </w:r>
    </w:p>
    <w:p w14:paraId="3D5AF97C" w14:textId="43E0ABD6" w:rsidR="00256B2F" w:rsidRPr="00AB1051" w:rsidRDefault="00000000" w:rsidP="00AB1051">
      <w:pPr>
        <w:widowControl/>
        <w:snapToGrid w:val="0"/>
        <w:spacing w:before="0" w:line="240" w:lineRule="auto"/>
        <w:jc w:val="both"/>
        <w:rPr>
          <w:rFonts w:eastAsia="宋体"/>
          <w:b/>
          <w:sz w:val="18"/>
          <w:szCs w:val="16"/>
          <w:lang w:eastAsia="zh-CN"/>
        </w:rPr>
      </w:pPr>
      <w:r>
        <w:rPr>
          <w:b/>
          <w:sz w:val="18"/>
          <w:szCs w:val="16"/>
        </w:rPr>
        <w:t>Fig. S</w:t>
      </w:r>
      <w:r w:rsidR="00AB1051">
        <w:rPr>
          <w:rFonts w:eastAsia="宋体"/>
          <w:b/>
          <w:sz w:val="18"/>
          <w:szCs w:val="16"/>
          <w:lang w:eastAsia="zh-CN"/>
        </w:rPr>
        <w:t>5</w:t>
      </w:r>
      <w:r>
        <w:rPr>
          <w:b/>
          <w:sz w:val="18"/>
          <w:szCs w:val="16"/>
        </w:rPr>
        <w:t xml:space="preserve">. </w:t>
      </w:r>
      <w:r w:rsidRPr="00AB1051">
        <w:rPr>
          <w:rFonts w:eastAsia="宋体" w:hint="eastAsia"/>
          <w:bCs/>
          <w:sz w:val="18"/>
          <w:szCs w:val="16"/>
          <w:lang w:eastAsia="zh-CN"/>
        </w:rPr>
        <w:t xml:space="preserve">Interior layout and air sample distribution in </w:t>
      </w:r>
      <w:r w:rsidRPr="00AB1051">
        <w:rPr>
          <w:rFonts w:eastAsia="宋体"/>
          <w:bCs/>
          <w:sz w:val="18"/>
          <w:szCs w:val="16"/>
          <w:lang w:eastAsia="zh-CN"/>
        </w:rPr>
        <w:t>the h</w:t>
      </w:r>
      <w:r w:rsidRPr="00AB1051">
        <w:rPr>
          <w:rFonts w:eastAsia="宋体" w:hint="eastAsia"/>
          <w:bCs/>
          <w:sz w:val="18"/>
          <w:szCs w:val="16"/>
          <w:lang w:eastAsia="zh-CN"/>
        </w:rPr>
        <w:t>alls</w:t>
      </w:r>
      <w:r w:rsidR="00AB1051" w:rsidRPr="00AB1051">
        <w:rPr>
          <w:rFonts w:eastAsia="宋体"/>
          <w:bCs/>
          <w:sz w:val="18"/>
          <w:szCs w:val="16"/>
          <w:lang w:eastAsia="zh-CN"/>
        </w:rPr>
        <w:t>.</w:t>
      </w:r>
      <w:r w:rsidR="00AB1051">
        <w:rPr>
          <w:rFonts w:eastAsia="宋体"/>
          <w:b/>
          <w:sz w:val="18"/>
          <w:szCs w:val="16"/>
          <w:lang w:eastAsia="zh-CN"/>
        </w:rPr>
        <w:t xml:space="preserve"> </w:t>
      </w:r>
      <w:r>
        <w:rPr>
          <w:rFonts w:eastAsia="宋体" w:hint="eastAsia"/>
          <w:sz w:val="18"/>
          <w:szCs w:val="16"/>
          <w:lang w:eastAsia="zh-CN"/>
        </w:rPr>
        <w:t xml:space="preserve">(a) Interior layout of </w:t>
      </w:r>
      <w:r>
        <w:rPr>
          <w:rFonts w:eastAsia="宋体"/>
          <w:sz w:val="18"/>
          <w:szCs w:val="16"/>
          <w:lang w:eastAsia="zh-CN"/>
        </w:rPr>
        <w:t>h</w:t>
      </w:r>
      <w:r>
        <w:rPr>
          <w:rFonts w:eastAsia="宋体" w:hint="eastAsia"/>
          <w:sz w:val="18"/>
          <w:szCs w:val="16"/>
          <w:lang w:eastAsia="zh-CN"/>
        </w:rPr>
        <w:t xml:space="preserve">all 2.2. (b) Interior layout of </w:t>
      </w:r>
      <w:r>
        <w:rPr>
          <w:rFonts w:eastAsia="宋体"/>
          <w:sz w:val="18"/>
          <w:szCs w:val="16"/>
          <w:lang w:eastAsia="zh-CN"/>
        </w:rPr>
        <w:t>h</w:t>
      </w:r>
      <w:r>
        <w:rPr>
          <w:rFonts w:eastAsia="宋体" w:hint="eastAsia"/>
          <w:sz w:val="18"/>
          <w:szCs w:val="16"/>
          <w:lang w:eastAsia="zh-CN"/>
        </w:rPr>
        <w:t xml:space="preserve">all 1.2. The blue and red rings represent negative and positive air samples, respectively. The blue stars and red stars represent negative and positive air samples </w:t>
      </w:r>
      <w:r>
        <w:rPr>
          <w:rFonts w:eastAsia="宋体"/>
          <w:sz w:val="18"/>
          <w:szCs w:val="16"/>
          <w:lang w:eastAsia="zh-CN"/>
        </w:rPr>
        <w:t xml:space="preserve">from </w:t>
      </w:r>
      <w:r>
        <w:rPr>
          <w:rFonts w:eastAsia="宋体" w:hint="eastAsia"/>
          <w:sz w:val="18"/>
          <w:szCs w:val="16"/>
          <w:lang w:eastAsia="zh-CN"/>
        </w:rPr>
        <w:t>dynamic monitoring, respectively.</w:t>
      </w:r>
    </w:p>
    <w:p w14:paraId="6621D7E5" w14:textId="77777777" w:rsidR="00256B2F" w:rsidRDefault="00256B2F">
      <w:pPr>
        <w:snapToGrid w:val="0"/>
        <w:spacing w:before="0" w:line="240" w:lineRule="auto"/>
        <w:jc w:val="both"/>
        <w:rPr>
          <w:b/>
          <w:bCs/>
          <w:szCs w:val="24"/>
        </w:rPr>
      </w:pPr>
    </w:p>
    <w:p w14:paraId="53C7DEB1" w14:textId="1D7C8202" w:rsidR="008471D9" w:rsidRDefault="008471D9" w:rsidP="008471D9">
      <w:pPr>
        <w:snapToGrid w:val="0"/>
        <w:spacing w:before="0" w:line="240" w:lineRule="auto"/>
        <w:jc w:val="both"/>
        <w:rPr>
          <w:b/>
          <w:bCs/>
          <w:sz w:val="18"/>
          <w:szCs w:val="18"/>
        </w:rPr>
      </w:pPr>
      <w:r>
        <w:rPr>
          <w:rFonts w:hint="eastAsia"/>
          <w:b/>
          <w:bCs/>
          <w:sz w:val="18"/>
          <w:szCs w:val="18"/>
        </w:rPr>
        <w:t>Table S</w:t>
      </w:r>
      <w:r>
        <w:rPr>
          <w:b/>
          <w:bCs/>
          <w:sz w:val="18"/>
          <w:szCs w:val="18"/>
        </w:rPr>
        <w:t>2</w:t>
      </w:r>
    </w:p>
    <w:p w14:paraId="35B70611" w14:textId="77777777" w:rsidR="008471D9" w:rsidRPr="00F13618" w:rsidRDefault="008471D9" w:rsidP="008471D9">
      <w:pPr>
        <w:snapToGrid w:val="0"/>
        <w:spacing w:before="0" w:line="240" w:lineRule="auto"/>
        <w:jc w:val="both"/>
      </w:pPr>
      <w:r w:rsidRPr="00F13618">
        <w:rPr>
          <w:sz w:val="18"/>
          <w:szCs w:val="18"/>
        </w:rPr>
        <w:t>T</w:t>
      </w:r>
      <w:r w:rsidRPr="00F13618">
        <w:rPr>
          <w:rFonts w:hint="eastAsia"/>
          <w:sz w:val="18"/>
          <w:szCs w:val="18"/>
        </w:rPr>
        <w:t>he</w:t>
      </w:r>
      <w:r w:rsidRPr="00F13618">
        <w:rPr>
          <w:sz w:val="18"/>
          <w:szCs w:val="18"/>
        </w:rPr>
        <w:t xml:space="preserve"> detection </w:t>
      </w:r>
      <w:r w:rsidRPr="00F13618">
        <w:rPr>
          <w:rFonts w:hint="eastAsia"/>
          <w:sz w:val="18"/>
          <w:szCs w:val="18"/>
        </w:rPr>
        <w:t>results</w:t>
      </w:r>
      <w:r w:rsidRPr="00F13618">
        <w:rPr>
          <w:sz w:val="18"/>
          <w:szCs w:val="18"/>
        </w:rPr>
        <w:t xml:space="preserve"> </w:t>
      </w:r>
      <w:r w:rsidRPr="00F13618">
        <w:rPr>
          <w:rFonts w:hint="eastAsia"/>
          <w:sz w:val="18"/>
          <w:szCs w:val="18"/>
        </w:rPr>
        <w:t>of</w:t>
      </w:r>
      <w:r w:rsidRPr="00F13618">
        <w:rPr>
          <w:sz w:val="18"/>
          <w:szCs w:val="18"/>
        </w:rPr>
        <w:t xml:space="preserve"> w</w:t>
      </w:r>
      <w:r w:rsidRPr="00F13618">
        <w:rPr>
          <w:rFonts w:hint="eastAsia"/>
          <w:sz w:val="18"/>
          <w:szCs w:val="18"/>
        </w:rPr>
        <w:t>ind speed and</w:t>
      </w:r>
      <w:r w:rsidRPr="00F13618">
        <w:rPr>
          <w:sz w:val="18"/>
          <w:szCs w:val="18"/>
        </w:rPr>
        <w:t xml:space="preserve"> direction using a PH-1 portable wind anemometer in the medical </w:t>
      </w:r>
      <w:r w:rsidRPr="00F13618">
        <w:rPr>
          <w:rFonts w:hint="eastAsia"/>
          <w:sz w:val="18"/>
          <w:szCs w:val="18"/>
        </w:rPr>
        <w:t>halls</w:t>
      </w:r>
      <w:r w:rsidRPr="00F13618">
        <w:rPr>
          <w:sz w:val="18"/>
          <w:szCs w:val="18"/>
        </w:rPr>
        <w:t xml:space="preserve"> 1.2 and 2.2 at </w:t>
      </w:r>
      <w:proofErr w:type="spellStart"/>
      <w:r w:rsidRPr="00F13618">
        <w:rPr>
          <w:rFonts w:hint="eastAsia"/>
          <w:sz w:val="18"/>
          <w:szCs w:val="18"/>
        </w:rPr>
        <w:t>F</w:t>
      </w:r>
      <w:r w:rsidRPr="00F13618">
        <w:rPr>
          <w:sz w:val="18"/>
          <w:szCs w:val="18"/>
        </w:rPr>
        <w:t>angcang</w:t>
      </w:r>
      <w:proofErr w:type="spellEnd"/>
      <w:r w:rsidRPr="00F13618">
        <w:rPr>
          <w:sz w:val="18"/>
          <w:szCs w:val="18"/>
        </w:rPr>
        <w:t xml:space="preserve"> hospital, 2022.</w:t>
      </w:r>
    </w:p>
    <w:tbl>
      <w:tblPr>
        <w:tblW w:w="4998" w:type="pct"/>
        <w:tblLook w:val="04A0" w:firstRow="1" w:lastRow="0" w:firstColumn="1" w:lastColumn="0" w:noHBand="0" w:noVBand="1"/>
      </w:tblPr>
      <w:tblGrid>
        <w:gridCol w:w="972"/>
        <w:gridCol w:w="972"/>
        <w:gridCol w:w="4528"/>
        <w:gridCol w:w="2112"/>
        <w:gridCol w:w="1882"/>
      </w:tblGrid>
      <w:tr w:rsidR="008471D9" w14:paraId="73958B7F" w14:textId="77777777" w:rsidTr="00C9142C">
        <w:trPr>
          <w:trHeight w:val="270"/>
        </w:trPr>
        <w:tc>
          <w:tcPr>
            <w:tcW w:w="464" w:type="pct"/>
            <w:tcBorders>
              <w:top w:val="single" w:sz="4" w:space="0" w:color="auto"/>
              <w:left w:val="nil"/>
              <w:bottom w:val="single" w:sz="4" w:space="0" w:color="auto"/>
              <w:right w:val="nil"/>
            </w:tcBorders>
            <w:shd w:val="clear" w:color="auto" w:fill="auto"/>
            <w:noWrap/>
            <w:vAlign w:val="center"/>
          </w:tcPr>
          <w:p w14:paraId="497084E1"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No.</w:t>
            </w:r>
          </w:p>
        </w:tc>
        <w:tc>
          <w:tcPr>
            <w:tcW w:w="464" w:type="pct"/>
            <w:tcBorders>
              <w:top w:val="single" w:sz="4" w:space="0" w:color="auto"/>
              <w:left w:val="nil"/>
              <w:bottom w:val="single" w:sz="4" w:space="0" w:color="auto"/>
              <w:right w:val="nil"/>
            </w:tcBorders>
            <w:shd w:val="clear" w:color="auto" w:fill="auto"/>
            <w:noWrap/>
            <w:vAlign w:val="center"/>
          </w:tcPr>
          <w:p w14:paraId="7CA6893F"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Date</w:t>
            </w:r>
          </w:p>
        </w:tc>
        <w:tc>
          <w:tcPr>
            <w:tcW w:w="2163" w:type="pct"/>
            <w:tcBorders>
              <w:top w:val="single" w:sz="4" w:space="0" w:color="auto"/>
              <w:left w:val="nil"/>
              <w:bottom w:val="single" w:sz="4" w:space="0" w:color="auto"/>
              <w:right w:val="nil"/>
            </w:tcBorders>
            <w:shd w:val="clear" w:color="auto" w:fill="auto"/>
            <w:noWrap/>
            <w:vAlign w:val="center"/>
          </w:tcPr>
          <w:p w14:paraId="1BEC2A1A"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Location</w:t>
            </w:r>
          </w:p>
        </w:tc>
        <w:tc>
          <w:tcPr>
            <w:tcW w:w="1009" w:type="pct"/>
            <w:tcBorders>
              <w:top w:val="single" w:sz="4" w:space="0" w:color="auto"/>
              <w:left w:val="nil"/>
              <w:bottom w:val="single" w:sz="4" w:space="0" w:color="auto"/>
              <w:right w:val="nil"/>
            </w:tcBorders>
            <w:shd w:val="clear" w:color="auto" w:fill="auto"/>
            <w:noWrap/>
            <w:vAlign w:val="center"/>
          </w:tcPr>
          <w:p w14:paraId="4E17F6CB"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Direction</w:t>
            </w:r>
          </w:p>
        </w:tc>
        <w:tc>
          <w:tcPr>
            <w:tcW w:w="899" w:type="pct"/>
            <w:tcBorders>
              <w:top w:val="single" w:sz="4" w:space="0" w:color="auto"/>
              <w:left w:val="nil"/>
              <w:bottom w:val="single" w:sz="4" w:space="0" w:color="auto"/>
              <w:right w:val="nil"/>
            </w:tcBorders>
            <w:shd w:val="clear" w:color="auto" w:fill="auto"/>
            <w:noWrap/>
            <w:vAlign w:val="center"/>
          </w:tcPr>
          <w:p w14:paraId="0863B14D"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Speed</w:t>
            </w:r>
            <w:r>
              <w:rPr>
                <w:rFonts w:eastAsia="宋体" w:hint="eastAsia"/>
                <w:color w:val="000000"/>
                <w:sz w:val="15"/>
                <w:szCs w:val="15"/>
                <w:lang w:eastAsia="zh-CN" w:bidi="ar"/>
              </w:rPr>
              <w:t xml:space="preserve"> (</w:t>
            </w:r>
            <w:proofErr w:type="spellStart"/>
            <w:r>
              <w:rPr>
                <w:rFonts w:eastAsia="宋体"/>
                <w:color w:val="000000"/>
                <w:sz w:val="15"/>
                <w:szCs w:val="15"/>
                <w:lang w:eastAsia="zh-CN" w:bidi="ar"/>
              </w:rPr>
              <w:t>m</w:t>
            </w:r>
            <w:r w:rsidRPr="00F13618">
              <w:rPr>
                <w:rFonts w:eastAsia="宋体"/>
                <w:color w:val="000000"/>
                <w:sz w:val="15"/>
                <w:szCs w:val="15"/>
                <w:lang w:eastAsia="zh-CN" w:bidi="ar"/>
              </w:rPr>
              <w:t>·</w:t>
            </w:r>
            <w:r>
              <w:rPr>
                <w:rFonts w:eastAsia="宋体"/>
                <w:color w:val="000000"/>
                <w:sz w:val="15"/>
                <w:szCs w:val="15"/>
                <w:lang w:eastAsia="zh-CN" w:bidi="ar"/>
              </w:rPr>
              <w:t>s</w:t>
            </w:r>
            <w:proofErr w:type="spellEnd"/>
            <w:r w:rsidRPr="00F13618">
              <w:rPr>
                <w:rFonts w:eastAsia="宋体"/>
                <w:color w:val="000000"/>
                <w:sz w:val="15"/>
                <w:szCs w:val="15"/>
                <w:vertAlign w:val="superscript"/>
                <w:lang w:eastAsia="zh-CN" w:bidi="ar"/>
              </w:rPr>
              <w:t>–1</w:t>
            </w:r>
            <w:r>
              <w:rPr>
                <w:rFonts w:eastAsia="宋体" w:hint="eastAsia"/>
                <w:color w:val="000000"/>
                <w:sz w:val="15"/>
                <w:szCs w:val="15"/>
                <w:lang w:eastAsia="zh-CN" w:bidi="ar"/>
              </w:rPr>
              <w:t>)</w:t>
            </w:r>
          </w:p>
        </w:tc>
      </w:tr>
      <w:tr w:rsidR="008471D9" w14:paraId="42CC7FA3" w14:textId="77777777" w:rsidTr="00C9142C">
        <w:trPr>
          <w:trHeight w:val="270"/>
        </w:trPr>
        <w:tc>
          <w:tcPr>
            <w:tcW w:w="464" w:type="pct"/>
            <w:tcBorders>
              <w:top w:val="single" w:sz="4" w:space="0" w:color="auto"/>
              <w:left w:val="nil"/>
              <w:bottom w:val="nil"/>
              <w:right w:val="nil"/>
            </w:tcBorders>
            <w:shd w:val="clear" w:color="auto" w:fill="auto"/>
            <w:noWrap/>
            <w:vAlign w:val="center"/>
          </w:tcPr>
          <w:p w14:paraId="4B156DA3"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1</w:t>
            </w:r>
          </w:p>
        </w:tc>
        <w:tc>
          <w:tcPr>
            <w:tcW w:w="464" w:type="pct"/>
            <w:tcBorders>
              <w:top w:val="single" w:sz="4" w:space="0" w:color="auto"/>
              <w:left w:val="nil"/>
              <w:bottom w:val="nil"/>
              <w:right w:val="nil"/>
            </w:tcBorders>
            <w:shd w:val="clear" w:color="auto" w:fill="auto"/>
            <w:noWrap/>
            <w:vAlign w:val="center"/>
          </w:tcPr>
          <w:p w14:paraId="101BF2A4"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5.4</w:t>
            </w:r>
          </w:p>
        </w:tc>
        <w:tc>
          <w:tcPr>
            <w:tcW w:w="2163" w:type="pct"/>
            <w:tcBorders>
              <w:top w:val="single" w:sz="4" w:space="0" w:color="auto"/>
              <w:left w:val="nil"/>
              <w:bottom w:val="nil"/>
              <w:right w:val="nil"/>
            </w:tcBorders>
            <w:shd w:val="clear" w:color="auto" w:fill="auto"/>
            <w:noWrap/>
            <w:vAlign w:val="center"/>
          </w:tcPr>
          <w:p w14:paraId="1B382AB0" w14:textId="77777777" w:rsidR="008471D9" w:rsidRDefault="008471D9" w:rsidP="00C9142C">
            <w:pPr>
              <w:widowControl/>
              <w:jc w:val="both"/>
              <w:textAlignment w:val="center"/>
              <w:rPr>
                <w:rFonts w:eastAsia="宋体"/>
                <w:color w:val="000000"/>
                <w:sz w:val="15"/>
                <w:szCs w:val="15"/>
              </w:rPr>
            </w:pPr>
            <w:r>
              <w:rPr>
                <w:rFonts w:eastAsia="宋体" w:hint="eastAsia"/>
                <w:color w:val="000000"/>
                <w:sz w:val="15"/>
                <w:szCs w:val="15"/>
                <w:lang w:eastAsia="zh-CN" w:bidi="ar"/>
              </w:rPr>
              <w:t>No.</w:t>
            </w:r>
            <w:r>
              <w:rPr>
                <w:rFonts w:eastAsia="宋体"/>
                <w:color w:val="000000"/>
                <w:sz w:val="15"/>
                <w:szCs w:val="15"/>
                <w:lang w:eastAsia="zh-CN" w:bidi="ar"/>
              </w:rPr>
              <w:t xml:space="preserve"> 8 gate in hall 2</w:t>
            </w:r>
            <w:r>
              <w:rPr>
                <w:rFonts w:eastAsia="宋体" w:hint="eastAsia"/>
                <w:color w:val="000000"/>
                <w:sz w:val="15"/>
                <w:szCs w:val="15"/>
                <w:lang w:eastAsia="zh-CN" w:bidi="ar"/>
              </w:rPr>
              <w:t>.</w:t>
            </w:r>
            <w:r>
              <w:rPr>
                <w:rFonts w:eastAsia="宋体"/>
                <w:color w:val="000000"/>
                <w:sz w:val="15"/>
                <w:szCs w:val="15"/>
                <w:lang w:eastAsia="zh-CN" w:bidi="ar"/>
              </w:rPr>
              <w:t>2</w:t>
            </w:r>
          </w:p>
        </w:tc>
        <w:tc>
          <w:tcPr>
            <w:tcW w:w="1009" w:type="pct"/>
            <w:tcBorders>
              <w:top w:val="single" w:sz="4" w:space="0" w:color="auto"/>
              <w:left w:val="nil"/>
              <w:bottom w:val="nil"/>
              <w:right w:val="nil"/>
            </w:tcBorders>
            <w:shd w:val="clear" w:color="auto" w:fill="auto"/>
            <w:noWrap/>
            <w:vAlign w:val="center"/>
          </w:tcPr>
          <w:p w14:paraId="54CA62C0"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Inward</w:t>
            </w:r>
          </w:p>
        </w:tc>
        <w:tc>
          <w:tcPr>
            <w:tcW w:w="899" w:type="pct"/>
            <w:tcBorders>
              <w:top w:val="single" w:sz="4" w:space="0" w:color="auto"/>
              <w:left w:val="nil"/>
              <w:bottom w:val="nil"/>
              <w:right w:val="nil"/>
            </w:tcBorders>
            <w:shd w:val="clear" w:color="auto" w:fill="auto"/>
            <w:noWrap/>
            <w:vAlign w:val="center"/>
          </w:tcPr>
          <w:p w14:paraId="733B3E28"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1.3</w:t>
            </w:r>
          </w:p>
        </w:tc>
      </w:tr>
      <w:tr w:rsidR="008471D9" w14:paraId="3A33F702" w14:textId="77777777" w:rsidTr="00C9142C">
        <w:trPr>
          <w:trHeight w:val="270"/>
        </w:trPr>
        <w:tc>
          <w:tcPr>
            <w:tcW w:w="464" w:type="pct"/>
            <w:tcBorders>
              <w:top w:val="nil"/>
              <w:left w:val="nil"/>
              <w:bottom w:val="nil"/>
              <w:right w:val="nil"/>
            </w:tcBorders>
            <w:shd w:val="clear" w:color="auto" w:fill="auto"/>
            <w:noWrap/>
            <w:vAlign w:val="center"/>
          </w:tcPr>
          <w:p w14:paraId="3A497AD7"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2</w:t>
            </w:r>
          </w:p>
        </w:tc>
        <w:tc>
          <w:tcPr>
            <w:tcW w:w="464" w:type="pct"/>
            <w:tcBorders>
              <w:top w:val="nil"/>
              <w:left w:val="nil"/>
              <w:bottom w:val="nil"/>
              <w:right w:val="nil"/>
            </w:tcBorders>
            <w:shd w:val="clear" w:color="auto" w:fill="auto"/>
            <w:noWrap/>
            <w:vAlign w:val="center"/>
          </w:tcPr>
          <w:p w14:paraId="2FFA4FCA"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5.4</w:t>
            </w:r>
          </w:p>
        </w:tc>
        <w:tc>
          <w:tcPr>
            <w:tcW w:w="2163" w:type="pct"/>
            <w:tcBorders>
              <w:top w:val="nil"/>
              <w:left w:val="nil"/>
              <w:bottom w:val="nil"/>
              <w:right w:val="nil"/>
            </w:tcBorders>
            <w:shd w:val="clear" w:color="auto" w:fill="auto"/>
            <w:noWrap/>
            <w:vAlign w:val="center"/>
          </w:tcPr>
          <w:p w14:paraId="30D3CF60"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2 m from Gate3 (inward) in hall 2</w:t>
            </w:r>
            <w:r>
              <w:rPr>
                <w:rFonts w:eastAsia="宋体" w:hint="eastAsia"/>
                <w:color w:val="000000"/>
                <w:sz w:val="15"/>
                <w:szCs w:val="15"/>
                <w:lang w:eastAsia="zh-CN" w:bidi="ar"/>
              </w:rPr>
              <w:t>.</w:t>
            </w:r>
            <w:r>
              <w:rPr>
                <w:rFonts w:eastAsia="宋体"/>
                <w:color w:val="000000"/>
                <w:sz w:val="15"/>
                <w:szCs w:val="15"/>
                <w:lang w:eastAsia="zh-CN" w:bidi="ar"/>
              </w:rPr>
              <w:t>2</w:t>
            </w:r>
          </w:p>
        </w:tc>
        <w:tc>
          <w:tcPr>
            <w:tcW w:w="1009" w:type="pct"/>
            <w:tcBorders>
              <w:top w:val="nil"/>
              <w:left w:val="nil"/>
              <w:bottom w:val="nil"/>
              <w:right w:val="nil"/>
            </w:tcBorders>
            <w:shd w:val="clear" w:color="auto" w:fill="auto"/>
            <w:noWrap/>
            <w:vAlign w:val="center"/>
          </w:tcPr>
          <w:p w14:paraId="48C76B4B"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Inward</w:t>
            </w:r>
          </w:p>
        </w:tc>
        <w:tc>
          <w:tcPr>
            <w:tcW w:w="899" w:type="pct"/>
            <w:tcBorders>
              <w:top w:val="nil"/>
              <w:left w:val="nil"/>
              <w:bottom w:val="nil"/>
              <w:right w:val="nil"/>
            </w:tcBorders>
            <w:shd w:val="clear" w:color="auto" w:fill="auto"/>
            <w:noWrap/>
            <w:vAlign w:val="center"/>
          </w:tcPr>
          <w:p w14:paraId="256BF8C9"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0.5</w:t>
            </w:r>
          </w:p>
        </w:tc>
      </w:tr>
      <w:tr w:rsidR="008471D9" w14:paraId="5BF07871" w14:textId="77777777" w:rsidTr="00C9142C">
        <w:trPr>
          <w:trHeight w:val="270"/>
        </w:trPr>
        <w:tc>
          <w:tcPr>
            <w:tcW w:w="464" w:type="pct"/>
            <w:tcBorders>
              <w:top w:val="nil"/>
              <w:left w:val="nil"/>
              <w:bottom w:val="nil"/>
              <w:right w:val="nil"/>
            </w:tcBorders>
            <w:shd w:val="clear" w:color="auto" w:fill="auto"/>
            <w:noWrap/>
            <w:vAlign w:val="center"/>
          </w:tcPr>
          <w:p w14:paraId="7697E635"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3</w:t>
            </w:r>
          </w:p>
        </w:tc>
        <w:tc>
          <w:tcPr>
            <w:tcW w:w="464" w:type="pct"/>
            <w:tcBorders>
              <w:top w:val="nil"/>
              <w:left w:val="nil"/>
              <w:bottom w:val="nil"/>
              <w:right w:val="nil"/>
            </w:tcBorders>
            <w:shd w:val="clear" w:color="auto" w:fill="auto"/>
            <w:noWrap/>
            <w:vAlign w:val="center"/>
          </w:tcPr>
          <w:p w14:paraId="3C678154"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5.4</w:t>
            </w:r>
          </w:p>
        </w:tc>
        <w:tc>
          <w:tcPr>
            <w:tcW w:w="2163" w:type="pct"/>
            <w:tcBorders>
              <w:top w:val="nil"/>
              <w:left w:val="nil"/>
              <w:bottom w:val="nil"/>
              <w:right w:val="nil"/>
            </w:tcBorders>
            <w:shd w:val="clear" w:color="auto" w:fill="auto"/>
            <w:noWrap/>
            <w:vAlign w:val="center"/>
          </w:tcPr>
          <w:p w14:paraId="69D959F1"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4 m from Gate3 (inward) in hall 2</w:t>
            </w:r>
            <w:r>
              <w:rPr>
                <w:rFonts w:eastAsia="宋体" w:hint="eastAsia"/>
                <w:color w:val="000000"/>
                <w:sz w:val="15"/>
                <w:szCs w:val="15"/>
                <w:lang w:eastAsia="zh-CN" w:bidi="ar"/>
              </w:rPr>
              <w:t>.</w:t>
            </w:r>
            <w:r>
              <w:rPr>
                <w:rFonts w:eastAsia="宋体"/>
                <w:color w:val="000000"/>
                <w:sz w:val="15"/>
                <w:szCs w:val="15"/>
                <w:lang w:eastAsia="zh-CN" w:bidi="ar"/>
              </w:rPr>
              <w:t>2</w:t>
            </w:r>
          </w:p>
        </w:tc>
        <w:tc>
          <w:tcPr>
            <w:tcW w:w="1009" w:type="pct"/>
            <w:tcBorders>
              <w:top w:val="nil"/>
              <w:left w:val="nil"/>
              <w:bottom w:val="nil"/>
              <w:right w:val="nil"/>
            </w:tcBorders>
            <w:shd w:val="clear" w:color="auto" w:fill="auto"/>
            <w:noWrap/>
            <w:vAlign w:val="center"/>
          </w:tcPr>
          <w:p w14:paraId="525C5801"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Windless</w:t>
            </w:r>
          </w:p>
        </w:tc>
        <w:tc>
          <w:tcPr>
            <w:tcW w:w="899" w:type="pct"/>
            <w:tcBorders>
              <w:top w:val="nil"/>
              <w:left w:val="nil"/>
              <w:bottom w:val="nil"/>
              <w:right w:val="nil"/>
            </w:tcBorders>
            <w:shd w:val="clear" w:color="auto" w:fill="auto"/>
            <w:noWrap/>
            <w:vAlign w:val="center"/>
          </w:tcPr>
          <w:p w14:paraId="3BA8F5F4"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w:t>
            </w:r>
          </w:p>
        </w:tc>
      </w:tr>
      <w:tr w:rsidR="008471D9" w14:paraId="058E51FB" w14:textId="77777777" w:rsidTr="00C9142C">
        <w:trPr>
          <w:trHeight w:val="270"/>
        </w:trPr>
        <w:tc>
          <w:tcPr>
            <w:tcW w:w="464" w:type="pct"/>
            <w:tcBorders>
              <w:top w:val="nil"/>
              <w:left w:val="nil"/>
              <w:bottom w:val="nil"/>
              <w:right w:val="nil"/>
            </w:tcBorders>
            <w:shd w:val="clear" w:color="auto" w:fill="auto"/>
            <w:noWrap/>
            <w:vAlign w:val="center"/>
          </w:tcPr>
          <w:p w14:paraId="334968FC"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4</w:t>
            </w:r>
          </w:p>
        </w:tc>
        <w:tc>
          <w:tcPr>
            <w:tcW w:w="464" w:type="pct"/>
            <w:tcBorders>
              <w:top w:val="nil"/>
              <w:left w:val="nil"/>
              <w:bottom w:val="nil"/>
              <w:right w:val="nil"/>
            </w:tcBorders>
            <w:shd w:val="clear" w:color="auto" w:fill="auto"/>
            <w:noWrap/>
            <w:vAlign w:val="center"/>
          </w:tcPr>
          <w:p w14:paraId="224D4E89"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5.4</w:t>
            </w:r>
          </w:p>
        </w:tc>
        <w:tc>
          <w:tcPr>
            <w:tcW w:w="2163" w:type="pct"/>
            <w:tcBorders>
              <w:top w:val="nil"/>
              <w:left w:val="nil"/>
              <w:bottom w:val="nil"/>
              <w:right w:val="nil"/>
            </w:tcBorders>
            <w:shd w:val="clear" w:color="auto" w:fill="auto"/>
            <w:noWrap/>
            <w:vAlign w:val="center"/>
          </w:tcPr>
          <w:p w14:paraId="0ACAA016"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No. 6 Gate in hall 2</w:t>
            </w:r>
            <w:r>
              <w:rPr>
                <w:rFonts w:eastAsia="宋体" w:hint="eastAsia"/>
                <w:color w:val="000000"/>
                <w:sz w:val="15"/>
                <w:szCs w:val="15"/>
                <w:lang w:eastAsia="zh-CN" w:bidi="ar"/>
              </w:rPr>
              <w:t>.</w:t>
            </w:r>
            <w:r>
              <w:rPr>
                <w:rFonts w:eastAsia="宋体"/>
                <w:color w:val="000000"/>
                <w:sz w:val="15"/>
                <w:szCs w:val="15"/>
                <w:lang w:eastAsia="zh-CN" w:bidi="ar"/>
              </w:rPr>
              <w:t>2</w:t>
            </w:r>
          </w:p>
        </w:tc>
        <w:tc>
          <w:tcPr>
            <w:tcW w:w="1009" w:type="pct"/>
            <w:tcBorders>
              <w:top w:val="nil"/>
              <w:left w:val="nil"/>
              <w:bottom w:val="nil"/>
              <w:right w:val="nil"/>
            </w:tcBorders>
            <w:shd w:val="clear" w:color="auto" w:fill="auto"/>
            <w:noWrap/>
            <w:vAlign w:val="center"/>
          </w:tcPr>
          <w:p w14:paraId="1A6C15F4"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Outward</w:t>
            </w:r>
          </w:p>
        </w:tc>
        <w:tc>
          <w:tcPr>
            <w:tcW w:w="899" w:type="pct"/>
            <w:tcBorders>
              <w:top w:val="nil"/>
              <w:left w:val="nil"/>
              <w:bottom w:val="nil"/>
              <w:right w:val="nil"/>
            </w:tcBorders>
            <w:shd w:val="clear" w:color="auto" w:fill="auto"/>
            <w:noWrap/>
            <w:vAlign w:val="center"/>
          </w:tcPr>
          <w:p w14:paraId="3F9300B1"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0.2</w:t>
            </w:r>
          </w:p>
        </w:tc>
      </w:tr>
      <w:tr w:rsidR="008471D9" w14:paraId="2939CE92" w14:textId="77777777" w:rsidTr="00C9142C">
        <w:trPr>
          <w:trHeight w:val="270"/>
        </w:trPr>
        <w:tc>
          <w:tcPr>
            <w:tcW w:w="464" w:type="pct"/>
            <w:tcBorders>
              <w:top w:val="nil"/>
              <w:left w:val="nil"/>
              <w:bottom w:val="nil"/>
              <w:right w:val="nil"/>
            </w:tcBorders>
            <w:shd w:val="clear" w:color="auto" w:fill="auto"/>
            <w:noWrap/>
            <w:vAlign w:val="center"/>
          </w:tcPr>
          <w:p w14:paraId="3FEBCF31" w14:textId="77777777" w:rsidR="008471D9" w:rsidRDefault="008471D9" w:rsidP="00C9142C">
            <w:pPr>
              <w:widowControl/>
              <w:jc w:val="both"/>
              <w:textAlignment w:val="center"/>
              <w:rPr>
                <w:rFonts w:eastAsia="宋体"/>
                <w:color w:val="000000"/>
                <w:sz w:val="15"/>
                <w:szCs w:val="15"/>
                <w:lang w:eastAsia="zh-CN" w:bidi="ar"/>
              </w:rPr>
            </w:pPr>
            <w:r>
              <w:rPr>
                <w:rFonts w:eastAsia="宋体" w:hint="eastAsia"/>
                <w:color w:val="000000"/>
                <w:sz w:val="15"/>
                <w:szCs w:val="15"/>
                <w:lang w:eastAsia="zh-CN" w:bidi="ar"/>
              </w:rPr>
              <w:t>5</w:t>
            </w:r>
          </w:p>
        </w:tc>
        <w:tc>
          <w:tcPr>
            <w:tcW w:w="464" w:type="pct"/>
            <w:tcBorders>
              <w:top w:val="nil"/>
              <w:left w:val="nil"/>
              <w:bottom w:val="nil"/>
              <w:right w:val="nil"/>
            </w:tcBorders>
            <w:shd w:val="clear" w:color="auto" w:fill="auto"/>
            <w:noWrap/>
            <w:vAlign w:val="center"/>
          </w:tcPr>
          <w:p w14:paraId="54786FCE"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5.4</w:t>
            </w:r>
          </w:p>
        </w:tc>
        <w:tc>
          <w:tcPr>
            <w:tcW w:w="2163" w:type="pct"/>
            <w:tcBorders>
              <w:top w:val="nil"/>
              <w:left w:val="nil"/>
              <w:bottom w:val="nil"/>
              <w:right w:val="nil"/>
            </w:tcBorders>
            <w:shd w:val="clear" w:color="auto" w:fill="auto"/>
            <w:noWrap/>
            <w:vAlign w:val="center"/>
          </w:tcPr>
          <w:p w14:paraId="2B6605FB"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Passage between E5 and E6 in hall 2</w:t>
            </w:r>
            <w:r>
              <w:rPr>
                <w:rFonts w:eastAsia="宋体" w:hint="eastAsia"/>
                <w:color w:val="000000"/>
                <w:sz w:val="15"/>
                <w:szCs w:val="15"/>
                <w:lang w:eastAsia="zh-CN" w:bidi="ar"/>
              </w:rPr>
              <w:t>.</w:t>
            </w:r>
            <w:r>
              <w:rPr>
                <w:rFonts w:eastAsia="宋体"/>
                <w:color w:val="000000"/>
                <w:sz w:val="15"/>
                <w:szCs w:val="15"/>
                <w:lang w:eastAsia="zh-CN" w:bidi="ar"/>
              </w:rPr>
              <w:t>2</w:t>
            </w:r>
          </w:p>
        </w:tc>
        <w:tc>
          <w:tcPr>
            <w:tcW w:w="1009" w:type="pct"/>
            <w:tcBorders>
              <w:top w:val="nil"/>
              <w:left w:val="nil"/>
              <w:bottom w:val="nil"/>
              <w:right w:val="nil"/>
            </w:tcBorders>
            <w:shd w:val="clear" w:color="auto" w:fill="auto"/>
            <w:noWrap/>
            <w:vAlign w:val="center"/>
          </w:tcPr>
          <w:p w14:paraId="0400475A"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Outward</w:t>
            </w:r>
          </w:p>
        </w:tc>
        <w:tc>
          <w:tcPr>
            <w:tcW w:w="899" w:type="pct"/>
            <w:tcBorders>
              <w:top w:val="nil"/>
              <w:left w:val="nil"/>
              <w:bottom w:val="nil"/>
              <w:right w:val="nil"/>
            </w:tcBorders>
            <w:shd w:val="clear" w:color="auto" w:fill="auto"/>
            <w:noWrap/>
            <w:vAlign w:val="center"/>
          </w:tcPr>
          <w:p w14:paraId="19BE0105"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0.2</w:t>
            </w:r>
          </w:p>
        </w:tc>
      </w:tr>
      <w:tr w:rsidR="008471D9" w14:paraId="17CF0C05" w14:textId="77777777" w:rsidTr="00C9142C">
        <w:trPr>
          <w:trHeight w:val="270"/>
        </w:trPr>
        <w:tc>
          <w:tcPr>
            <w:tcW w:w="464" w:type="pct"/>
            <w:tcBorders>
              <w:top w:val="nil"/>
              <w:left w:val="nil"/>
              <w:bottom w:val="nil"/>
              <w:right w:val="nil"/>
            </w:tcBorders>
            <w:shd w:val="clear" w:color="auto" w:fill="auto"/>
            <w:noWrap/>
            <w:vAlign w:val="center"/>
          </w:tcPr>
          <w:p w14:paraId="29B681E5" w14:textId="77777777" w:rsidR="008471D9" w:rsidRDefault="008471D9" w:rsidP="00C9142C">
            <w:pPr>
              <w:widowControl/>
              <w:jc w:val="both"/>
              <w:textAlignment w:val="center"/>
              <w:rPr>
                <w:rFonts w:eastAsia="宋体"/>
                <w:color w:val="000000"/>
                <w:sz w:val="15"/>
                <w:szCs w:val="15"/>
                <w:lang w:eastAsia="zh-CN" w:bidi="ar"/>
              </w:rPr>
            </w:pPr>
            <w:r>
              <w:rPr>
                <w:rFonts w:eastAsia="宋体" w:hint="eastAsia"/>
                <w:color w:val="000000"/>
                <w:sz w:val="15"/>
                <w:szCs w:val="15"/>
                <w:lang w:eastAsia="zh-CN" w:bidi="ar"/>
              </w:rPr>
              <w:t>6</w:t>
            </w:r>
          </w:p>
        </w:tc>
        <w:tc>
          <w:tcPr>
            <w:tcW w:w="464" w:type="pct"/>
            <w:tcBorders>
              <w:top w:val="nil"/>
              <w:left w:val="nil"/>
              <w:bottom w:val="nil"/>
              <w:right w:val="nil"/>
            </w:tcBorders>
            <w:shd w:val="clear" w:color="auto" w:fill="auto"/>
            <w:noWrap/>
            <w:vAlign w:val="center"/>
          </w:tcPr>
          <w:p w14:paraId="59A1F346"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5.4</w:t>
            </w:r>
          </w:p>
        </w:tc>
        <w:tc>
          <w:tcPr>
            <w:tcW w:w="2163" w:type="pct"/>
            <w:tcBorders>
              <w:top w:val="nil"/>
              <w:left w:val="nil"/>
              <w:bottom w:val="nil"/>
              <w:right w:val="nil"/>
            </w:tcBorders>
            <w:shd w:val="clear" w:color="auto" w:fill="auto"/>
            <w:noWrap/>
            <w:vAlign w:val="center"/>
          </w:tcPr>
          <w:p w14:paraId="34FEB067"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No. 7 nurse station in hall 2</w:t>
            </w:r>
            <w:r>
              <w:rPr>
                <w:rFonts w:eastAsia="宋体" w:hint="eastAsia"/>
                <w:color w:val="000000"/>
                <w:sz w:val="15"/>
                <w:szCs w:val="15"/>
                <w:lang w:eastAsia="zh-CN" w:bidi="ar"/>
              </w:rPr>
              <w:t>.</w:t>
            </w:r>
            <w:r>
              <w:rPr>
                <w:rFonts w:eastAsia="宋体"/>
                <w:color w:val="000000"/>
                <w:sz w:val="15"/>
                <w:szCs w:val="15"/>
                <w:lang w:eastAsia="zh-CN" w:bidi="ar"/>
              </w:rPr>
              <w:t>2</w:t>
            </w:r>
          </w:p>
        </w:tc>
        <w:tc>
          <w:tcPr>
            <w:tcW w:w="1009" w:type="pct"/>
            <w:tcBorders>
              <w:top w:val="nil"/>
              <w:left w:val="nil"/>
              <w:bottom w:val="nil"/>
              <w:right w:val="nil"/>
            </w:tcBorders>
            <w:shd w:val="clear" w:color="auto" w:fill="auto"/>
            <w:noWrap/>
            <w:vAlign w:val="center"/>
          </w:tcPr>
          <w:p w14:paraId="29C22F71"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Outward</w:t>
            </w:r>
          </w:p>
        </w:tc>
        <w:tc>
          <w:tcPr>
            <w:tcW w:w="899" w:type="pct"/>
            <w:tcBorders>
              <w:top w:val="nil"/>
              <w:left w:val="nil"/>
              <w:bottom w:val="nil"/>
              <w:right w:val="nil"/>
            </w:tcBorders>
            <w:shd w:val="clear" w:color="auto" w:fill="auto"/>
            <w:noWrap/>
            <w:vAlign w:val="center"/>
          </w:tcPr>
          <w:p w14:paraId="19A2DB98"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0.2</w:t>
            </w:r>
          </w:p>
        </w:tc>
      </w:tr>
      <w:tr w:rsidR="008471D9" w14:paraId="6E2F494E" w14:textId="77777777" w:rsidTr="00C9142C">
        <w:trPr>
          <w:trHeight w:val="270"/>
        </w:trPr>
        <w:tc>
          <w:tcPr>
            <w:tcW w:w="464" w:type="pct"/>
            <w:tcBorders>
              <w:top w:val="nil"/>
              <w:left w:val="nil"/>
              <w:bottom w:val="nil"/>
              <w:right w:val="nil"/>
            </w:tcBorders>
            <w:shd w:val="clear" w:color="auto" w:fill="auto"/>
            <w:noWrap/>
            <w:vAlign w:val="center"/>
          </w:tcPr>
          <w:p w14:paraId="7D0CDF53"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7</w:t>
            </w:r>
          </w:p>
        </w:tc>
        <w:tc>
          <w:tcPr>
            <w:tcW w:w="464" w:type="pct"/>
            <w:tcBorders>
              <w:top w:val="nil"/>
              <w:left w:val="nil"/>
              <w:bottom w:val="nil"/>
              <w:right w:val="nil"/>
            </w:tcBorders>
            <w:shd w:val="clear" w:color="auto" w:fill="auto"/>
            <w:noWrap/>
            <w:vAlign w:val="center"/>
          </w:tcPr>
          <w:p w14:paraId="71E0663D"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5.4</w:t>
            </w:r>
          </w:p>
        </w:tc>
        <w:tc>
          <w:tcPr>
            <w:tcW w:w="2163" w:type="pct"/>
            <w:tcBorders>
              <w:top w:val="nil"/>
              <w:left w:val="nil"/>
              <w:bottom w:val="nil"/>
              <w:right w:val="nil"/>
            </w:tcBorders>
            <w:shd w:val="clear" w:color="auto" w:fill="auto"/>
            <w:noWrap/>
            <w:vAlign w:val="center"/>
          </w:tcPr>
          <w:p w14:paraId="48BF325D"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No. 5 Gate in hall 2</w:t>
            </w:r>
            <w:r>
              <w:rPr>
                <w:rFonts w:eastAsia="宋体" w:hint="eastAsia"/>
                <w:color w:val="000000"/>
                <w:sz w:val="15"/>
                <w:szCs w:val="15"/>
                <w:lang w:eastAsia="zh-CN" w:bidi="ar"/>
              </w:rPr>
              <w:t>.</w:t>
            </w:r>
            <w:r>
              <w:rPr>
                <w:rFonts w:eastAsia="宋体"/>
                <w:color w:val="000000"/>
                <w:sz w:val="15"/>
                <w:szCs w:val="15"/>
                <w:lang w:eastAsia="zh-CN" w:bidi="ar"/>
              </w:rPr>
              <w:t>2</w:t>
            </w:r>
          </w:p>
        </w:tc>
        <w:tc>
          <w:tcPr>
            <w:tcW w:w="1009" w:type="pct"/>
            <w:tcBorders>
              <w:top w:val="nil"/>
              <w:left w:val="nil"/>
              <w:bottom w:val="nil"/>
              <w:right w:val="nil"/>
            </w:tcBorders>
            <w:shd w:val="clear" w:color="auto" w:fill="auto"/>
            <w:noWrap/>
            <w:vAlign w:val="center"/>
          </w:tcPr>
          <w:p w14:paraId="69FBEB88"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Outward</w:t>
            </w:r>
          </w:p>
        </w:tc>
        <w:tc>
          <w:tcPr>
            <w:tcW w:w="899" w:type="pct"/>
            <w:tcBorders>
              <w:top w:val="nil"/>
              <w:left w:val="nil"/>
              <w:bottom w:val="nil"/>
              <w:right w:val="nil"/>
            </w:tcBorders>
            <w:shd w:val="clear" w:color="auto" w:fill="auto"/>
            <w:noWrap/>
            <w:vAlign w:val="center"/>
          </w:tcPr>
          <w:p w14:paraId="0087A0C5"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0.4</w:t>
            </w:r>
          </w:p>
        </w:tc>
      </w:tr>
      <w:tr w:rsidR="008471D9" w14:paraId="733E98B5" w14:textId="77777777" w:rsidTr="00C9142C">
        <w:trPr>
          <w:trHeight w:val="270"/>
        </w:trPr>
        <w:tc>
          <w:tcPr>
            <w:tcW w:w="464" w:type="pct"/>
            <w:tcBorders>
              <w:top w:val="nil"/>
              <w:left w:val="nil"/>
              <w:bottom w:val="nil"/>
              <w:right w:val="nil"/>
            </w:tcBorders>
            <w:shd w:val="clear" w:color="auto" w:fill="auto"/>
            <w:noWrap/>
            <w:vAlign w:val="center"/>
          </w:tcPr>
          <w:p w14:paraId="271C27D4" w14:textId="77777777" w:rsidR="008471D9" w:rsidRDefault="008471D9" w:rsidP="00C9142C">
            <w:pPr>
              <w:widowControl/>
              <w:jc w:val="both"/>
              <w:textAlignment w:val="center"/>
              <w:rPr>
                <w:rFonts w:eastAsia="宋体"/>
                <w:color w:val="000000"/>
                <w:sz w:val="15"/>
                <w:szCs w:val="15"/>
                <w:lang w:eastAsia="zh-CN" w:bidi="ar"/>
              </w:rPr>
            </w:pPr>
            <w:r>
              <w:rPr>
                <w:rFonts w:eastAsia="宋体" w:hint="eastAsia"/>
                <w:color w:val="000000"/>
                <w:sz w:val="15"/>
                <w:szCs w:val="15"/>
                <w:lang w:eastAsia="zh-CN" w:bidi="ar"/>
              </w:rPr>
              <w:lastRenderedPageBreak/>
              <w:t>8</w:t>
            </w:r>
          </w:p>
        </w:tc>
        <w:tc>
          <w:tcPr>
            <w:tcW w:w="464" w:type="pct"/>
            <w:tcBorders>
              <w:top w:val="nil"/>
              <w:left w:val="nil"/>
              <w:bottom w:val="nil"/>
              <w:right w:val="nil"/>
            </w:tcBorders>
            <w:shd w:val="clear" w:color="auto" w:fill="auto"/>
            <w:noWrap/>
            <w:vAlign w:val="center"/>
          </w:tcPr>
          <w:p w14:paraId="7E30C402"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5.4</w:t>
            </w:r>
          </w:p>
        </w:tc>
        <w:tc>
          <w:tcPr>
            <w:tcW w:w="2163" w:type="pct"/>
            <w:tcBorders>
              <w:top w:val="nil"/>
              <w:left w:val="nil"/>
              <w:bottom w:val="nil"/>
              <w:right w:val="nil"/>
            </w:tcBorders>
            <w:shd w:val="clear" w:color="auto" w:fill="auto"/>
            <w:noWrap/>
            <w:vAlign w:val="center"/>
          </w:tcPr>
          <w:p w14:paraId="2FDC7252"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Passage between E1and E2 in hall 2</w:t>
            </w:r>
            <w:r>
              <w:rPr>
                <w:rFonts w:eastAsia="宋体" w:hint="eastAsia"/>
                <w:color w:val="000000"/>
                <w:sz w:val="15"/>
                <w:szCs w:val="15"/>
                <w:lang w:eastAsia="zh-CN" w:bidi="ar"/>
              </w:rPr>
              <w:t>.</w:t>
            </w:r>
            <w:r>
              <w:rPr>
                <w:rFonts w:eastAsia="宋体"/>
                <w:color w:val="000000"/>
                <w:sz w:val="15"/>
                <w:szCs w:val="15"/>
                <w:lang w:eastAsia="zh-CN" w:bidi="ar"/>
              </w:rPr>
              <w:t>2</w:t>
            </w:r>
          </w:p>
        </w:tc>
        <w:tc>
          <w:tcPr>
            <w:tcW w:w="1009" w:type="pct"/>
            <w:tcBorders>
              <w:top w:val="nil"/>
              <w:left w:val="nil"/>
              <w:bottom w:val="nil"/>
              <w:right w:val="nil"/>
            </w:tcBorders>
            <w:shd w:val="clear" w:color="auto" w:fill="auto"/>
            <w:noWrap/>
            <w:vAlign w:val="center"/>
          </w:tcPr>
          <w:p w14:paraId="371A755A"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Outward</w:t>
            </w:r>
          </w:p>
        </w:tc>
        <w:tc>
          <w:tcPr>
            <w:tcW w:w="899" w:type="pct"/>
            <w:tcBorders>
              <w:top w:val="nil"/>
              <w:left w:val="nil"/>
              <w:bottom w:val="nil"/>
              <w:right w:val="nil"/>
            </w:tcBorders>
            <w:shd w:val="clear" w:color="auto" w:fill="auto"/>
            <w:noWrap/>
            <w:vAlign w:val="center"/>
          </w:tcPr>
          <w:p w14:paraId="0D14D511"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0.4</w:t>
            </w:r>
          </w:p>
        </w:tc>
      </w:tr>
      <w:tr w:rsidR="008471D9" w14:paraId="63A3D82E" w14:textId="77777777" w:rsidTr="00C9142C">
        <w:trPr>
          <w:trHeight w:val="270"/>
        </w:trPr>
        <w:tc>
          <w:tcPr>
            <w:tcW w:w="464" w:type="pct"/>
            <w:tcBorders>
              <w:top w:val="nil"/>
              <w:left w:val="nil"/>
              <w:bottom w:val="nil"/>
              <w:right w:val="nil"/>
            </w:tcBorders>
            <w:shd w:val="clear" w:color="auto" w:fill="auto"/>
            <w:noWrap/>
            <w:vAlign w:val="center"/>
          </w:tcPr>
          <w:p w14:paraId="4375460C" w14:textId="77777777" w:rsidR="008471D9" w:rsidRDefault="008471D9" w:rsidP="00C9142C">
            <w:pPr>
              <w:widowControl/>
              <w:jc w:val="both"/>
              <w:textAlignment w:val="center"/>
              <w:rPr>
                <w:rFonts w:eastAsia="宋体"/>
                <w:color w:val="000000"/>
                <w:sz w:val="15"/>
                <w:szCs w:val="15"/>
                <w:lang w:eastAsia="zh-CN" w:bidi="ar"/>
              </w:rPr>
            </w:pPr>
            <w:r>
              <w:rPr>
                <w:rFonts w:eastAsia="宋体" w:hint="eastAsia"/>
                <w:color w:val="000000"/>
                <w:sz w:val="15"/>
                <w:szCs w:val="15"/>
                <w:lang w:eastAsia="zh-CN" w:bidi="ar"/>
              </w:rPr>
              <w:t>9</w:t>
            </w:r>
          </w:p>
        </w:tc>
        <w:tc>
          <w:tcPr>
            <w:tcW w:w="464" w:type="pct"/>
            <w:tcBorders>
              <w:top w:val="nil"/>
              <w:left w:val="nil"/>
              <w:bottom w:val="nil"/>
              <w:right w:val="nil"/>
            </w:tcBorders>
            <w:shd w:val="clear" w:color="auto" w:fill="auto"/>
            <w:noWrap/>
            <w:vAlign w:val="center"/>
          </w:tcPr>
          <w:p w14:paraId="050D2297"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5.4</w:t>
            </w:r>
          </w:p>
        </w:tc>
        <w:tc>
          <w:tcPr>
            <w:tcW w:w="2163" w:type="pct"/>
            <w:tcBorders>
              <w:top w:val="nil"/>
              <w:left w:val="nil"/>
              <w:bottom w:val="nil"/>
              <w:right w:val="nil"/>
            </w:tcBorders>
            <w:shd w:val="clear" w:color="auto" w:fill="auto"/>
            <w:noWrap/>
            <w:vAlign w:val="center"/>
          </w:tcPr>
          <w:p w14:paraId="63F4A15E"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No. 6 nurse station in hall 2</w:t>
            </w:r>
            <w:r>
              <w:rPr>
                <w:rFonts w:eastAsia="宋体" w:hint="eastAsia"/>
                <w:color w:val="000000"/>
                <w:sz w:val="15"/>
                <w:szCs w:val="15"/>
                <w:lang w:eastAsia="zh-CN" w:bidi="ar"/>
              </w:rPr>
              <w:t>.</w:t>
            </w:r>
            <w:r>
              <w:rPr>
                <w:rFonts w:eastAsia="宋体"/>
                <w:color w:val="000000"/>
                <w:sz w:val="15"/>
                <w:szCs w:val="15"/>
                <w:lang w:eastAsia="zh-CN" w:bidi="ar"/>
              </w:rPr>
              <w:t>2</w:t>
            </w:r>
          </w:p>
        </w:tc>
        <w:tc>
          <w:tcPr>
            <w:tcW w:w="1009" w:type="pct"/>
            <w:tcBorders>
              <w:top w:val="nil"/>
              <w:left w:val="nil"/>
              <w:bottom w:val="nil"/>
              <w:right w:val="nil"/>
            </w:tcBorders>
            <w:shd w:val="clear" w:color="auto" w:fill="auto"/>
            <w:noWrap/>
            <w:vAlign w:val="center"/>
          </w:tcPr>
          <w:p w14:paraId="3ADF7AED"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Outward</w:t>
            </w:r>
          </w:p>
        </w:tc>
        <w:tc>
          <w:tcPr>
            <w:tcW w:w="899" w:type="pct"/>
            <w:tcBorders>
              <w:top w:val="nil"/>
              <w:left w:val="nil"/>
              <w:bottom w:val="nil"/>
              <w:right w:val="nil"/>
            </w:tcBorders>
            <w:shd w:val="clear" w:color="auto" w:fill="auto"/>
            <w:noWrap/>
            <w:vAlign w:val="center"/>
          </w:tcPr>
          <w:p w14:paraId="2A7B9F87"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0.4</w:t>
            </w:r>
          </w:p>
        </w:tc>
      </w:tr>
      <w:tr w:rsidR="008471D9" w14:paraId="32F7BDEF" w14:textId="77777777" w:rsidTr="00C9142C">
        <w:trPr>
          <w:trHeight w:val="270"/>
        </w:trPr>
        <w:tc>
          <w:tcPr>
            <w:tcW w:w="464" w:type="pct"/>
            <w:tcBorders>
              <w:top w:val="nil"/>
              <w:left w:val="nil"/>
              <w:bottom w:val="nil"/>
              <w:right w:val="nil"/>
            </w:tcBorders>
            <w:shd w:val="clear" w:color="auto" w:fill="auto"/>
            <w:noWrap/>
            <w:vAlign w:val="center"/>
          </w:tcPr>
          <w:p w14:paraId="1FA94A42"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10</w:t>
            </w:r>
          </w:p>
        </w:tc>
        <w:tc>
          <w:tcPr>
            <w:tcW w:w="464" w:type="pct"/>
            <w:tcBorders>
              <w:top w:val="nil"/>
              <w:left w:val="nil"/>
              <w:bottom w:val="nil"/>
              <w:right w:val="nil"/>
            </w:tcBorders>
            <w:shd w:val="clear" w:color="auto" w:fill="auto"/>
            <w:noWrap/>
            <w:vAlign w:val="center"/>
          </w:tcPr>
          <w:p w14:paraId="3C928EE2"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5.4</w:t>
            </w:r>
          </w:p>
        </w:tc>
        <w:tc>
          <w:tcPr>
            <w:tcW w:w="2163" w:type="pct"/>
            <w:tcBorders>
              <w:top w:val="nil"/>
              <w:left w:val="nil"/>
              <w:bottom w:val="nil"/>
              <w:right w:val="nil"/>
            </w:tcBorders>
            <w:shd w:val="clear" w:color="auto" w:fill="auto"/>
            <w:noWrap/>
            <w:vAlign w:val="center"/>
          </w:tcPr>
          <w:p w14:paraId="5D8043D3"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ventilation inlet in hall 2</w:t>
            </w:r>
            <w:r>
              <w:rPr>
                <w:rFonts w:eastAsia="宋体" w:hint="eastAsia"/>
                <w:color w:val="000000"/>
                <w:sz w:val="15"/>
                <w:szCs w:val="15"/>
                <w:lang w:eastAsia="zh-CN" w:bidi="ar"/>
              </w:rPr>
              <w:t>.</w:t>
            </w:r>
            <w:r>
              <w:rPr>
                <w:rFonts w:eastAsia="宋体"/>
                <w:color w:val="000000"/>
                <w:sz w:val="15"/>
                <w:szCs w:val="15"/>
                <w:lang w:eastAsia="zh-CN" w:bidi="ar"/>
              </w:rPr>
              <w:t>2</w:t>
            </w:r>
          </w:p>
        </w:tc>
        <w:tc>
          <w:tcPr>
            <w:tcW w:w="1009" w:type="pct"/>
            <w:tcBorders>
              <w:top w:val="nil"/>
              <w:left w:val="nil"/>
              <w:bottom w:val="nil"/>
              <w:right w:val="nil"/>
            </w:tcBorders>
            <w:shd w:val="clear" w:color="auto" w:fill="auto"/>
            <w:noWrap/>
            <w:vAlign w:val="center"/>
          </w:tcPr>
          <w:p w14:paraId="1CB6D9AF"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Outward</w:t>
            </w:r>
          </w:p>
        </w:tc>
        <w:tc>
          <w:tcPr>
            <w:tcW w:w="899" w:type="pct"/>
            <w:tcBorders>
              <w:top w:val="nil"/>
              <w:left w:val="nil"/>
              <w:bottom w:val="nil"/>
              <w:right w:val="nil"/>
            </w:tcBorders>
            <w:shd w:val="clear" w:color="auto" w:fill="auto"/>
            <w:noWrap/>
            <w:vAlign w:val="center"/>
          </w:tcPr>
          <w:p w14:paraId="2DC9D4DC"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3.0</w:t>
            </w:r>
          </w:p>
        </w:tc>
      </w:tr>
      <w:tr w:rsidR="008471D9" w14:paraId="123DA72D" w14:textId="77777777" w:rsidTr="00C9142C">
        <w:trPr>
          <w:trHeight w:val="270"/>
        </w:trPr>
        <w:tc>
          <w:tcPr>
            <w:tcW w:w="464" w:type="pct"/>
            <w:tcBorders>
              <w:top w:val="nil"/>
              <w:left w:val="nil"/>
              <w:bottom w:val="nil"/>
              <w:right w:val="nil"/>
            </w:tcBorders>
            <w:shd w:val="clear" w:color="auto" w:fill="auto"/>
            <w:noWrap/>
            <w:vAlign w:val="center"/>
          </w:tcPr>
          <w:p w14:paraId="653E54A3"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11</w:t>
            </w:r>
          </w:p>
        </w:tc>
        <w:tc>
          <w:tcPr>
            <w:tcW w:w="464" w:type="pct"/>
            <w:tcBorders>
              <w:top w:val="nil"/>
              <w:left w:val="nil"/>
              <w:bottom w:val="nil"/>
              <w:right w:val="nil"/>
            </w:tcBorders>
            <w:shd w:val="clear" w:color="auto" w:fill="auto"/>
            <w:noWrap/>
            <w:vAlign w:val="center"/>
          </w:tcPr>
          <w:p w14:paraId="2341D0C0"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5.4</w:t>
            </w:r>
          </w:p>
        </w:tc>
        <w:tc>
          <w:tcPr>
            <w:tcW w:w="2163" w:type="pct"/>
            <w:tcBorders>
              <w:top w:val="nil"/>
              <w:left w:val="nil"/>
              <w:bottom w:val="nil"/>
              <w:right w:val="nil"/>
            </w:tcBorders>
            <w:shd w:val="clear" w:color="auto" w:fill="auto"/>
            <w:noWrap/>
            <w:vAlign w:val="center"/>
          </w:tcPr>
          <w:p w14:paraId="2EF21FEE"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F1F3 passage in hall 2</w:t>
            </w:r>
            <w:r>
              <w:rPr>
                <w:rFonts w:eastAsia="宋体" w:hint="eastAsia"/>
                <w:color w:val="000000"/>
                <w:sz w:val="15"/>
                <w:szCs w:val="15"/>
                <w:lang w:eastAsia="zh-CN" w:bidi="ar"/>
              </w:rPr>
              <w:t>.</w:t>
            </w:r>
            <w:r>
              <w:rPr>
                <w:rFonts w:eastAsia="宋体"/>
                <w:color w:val="000000"/>
                <w:sz w:val="15"/>
                <w:szCs w:val="15"/>
                <w:lang w:eastAsia="zh-CN" w:bidi="ar"/>
              </w:rPr>
              <w:t>2</w:t>
            </w:r>
          </w:p>
        </w:tc>
        <w:tc>
          <w:tcPr>
            <w:tcW w:w="1009" w:type="pct"/>
            <w:tcBorders>
              <w:top w:val="nil"/>
              <w:left w:val="nil"/>
              <w:bottom w:val="nil"/>
              <w:right w:val="nil"/>
            </w:tcBorders>
            <w:shd w:val="clear" w:color="auto" w:fill="auto"/>
            <w:noWrap/>
            <w:vAlign w:val="center"/>
          </w:tcPr>
          <w:p w14:paraId="19BFC08F"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Windless</w:t>
            </w:r>
          </w:p>
        </w:tc>
        <w:tc>
          <w:tcPr>
            <w:tcW w:w="899" w:type="pct"/>
            <w:tcBorders>
              <w:top w:val="nil"/>
              <w:left w:val="nil"/>
              <w:bottom w:val="nil"/>
              <w:right w:val="nil"/>
            </w:tcBorders>
            <w:shd w:val="clear" w:color="auto" w:fill="auto"/>
            <w:noWrap/>
            <w:vAlign w:val="center"/>
          </w:tcPr>
          <w:p w14:paraId="6C4AF248"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w:t>
            </w:r>
          </w:p>
        </w:tc>
      </w:tr>
      <w:tr w:rsidR="008471D9" w14:paraId="44528CF4" w14:textId="77777777" w:rsidTr="00C9142C">
        <w:trPr>
          <w:trHeight w:val="270"/>
        </w:trPr>
        <w:tc>
          <w:tcPr>
            <w:tcW w:w="464" w:type="pct"/>
            <w:tcBorders>
              <w:top w:val="nil"/>
              <w:left w:val="nil"/>
              <w:bottom w:val="nil"/>
              <w:right w:val="nil"/>
            </w:tcBorders>
            <w:shd w:val="clear" w:color="auto" w:fill="auto"/>
            <w:noWrap/>
            <w:vAlign w:val="center"/>
          </w:tcPr>
          <w:p w14:paraId="624315EE"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12</w:t>
            </w:r>
          </w:p>
        </w:tc>
        <w:tc>
          <w:tcPr>
            <w:tcW w:w="464" w:type="pct"/>
            <w:tcBorders>
              <w:top w:val="nil"/>
              <w:left w:val="nil"/>
              <w:bottom w:val="nil"/>
              <w:right w:val="nil"/>
            </w:tcBorders>
            <w:shd w:val="clear" w:color="auto" w:fill="auto"/>
            <w:noWrap/>
            <w:vAlign w:val="center"/>
          </w:tcPr>
          <w:p w14:paraId="42AD2839"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5.4</w:t>
            </w:r>
          </w:p>
        </w:tc>
        <w:tc>
          <w:tcPr>
            <w:tcW w:w="2163" w:type="pct"/>
            <w:tcBorders>
              <w:top w:val="nil"/>
              <w:left w:val="nil"/>
              <w:bottom w:val="nil"/>
              <w:right w:val="nil"/>
            </w:tcBorders>
            <w:shd w:val="clear" w:color="auto" w:fill="auto"/>
            <w:noWrap/>
            <w:vAlign w:val="center"/>
          </w:tcPr>
          <w:p w14:paraId="07ECE79B"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F2F3 passage in hall 2</w:t>
            </w:r>
            <w:r>
              <w:rPr>
                <w:rFonts w:eastAsia="宋体" w:hint="eastAsia"/>
                <w:color w:val="000000"/>
                <w:sz w:val="15"/>
                <w:szCs w:val="15"/>
                <w:lang w:eastAsia="zh-CN" w:bidi="ar"/>
              </w:rPr>
              <w:t>.</w:t>
            </w:r>
            <w:r>
              <w:rPr>
                <w:rFonts w:eastAsia="宋体"/>
                <w:color w:val="000000"/>
                <w:sz w:val="15"/>
                <w:szCs w:val="15"/>
                <w:lang w:eastAsia="zh-CN" w:bidi="ar"/>
              </w:rPr>
              <w:t>2</w:t>
            </w:r>
          </w:p>
        </w:tc>
        <w:tc>
          <w:tcPr>
            <w:tcW w:w="1009" w:type="pct"/>
            <w:tcBorders>
              <w:top w:val="nil"/>
              <w:left w:val="nil"/>
              <w:bottom w:val="nil"/>
              <w:right w:val="nil"/>
            </w:tcBorders>
            <w:shd w:val="clear" w:color="auto" w:fill="auto"/>
            <w:noWrap/>
            <w:vAlign w:val="center"/>
          </w:tcPr>
          <w:p w14:paraId="267DD112"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Windless</w:t>
            </w:r>
          </w:p>
        </w:tc>
        <w:tc>
          <w:tcPr>
            <w:tcW w:w="899" w:type="pct"/>
            <w:tcBorders>
              <w:top w:val="nil"/>
              <w:left w:val="nil"/>
              <w:bottom w:val="nil"/>
              <w:right w:val="nil"/>
            </w:tcBorders>
            <w:shd w:val="clear" w:color="auto" w:fill="auto"/>
            <w:noWrap/>
            <w:vAlign w:val="center"/>
          </w:tcPr>
          <w:p w14:paraId="43CA5603"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w:t>
            </w:r>
          </w:p>
        </w:tc>
      </w:tr>
      <w:tr w:rsidR="008471D9" w14:paraId="399A3DBC" w14:textId="77777777" w:rsidTr="00C9142C">
        <w:trPr>
          <w:trHeight w:val="270"/>
        </w:trPr>
        <w:tc>
          <w:tcPr>
            <w:tcW w:w="464" w:type="pct"/>
            <w:tcBorders>
              <w:top w:val="nil"/>
              <w:left w:val="nil"/>
              <w:bottom w:val="nil"/>
              <w:right w:val="nil"/>
            </w:tcBorders>
            <w:shd w:val="clear" w:color="auto" w:fill="auto"/>
            <w:noWrap/>
            <w:vAlign w:val="center"/>
          </w:tcPr>
          <w:p w14:paraId="2DF63AA4"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13</w:t>
            </w:r>
          </w:p>
        </w:tc>
        <w:tc>
          <w:tcPr>
            <w:tcW w:w="464" w:type="pct"/>
            <w:tcBorders>
              <w:top w:val="nil"/>
              <w:left w:val="nil"/>
              <w:bottom w:val="nil"/>
              <w:right w:val="nil"/>
            </w:tcBorders>
            <w:shd w:val="clear" w:color="auto" w:fill="auto"/>
            <w:noWrap/>
            <w:vAlign w:val="center"/>
          </w:tcPr>
          <w:p w14:paraId="5A3482CA"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5.4</w:t>
            </w:r>
          </w:p>
        </w:tc>
        <w:tc>
          <w:tcPr>
            <w:tcW w:w="2163" w:type="pct"/>
            <w:tcBorders>
              <w:top w:val="nil"/>
              <w:left w:val="nil"/>
              <w:bottom w:val="nil"/>
              <w:right w:val="nil"/>
            </w:tcBorders>
            <w:shd w:val="clear" w:color="auto" w:fill="auto"/>
            <w:noWrap/>
            <w:vAlign w:val="center"/>
          </w:tcPr>
          <w:p w14:paraId="2B8A57BA"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F3F4 passage in hall 2</w:t>
            </w:r>
            <w:r>
              <w:rPr>
                <w:rFonts w:eastAsia="宋体" w:hint="eastAsia"/>
                <w:color w:val="000000"/>
                <w:sz w:val="15"/>
                <w:szCs w:val="15"/>
                <w:lang w:eastAsia="zh-CN" w:bidi="ar"/>
              </w:rPr>
              <w:t>.</w:t>
            </w:r>
            <w:r>
              <w:rPr>
                <w:rFonts w:eastAsia="宋体"/>
                <w:color w:val="000000"/>
                <w:sz w:val="15"/>
                <w:szCs w:val="15"/>
                <w:lang w:eastAsia="zh-CN" w:bidi="ar"/>
              </w:rPr>
              <w:t>2</w:t>
            </w:r>
          </w:p>
        </w:tc>
        <w:tc>
          <w:tcPr>
            <w:tcW w:w="1009" w:type="pct"/>
            <w:tcBorders>
              <w:top w:val="nil"/>
              <w:left w:val="nil"/>
              <w:bottom w:val="nil"/>
              <w:right w:val="nil"/>
            </w:tcBorders>
            <w:shd w:val="clear" w:color="auto" w:fill="auto"/>
            <w:noWrap/>
            <w:vAlign w:val="center"/>
          </w:tcPr>
          <w:p w14:paraId="755433F6"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Windless</w:t>
            </w:r>
          </w:p>
        </w:tc>
        <w:tc>
          <w:tcPr>
            <w:tcW w:w="899" w:type="pct"/>
            <w:tcBorders>
              <w:top w:val="nil"/>
              <w:left w:val="nil"/>
              <w:bottom w:val="nil"/>
              <w:right w:val="nil"/>
            </w:tcBorders>
            <w:shd w:val="clear" w:color="auto" w:fill="auto"/>
            <w:noWrap/>
            <w:vAlign w:val="center"/>
          </w:tcPr>
          <w:p w14:paraId="3A5A69D1"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w:t>
            </w:r>
          </w:p>
        </w:tc>
      </w:tr>
      <w:tr w:rsidR="008471D9" w14:paraId="380DDFDB" w14:textId="77777777" w:rsidTr="00C9142C">
        <w:trPr>
          <w:trHeight w:val="270"/>
        </w:trPr>
        <w:tc>
          <w:tcPr>
            <w:tcW w:w="464" w:type="pct"/>
            <w:tcBorders>
              <w:top w:val="nil"/>
              <w:left w:val="nil"/>
              <w:bottom w:val="nil"/>
              <w:right w:val="nil"/>
            </w:tcBorders>
            <w:shd w:val="clear" w:color="auto" w:fill="auto"/>
            <w:noWrap/>
            <w:vAlign w:val="center"/>
          </w:tcPr>
          <w:p w14:paraId="6D3F21B9"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14</w:t>
            </w:r>
          </w:p>
        </w:tc>
        <w:tc>
          <w:tcPr>
            <w:tcW w:w="464" w:type="pct"/>
            <w:tcBorders>
              <w:top w:val="nil"/>
              <w:left w:val="nil"/>
              <w:bottom w:val="nil"/>
              <w:right w:val="nil"/>
            </w:tcBorders>
            <w:shd w:val="clear" w:color="auto" w:fill="auto"/>
            <w:noWrap/>
            <w:vAlign w:val="center"/>
          </w:tcPr>
          <w:p w14:paraId="29FD9A8A"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5.3</w:t>
            </w:r>
          </w:p>
        </w:tc>
        <w:tc>
          <w:tcPr>
            <w:tcW w:w="2163" w:type="pct"/>
            <w:tcBorders>
              <w:top w:val="nil"/>
              <w:left w:val="nil"/>
              <w:bottom w:val="nil"/>
              <w:right w:val="nil"/>
            </w:tcBorders>
            <w:shd w:val="clear" w:color="auto" w:fill="auto"/>
            <w:noWrap/>
            <w:vAlign w:val="center"/>
          </w:tcPr>
          <w:p w14:paraId="011E5C01"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Hall 1.2 exit 1</w:t>
            </w:r>
          </w:p>
        </w:tc>
        <w:tc>
          <w:tcPr>
            <w:tcW w:w="1009" w:type="pct"/>
            <w:tcBorders>
              <w:top w:val="nil"/>
              <w:left w:val="nil"/>
              <w:bottom w:val="nil"/>
              <w:right w:val="nil"/>
            </w:tcBorders>
            <w:shd w:val="clear" w:color="auto" w:fill="auto"/>
            <w:noWrap/>
            <w:vAlign w:val="center"/>
          </w:tcPr>
          <w:p w14:paraId="04BC4ADD"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Windless</w:t>
            </w:r>
          </w:p>
        </w:tc>
        <w:tc>
          <w:tcPr>
            <w:tcW w:w="899" w:type="pct"/>
            <w:tcBorders>
              <w:top w:val="nil"/>
              <w:left w:val="nil"/>
              <w:bottom w:val="nil"/>
              <w:right w:val="nil"/>
            </w:tcBorders>
            <w:shd w:val="clear" w:color="auto" w:fill="auto"/>
            <w:noWrap/>
            <w:vAlign w:val="center"/>
          </w:tcPr>
          <w:p w14:paraId="4690B21D"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w:t>
            </w:r>
          </w:p>
        </w:tc>
      </w:tr>
      <w:tr w:rsidR="008471D9" w14:paraId="4054DD71" w14:textId="77777777" w:rsidTr="00C9142C">
        <w:trPr>
          <w:trHeight w:val="270"/>
        </w:trPr>
        <w:tc>
          <w:tcPr>
            <w:tcW w:w="464" w:type="pct"/>
            <w:tcBorders>
              <w:top w:val="nil"/>
              <w:left w:val="nil"/>
              <w:bottom w:val="nil"/>
              <w:right w:val="nil"/>
            </w:tcBorders>
            <w:shd w:val="clear" w:color="auto" w:fill="auto"/>
            <w:noWrap/>
            <w:vAlign w:val="center"/>
          </w:tcPr>
          <w:p w14:paraId="07519C92"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15</w:t>
            </w:r>
          </w:p>
        </w:tc>
        <w:tc>
          <w:tcPr>
            <w:tcW w:w="464" w:type="pct"/>
            <w:tcBorders>
              <w:top w:val="nil"/>
              <w:left w:val="nil"/>
              <w:bottom w:val="nil"/>
              <w:right w:val="nil"/>
            </w:tcBorders>
            <w:shd w:val="clear" w:color="auto" w:fill="auto"/>
            <w:noWrap/>
            <w:vAlign w:val="center"/>
          </w:tcPr>
          <w:p w14:paraId="60F02F81"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5.3</w:t>
            </w:r>
          </w:p>
        </w:tc>
        <w:tc>
          <w:tcPr>
            <w:tcW w:w="2163" w:type="pct"/>
            <w:tcBorders>
              <w:top w:val="nil"/>
              <w:left w:val="nil"/>
              <w:bottom w:val="nil"/>
              <w:right w:val="nil"/>
            </w:tcBorders>
            <w:shd w:val="clear" w:color="auto" w:fill="auto"/>
            <w:noWrap/>
            <w:vAlign w:val="center"/>
          </w:tcPr>
          <w:p w14:paraId="795B56FB"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Hall 1.2 exit 2</w:t>
            </w:r>
          </w:p>
        </w:tc>
        <w:tc>
          <w:tcPr>
            <w:tcW w:w="1009" w:type="pct"/>
            <w:tcBorders>
              <w:top w:val="nil"/>
              <w:left w:val="nil"/>
              <w:bottom w:val="nil"/>
              <w:right w:val="nil"/>
            </w:tcBorders>
            <w:shd w:val="clear" w:color="auto" w:fill="auto"/>
            <w:noWrap/>
            <w:vAlign w:val="center"/>
          </w:tcPr>
          <w:p w14:paraId="4024C356"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Windless</w:t>
            </w:r>
          </w:p>
        </w:tc>
        <w:tc>
          <w:tcPr>
            <w:tcW w:w="899" w:type="pct"/>
            <w:tcBorders>
              <w:top w:val="nil"/>
              <w:left w:val="nil"/>
              <w:bottom w:val="nil"/>
              <w:right w:val="nil"/>
            </w:tcBorders>
            <w:shd w:val="clear" w:color="auto" w:fill="auto"/>
            <w:noWrap/>
            <w:vAlign w:val="center"/>
          </w:tcPr>
          <w:p w14:paraId="5D66804C"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w:t>
            </w:r>
          </w:p>
        </w:tc>
      </w:tr>
      <w:tr w:rsidR="008471D9" w14:paraId="18A8E479" w14:textId="77777777" w:rsidTr="00C9142C">
        <w:trPr>
          <w:trHeight w:val="270"/>
        </w:trPr>
        <w:tc>
          <w:tcPr>
            <w:tcW w:w="464" w:type="pct"/>
            <w:tcBorders>
              <w:top w:val="nil"/>
              <w:left w:val="nil"/>
              <w:bottom w:val="nil"/>
              <w:right w:val="nil"/>
            </w:tcBorders>
            <w:shd w:val="clear" w:color="auto" w:fill="auto"/>
            <w:noWrap/>
            <w:vAlign w:val="center"/>
          </w:tcPr>
          <w:p w14:paraId="12C01F3B"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16</w:t>
            </w:r>
          </w:p>
        </w:tc>
        <w:tc>
          <w:tcPr>
            <w:tcW w:w="464" w:type="pct"/>
            <w:tcBorders>
              <w:top w:val="nil"/>
              <w:left w:val="nil"/>
              <w:bottom w:val="nil"/>
              <w:right w:val="nil"/>
            </w:tcBorders>
            <w:shd w:val="clear" w:color="auto" w:fill="auto"/>
            <w:noWrap/>
            <w:vAlign w:val="center"/>
          </w:tcPr>
          <w:p w14:paraId="6F7AD27A"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5.3</w:t>
            </w:r>
          </w:p>
        </w:tc>
        <w:tc>
          <w:tcPr>
            <w:tcW w:w="2163" w:type="pct"/>
            <w:tcBorders>
              <w:top w:val="nil"/>
              <w:left w:val="nil"/>
              <w:bottom w:val="nil"/>
              <w:right w:val="nil"/>
            </w:tcBorders>
            <w:shd w:val="clear" w:color="auto" w:fill="auto"/>
            <w:noWrap/>
            <w:vAlign w:val="center"/>
          </w:tcPr>
          <w:p w14:paraId="55E98D6D"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Hall 1.2 exit 3</w:t>
            </w:r>
          </w:p>
        </w:tc>
        <w:tc>
          <w:tcPr>
            <w:tcW w:w="1009" w:type="pct"/>
            <w:tcBorders>
              <w:top w:val="nil"/>
              <w:left w:val="nil"/>
              <w:bottom w:val="nil"/>
              <w:right w:val="nil"/>
            </w:tcBorders>
            <w:shd w:val="clear" w:color="auto" w:fill="auto"/>
            <w:noWrap/>
            <w:vAlign w:val="center"/>
          </w:tcPr>
          <w:p w14:paraId="7BE37938"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Inward</w:t>
            </w:r>
          </w:p>
        </w:tc>
        <w:tc>
          <w:tcPr>
            <w:tcW w:w="899" w:type="pct"/>
            <w:tcBorders>
              <w:top w:val="nil"/>
              <w:left w:val="nil"/>
              <w:bottom w:val="nil"/>
              <w:right w:val="nil"/>
            </w:tcBorders>
            <w:shd w:val="clear" w:color="auto" w:fill="auto"/>
            <w:noWrap/>
            <w:vAlign w:val="center"/>
          </w:tcPr>
          <w:p w14:paraId="60AE4564"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0.5</w:t>
            </w:r>
          </w:p>
        </w:tc>
      </w:tr>
      <w:tr w:rsidR="008471D9" w14:paraId="5E9085E2" w14:textId="77777777" w:rsidTr="00C9142C">
        <w:trPr>
          <w:trHeight w:val="270"/>
        </w:trPr>
        <w:tc>
          <w:tcPr>
            <w:tcW w:w="464" w:type="pct"/>
            <w:tcBorders>
              <w:top w:val="nil"/>
              <w:left w:val="nil"/>
              <w:bottom w:val="nil"/>
              <w:right w:val="nil"/>
            </w:tcBorders>
            <w:shd w:val="clear" w:color="auto" w:fill="auto"/>
            <w:noWrap/>
            <w:vAlign w:val="center"/>
          </w:tcPr>
          <w:p w14:paraId="2251B2F3"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17</w:t>
            </w:r>
          </w:p>
        </w:tc>
        <w:tc>
          <w:tcPr>
            <w:tcW w:w="464" w:type="pct"/>
            <w:tcBorders>
              <w:top w:val="nil"/>
              <w:left w:val="nil"/>
              <w:bottom w:val="nil"/>
              <w:right w:val="nil"/>
            </w:tcBorders>
            <w:shd w:val="clear" w:color="auto" w:fill="auto"/>
            <w:noWrap/>
            <w:vAlign w:val="center"/>
          </w:tcPr>
          <w:p w14:paraId="334AE893"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5.3</w:t>
            </w:r>
          </w:p>
        </w:tc>
        <w:tc>
          <w:tcPr>
            <w:tcW w:w="2163" w:type="pct"/>
            <w:tcBorders>
              <w:top w:val="nil"/>
              <w:left w:val="nil"/>
              <w:bottom w:val="nil"/>
              <w:right w:val="nil"/>
            </w:tcBorders>
            <w:shd w:val="clear" w:color="auto" w:fill="auto"/>
            <w:noWrap/>
            <w:vAlign w:val="center"/>
          </w:tcPr>
          <w:p w14:paraId="5BC91024"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Hall 1.2 exit 4</w:t>
            </w:r>
          </w:p>
        </w:tc>
        <w:tc>
          <w:tcPr>
            <w:tcW w:w="1009" w:type="pct"/>
            <w:tcBorders>
              <w:top w:val="nil"/>
              <w:left w:val="nil"/>
              <w:bottom w:val="nil"/>
              <w:right w:val="nil"/>
            </w:tcBorders>
            <w:shd w:val="clear" w:color="auto" w:fill="auto"/>
            <w:noWrap/>
            <w:vAlign w:val="center"/>
          </w:tcPr>
          <w:p w14:paraId="4B7D0C85"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Outward</w:t>
            </w:r>
          </w:p>
        </w:tc>
        <w:tc>
          <w:tcPr>
            <w:tcW w:w="899" w:type="pct"/>
            <w:tcBorders>
              <w:top w:val="nil"/>
              <w:left w:val="nil"/>
              <w:bottom w:val="nil"/>
              <w:right w:val="nil"/>
            </w:tcBorders>
            <w:shd w:val="clear" w:color="auto" w:fill="auto"/>
            <w:noWrap/>
            <w:vAlign w:val="center"/>
          </w:tcPr>
          <w:p w14:paraId="1756232F"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0.5</w:t>
            </w:r>
          </w:p>
        </w:tc>
      </w:tr>
      <w:tr w:rsidR="008471D9" w14:paraId="055DB4B1" w14:textId="77777777" w:rsidTr="00C9142C">
        <w:trPr>
          <w:trHeight w:val="270"/>
        </w:trPr>
        <w:tc>
          <w:tcPr>
            <w:tcW w:w="464" w:type="pct"/>
            <w:tcBorders>
              <w:top w:val="nil"/>
              <w:left w:val="nil"/>
              <w:bottom w:val="nil"/>
              <w:right w:val="nil"/>
            </w:tcBorders>
            <w:shd w:val="clear" w:color="auto" w:fill="auto"/>
            <w:noWrap/>
            <w:vAlign w:val="center"/>
          </w:tcPr>
          <w:p w14:paraId="696D17B3"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18</w:t>
            </w:r>
          </w:p>
        </w:tc>
        <w:tc>
          <w:tcPr>
            <w:tcW w:w="464" w:type="pct"/>
            <w:tcBorders>
              <w:top w:val="nil"/>
              <w:left w:val="nil"/>
              <w:bottom w:val="nil"/>
              <w:right w:val="nil"/>
            </w:tcBorders>
            <w:shd w:val="clear" w:color="auto" w:fill="auto"/>
            <w:noWrap/>
            <w:vAlign w:val="center"/>
          </w:tcPr>
          <w:p w14:paraId="19331DC0"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5.3</w:t>
            </w:r>
          </w:p>
        </w:tc>
        <w:tc>
          <w:tcPr>
            <w:tcW w:w="2163" w:type="pct"/>
            <w:tcBorders>
              <w:top w:val="nil"/>
              <w:left w:val="nil"/>
              <w:bottom w:val="nil"/>
              <w:right w:val="nil"/>
            </w:tcBorders>
            <w:shd w:val="clear" w:color="auto" w:fill="auto"/>
            <w:noWrap/>
            <w:vAlign w:val="center"/>
          </w:tcPr>
          <w:p w14:paraId="5908FB8E"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Hall 1.2 passage 1</w:t>
            </w:r>
          </w:p>
        </w:tc>
        <w:tc>
          <w:tcPr>
            <w:tcW w:w="1009" w:type="pct"/>
            <w:tcBorders>
              <w:top w:val="nil"/>
              <w:left w:val="nil"/>
              <w:bottom w:val="nil"/>
              <w:right w:val="nil"/>
            </w:tcBorders>
            <w:shd w:val="clear" w:color="auto" w:fill="auto"/>
            <w:noWrap/>
            <w:vAlign w:val="center"/>
          </w:tcPr>
          <w:p w14:paraId="48A76840"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Windless</w:t>
            </w:r>
          </w:p>
        </w:tc>
        <w:tc>
          <w:tcPr>
            <w:tcW w:w="899" w:type="pct"/>
            <w:tcBorders>
              <w:top w:val="nil"/>
              <w:left w:val="nil"/>
              <w:bottom w:val="nil"/>
              <w:right w:val="nil"/>
            </w:tcBorders>
            <w:shd w:val="clear" w:color="auto" w:fill="auto"/>
            <w:noWrap/>
            <w:vAlign w:val="center"/>
          </w:tcPr>
          <w:p w14:paraId="59574E25"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w:t>
            </w:r>
          </w:p>
        </w:tc>
      </w:tr>
      <w:tr w:rsidR="008471D9" w14:paraId="28FD7EC8" w14:textId="77777777" w:rsidTr="00C9142C">
        <w:trPr>
          <w:trHeight w:val="270"/>
        </w:trPr>
        <w:tc>
          <w:tcPr>
            <w:tcW w:w="464" w:type="pct"/>
            <w:tcBorders>
              <w:top w:val="nil"/>
              <w:left w:val="nil"/>
              <w:bottom w:val="nil"/>
              <w:right w:val="nil"/>
            </w:tcBorders>
            <w:shd w:val="clear" w:color="auto" w:fill="auto"/>
            <w:noWrap/>
            <w:vAlign w:val="center"/>
          </w:tcPr>
          <w:p w14:paraId="76E99635"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19</w:t>
            </w:r>
          </w:p>
        </w:tc>
        <w:tc>
          <w:tcPr>
            <w:tcW w:w="464" w:type="pct"/>
            <w:tcBorders>
              <w:top w:val="nil"/>
              <w:left w:val="nil"/>
              <w:bottom w:val="nil"/>
              <w:right w:val="nil"/>
            </w:tcBorders>
            <w:shd w:val="clear" w:color="auto" w:fill="auto"/>
            <w:noWrap/>
            <w:vAlign w:val="center"/>
          </w:tcPr>
          <w:p w14:paraId="7A345A06"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5.3</w:t>
            </w:r>
          </w:p>
        </w:tc>
        <w:tc>
          <w:tcPr>
            <w:tcW w:w="2163" w:type="pct"/>
            <w:tcBorders>
              <w:top w:val="nil"/>
              <w:left w:val="nil"/>
              <w:bottom w:val="nil"/>
              <w:right w:val="nil"/>
            </w:tcBorders>
            <w:shd w:val="clear" w:color="auto" w:fill="auto"/>
            <w:noWrap/>
            <w:vAlign w:val="center"/>
          </w:tcPr>
          <w:p w14:paraId="456E923D"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Hall 1.2 passage 2</w:t>
            </w:r>
          </w:p>
        </w:tc>
        <w:tc>
          <w:tcPr>
            <w:tcW w:w="1009" w:type="pct"/>
            <w:tcBorders>
              <w:top w:val="nil"/>
              <w:left w:val="nil"/>
              <w:bottom w:val="nil"/>
              <w:right w:val="nil"/>
            </w:tcBorders>
            <w:shd w:val="clear" w:color="auto" w:fill="auto"/>
            <w:noWrap/>
            <w:vAlign w:val="center"/>
          </w:tcPr>
          <w:p w14:paraId="3DED03F4"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Windless</w:t>
            </w:r>
          </w:p>
        </w:tc>
        <w:tc>
          <w:tcPr>
            <w:tcW w:w="899" w:type="pct"/>
            <w:tcBorders>
              <w:top w:val="nil"/>
              <w:left w:val="nil"/>
              <w:bottom w:val="nil"/>
              <w:right w:val="nil"/>
            </w:tcBorders>
            <w:shd w:val="clear" w:color="auto" w:fill="auto"/>
            <w:noWrap/>
            <w:vAlign w:val="center"/>
          </w:tcPr>
          <w:p w14:paraId="48BD80A8"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w:t>
            </w:r>
          </w:p>
        </w:tc>
      </w:tr>
      <w:tr w:rsidR="008471D9" w14:paraId="03473338" w14:textId="77777777" w:rsidTr="00C9142C">
        <w:trPr>
          <w:trHeight w:val="270"/>
        </w:trPr>
        <w:tc>
          <w:tcPr>
            <w:tcW w:w="464" w:type="pct"/>
            <w:tcBorders>
              <w:top w:val="nil"/>
              <w:left w:val="nil"/>
              <w:bottom w:val="nil"/>
              <w:right w:val="nil"/>
            </w:tcBorders>
            <w:shd w:val="clear" w:color="auto" w:fill="auto"/>
            <w:noWrap/>
            <w:vAlign w:val="center"/>
          </w:tcPr>
          <w:p w14:paraId="1FF578A7"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20</w:t>
            </w:r>
          </w:p>
        </w:tc>
        <w:tc>
          <w:tcPr>
            <w:tcW w:w="464" w:type="pct"/>
            <w:tcBorders>
              <w:top w:val="nil"/>
              <w:left w:val="nil"/>
              <w:bottom w:val="nil"/>
              <w:right w:val="nil"/>
            </w:tcBorders>
            <w:shd w:val="clear" w:color="auto" w:fill="auto"/>
            <w:noWrap/>
            <w:vAlign w:val="center"/>
          </w:tcPr>
          <w:p w14:paraId="272268C6"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5.3</w:t>
            </w:r>
          </w:p>
        </w:tc>
        <w:tc>
          <w:tcPr>
            <w:tcW w:w="2163" w:type="pct"/>
            <w:tcBorders>
              <w:top w:val="nil"/>
              <w:left w:val="nil"/>
              <w:bottom w:val="nil"/>
              <w:right w:val="nil"/>
            </w:tcBorders>
            <w:shd w:val="clear" w:color="auto" w:fill="auto"/>
            <w:noWrap/>
            <w:vAlign w:val="center"/>
          </w:tcPr>
          <w:p w14:paraId="6E1A400E"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Hall 1.2 passage 3</w:t>
            </w:r>
          </w:p>
        </w:tc>
        <w:tc>
          <w:tcPr>
            <w:tcW w:w="1009" w:type="pct"/>
            <w:tcBorders>
              <w:top w:val="nil"/>
              <w:left w:val="nil"/>
              <w:bottom w:val="nil"/>
              <w:right w:val="nil"/>
            </w:tcBorders>
            <w:shd w:val="clear" w:color="auto" w:fill="auto"/>
            <w:noWrap/>
            <w:vAlign w:val="center"/>
          </w:tcPr>
          <w:p w14:paraId="001847E9"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Windless</w:t>
            </w:r>
          </w:p>
        </w:tc>
        <w:tc>
          <w:tcPr>
            <w:tcW w:w="899" w:type="pct"/>
            <w:tcBorders>
              <w:top w:val="nil"/>
              <w:left w:val="nil"/>
              <w:bottom w:val="nil"/>
              <w:right w:val="nil"/>
            </w:tcBorders>
            <w:shd w:val="clear" w:color="auto" w:fill="auto"/>
            <w:noWrap/>
            <w:vAlign w:val="center"/>
          </w:tcPr>
          <w:p w14:paraId="3E8B5BA2"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w:t>
            </w:r>
          </w:p>
        </w:tc>
      </w:tr>
      <w:tr w:rsidR="008471D9" w14:paraId="2D82872A" w14:textId="77777777" w:rsidTr="00C9142C">
        <w:trPr>
          <w:trHeight w:val="270"/>
        </w:trPr>
        <w:tc>
          <w:tcPr>
            <w:tcW w:w="464" w:type="pct"/>
            <w:tcBorders>
              <w:top w:val="nil"/>
              <w:left w:val="nil"/>
              <w:bottom w:val="nil"/>
              <w:right w:val="nil"/>
            </w:tcBorders>
            <w:shd w:val="clear" w:color="auto" w:fill="auto"/>
            <w:noWrap/>
            <w:vAlign w:val="center"/>
          </w:tcPr>
          <w:p w14:paraId="5D849288"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21</w:t>
            </w:r>
          </w:p>
        </w:tc>
        <w:tc>
          <w:tcPr>
            <w:tcW w:w="464" w:type="pct"/>
            <w:tcBorders>
              <w:top w:val="nil"/>
              <w:left w:val="nil"/>
              <w:bottom w:val="nil"/>
              <w:right w:val="nil"/>
            </w:tcBorders>
            <w:shd w:val="clear" w:color="auto" w:fill="auto"/>
            <w:noWrap/>
            <w:vAlign w:val="center"/>
          </w:tcPr>
          <w:p w14:paraId="41F6452C"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5.3</w:t>
            </w:r>
          </w:p>
        </w:tc>
        <w:tc>
          <w:tcPr>
            <w:tcW w:w="2163" w:type="pct"/>
            <w:tcBorders>
              <w:top w:val="nil"/>
              <w:left w:val="nil"/>
              <w:bottom w:val="nil"/>
              <w:right w:val="nil"/>
            </w:tcBorders>
            <w:shd w:val="clear" w:color="auto" w:fill="auto"/>
            <w:noWrap/>
            <w:vAlign w:val="center"/>
          </w:tcPr>
          <w:p w14:paraId="1FC88AB1"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Hall 1.2 passage 4</w:t>
            </w:r>
          </w:p>
        </w:tc>
        <w:tc>
          <w:tcPr>
            <w:tcW w:w="1009" w:type="pct"/>
            <w:tcBorders>
              <w:top w:val="nil"/>
              <w:left w:val="nil"/>
              <w:bottom w:val="nil"/>
              <w:right w:val="nil"/>
            </w:tcBorders>
            <w:shd w:val="clear" w:color="auto" w:fill="auto"/>
            <w:noWrap/>
            <w:vAlign w:val="center"/>
          </w:tcPr>
          <w:p w14:paraId="6B7D7CBE"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Windless</w:t>
            </w:r>
          </w:p>
        </w:tc>
        <w:tc>
          <w:tcPr>
            <w:tcW w:w="899" w:type="pct"/>
            <w:tcBorders>
              <w:top w:val="nil"/>
              <w:left w:val="nil"/>
              <w:bottom w:val="nil"/>
              <w:right w:val="nil"/>
            </w:tcBorders>
            <w:shd w:val="clear" w:color="auto" w:fill="auto"/>
            <w:noWrap/>
            <w:vAlign w:val="center"/>
          </w:tcPr>
          <w:p w14:paraId="48277A10"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w:t>
            </w:r>
          </w:p>
        </w:tc>
      </w:tr>
      <w:tr w:rsidR="008471D9" w14:paraId="2454DBEF" w14:textId="77777777" w:rsidTr="00C9142C">
        <w:trPr>
          <w:trHeight w:val="270"/>
        </w:trPr>
        <w:tc>
          <w:tcPr>
            <w:tcW w:w="464" w:type="pct"/>
            <w:tcBorders>
              <w:top w:val="nil"/>
              <w:left w:val="nil"/>
              <w:bottom w:val="nil"/>
              <w:right w:val="nil"/>
            </w:tcBorders>
            <w:shd w:val="clear" w:color="auto" w:fill="auto"/>
            <w:noWrap/>
            <w:vAlign w:val="center"/>
          </w:tcPr>
          <w:p w14:paraId="03881773"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22</w:t>
            </w:r>
          </w:p>
        </w:tc>
        <w:tc>
          <w:tcPr>
            <w:tcW w:w="464" w:type="pct"/>
            <w:tcBorders>
              <w:top w:val="nil"/>
              <w:left w:val="nil"/>
              <w:bottom w:val="nil"/>
              <w:right w:val="nil"/>
            </w:tcBorders>
            <w:shd w:val="clear" w:color="auto" w:fill="auto"/>
            <w:noWrap/>
            <w:vAlign w:val="center"/>
          </w:tcPr>
          <w:p w14:paraId="16F84B4E"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5.3</w:t>
            </w:r>
          </w:p>
        </w:tc>
        <w:tc>
          <w:tcPr>
            <w:tcW w:w="2163" w:type="pct"/>
            <w:tcBorders>
              <w:top w:val="nil"/>
              <w:left w:val="nil"/>
              <w:bottom w:val="nil"/>
              <w:right w:val="nil"/>
            </w:tcBorders>
            <w:shd w:val="clear" w:color="auto" w:fill="auto"/>
            <w:noWrap/>
            <w:vAlign w:val="center"/>
          </w:tcPr>
          <w:p w14:paraId="4E6DAF79"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Hall 1.2 passage 5</w:t>
            </w:r>
          </w:p>
        </w:tc>
        <w:tc>
          <w:tcPr>
            <w:tcW w:w="1009" w:type="pct"/>
            <w:tcBorders>
              <w:top w:val="nil"/>
              <w:left w:val="nil"/>
              <w:bottom w:val="nil"/>
              <w:right w:val="nil"/>
            </w:tcBorders>
            <w:shd w:val="clear" w:color="auto" w:fill="auto"/>
            <w:noWrap/>
            <w:vAlign w:val="center"/>
          </w:tcPr>
          <w:p w14:paraId="60F1A160"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Windless</w:t>
            </w:r>
          </w:p>
        </w:tc>
        <w:tc>
          <w:tcPr>
            <w:tcW w:w="899" w:type="pct"/>
            <w:tcBorders>
              <w:top w:val="nil"/>
              <w:left w:val="nil"/>
              <w:bottom w:val="nil"/>
              <w:right w:val="nil"/>
            </w:tcBorders>
            <w:shd w:val="clear" w:color="auto" w:fill="auto"/>
            <w:noWrap/>
            <w:vAlign w:val="center"/>
          </w:tcPr>
          <w:p w14:paraId="30C8D9B6"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w:t>
            </w:r>
          </w:p>
        </w:tc>
      </w:tr>
      <w:tr w:rsidR="008471D9" w14:paraId="295F3074" w14:textId="77777777" w:rsidTr="00C9142C">
        <w:trPr>
          <w:trHeight w:val="270"/>
        </w:trPr>
        <w:tc>
          <w:tcPr>
            <w:tcW w:w="464" w:type="pct"/>
            <w:tcBorders>
              <w:top w:val="nil"/>
              <w:left w:val="nil"/>
              <w:bottom w:val="nil"/>
              <w:right w:val="nil"/>
            </w:tcBorders>
            <w:shd w:val="clear" w:color="auto" w:fill="auto"/>
            <w:noWrap/>
            <w:vAlign w:val="center"/>
          </w:tcPr>
          <w:p w14:paraId="668617DE"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23</w:t>
            </w:r>
          </w:p>
        </w:tc>
        <w:tc>
          <w:tcPr>
            <w:tcW w:w="464" w:type="pct"/>
            <w:tcBorders>
              <w:top w:val="nil"/>
              <w:left w:val="nil"/>
              <w:bottom w:val="nil"/>
              <w:right w:val="nil"/>
            </w:tcBorders>
            <w:shd w:val="clear" w:color="auto" w:fill="auto"/>
            <w:noWrap/>
            <w:vAlign w:val="center"/>
          </w:tcPr>
          <w:p w14:paraId="414E9AC2"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5.3</w:t>
            </w:r>
          </w:p>
        </w:tc>
        <w:tc>
          <w:tcPr>
            <w:tcW w:w="2163" w:type="pct"/>
            <w:tcBorders>
              <w:top w:val="nil"/>
              <w:left w:val="nil"/>
              <w:bottom w:val="nil"/>
              <w:right w:val="nil"/>
            </w:tcBorders>
            <w:shd w:val="clear" w:color="auto" w:fill="auto"/>
            <w:noWrap/>
            <w:vAlign w:val="center"/>
          </w:tcPr>
          <w:p w14:paraId="7F93C8A8"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Hall 1.2 passage 6</w:t>
            </w:r>
          </w:p>
        </w:tc>
        <w:tc>
          <w:tcPr>
            <w:tcW w:w="1009" w:type="pct"/>
            <w:tcBorders>
              <w:top w:val="nil"/>
              <w:left w:val="nil"/>
              <w:bottom w:val="nil"/>
              <w:right w:val="nil"/>
            </w:tcBorders>
            <w:shd w:val="clear" w:color="auto" w:fill="auto"/>
            <w:noWrap/>
            <w:vAlign w:val="center"/>
          </w:tcPr>
          <w:p w14:paraId="6385E079"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Windless</w:t>
            </w:r>
          </w:p>
        </w:tc>
        <w:tc>
          <w:tcPr>
            <w:tcW w:w="899" w:type="pct"/>
            <w:tcBorders>
              <w:top w:val="nil"/>
              <w:left w:val="nil"/>
              <w:bottom w:val="nil"/>
              <w:right w:val="nil"/>
            </w:tcBorders>
            <w:shd w:val="clear" w:color="auto" w:fill="auto"/>
            <w:noWrap/>
            <w:vAlign w:val="center"/>
          </w:tcPr>
          <w:p w14:paraId="22015D26"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w:t>
            </w:r>
          </w:p>
        </w:tc>
      </w:tr>
      <w:tr w:rsidR="008471D9" w14:paraId="687AD1C1" w14:textId="77777777" w:rsidTr="00C9142C">
        <w:trPr>
          <w:trHeight w:val="540"/>
        </w:trPr>
        <w:tc>
          <w:tcPr>
            <w:tcW w:w="464" w:type="pct"/>
            <w:tcBorders>
              <w:top w:val="nil"/>
              <w:left w:val="nil"/>
              <w:bottom w:val="nil"/>
              <w:right w:val="nil"/>
            </w:tcBorders>
            <w:shd w:val="clear" w:color="auto" w:fill="auto"/>
            <w:noWrap/>
            <w:vAlign w:val="center"/>
          </w:tcPr>
          <w:p w14:paraId="43D2AE14"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24</w:t>
            </w:r>
          </w:p>
        </w:tc>
        <w:tc>
          <w:tcPr>
            <w:tcW w:w="464" w:type="pct"/>
            <w:tcBorders>
              <w:top w:val="nil"/>
              <w:left w:val="nil"/>
              <w:bottom w:val="nil"/>
              <w:right w:val="nil"/>
            </w:tcBorders>
            <w:shd w:val="clear" w:color="auto" w:fill="auto"/>
            <w:noWrap/>
            <w:vAlign w:val="center"/>
          </w:tcPr>
          <w:p w14:paraId="046D0A3D"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5.3</w:t>
            </w:r>
          </w:p>
        </w:tc>
        <w:tc>
          <w:tcPr>
            <w:tcW w:w="2163" w:type="pct"/>
            <w:tcBorders>
              <w:top w:val="nil"/>
              <w:left w:val="nil"/>
              <w:bottom w:val="nil"/>
              <w:right w:val="nil"/>
            </w:tcBorders>
            <w:shd w:val="clear" w:color="auto" w:fill="auto"/>
            <w:vAlign w:val="center"/>
          </w:tcPr>
          <w:p w14:paraId="662E78E2"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Hall 1.2 20 cm away from ventilation inlet P1 1</w:t>
            </w:r>
          </w:p>
        </w:tc>
        <w:tc>
          <w:tcPr>
            <w:tcW w:w="1009" w:type="pct"/>
            <w:tcBorders>
              <w:top w:val="nil"/>
              <w:left w:val="nil"/>
              <w:bottom w:val="nil"/>
              <w:right w:val="nil"/>
            </w:tcBorders>
            <w:shd w:val="clear" w:color="auto" w:fill="auto"/>
            <w:noWrap/>
            <w:vAlign w:val="center"/>
          </w:tcPr>
          <w:p w14:paraId="1FE0752F"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Toward the inlet</w:t>
            </w:r>
          </w:p>
        </w:tc>
        <w:tc>
          <w:tcPr>
            <w:tcW w:w="899" w:type="pct"/>
            <w:tcBorders>
              <w:top w:val="nil"/>
              <w:left w:val="nil"/>
              <w:bottom w:val="nil"/>
              <w:right w:val="nil"/>
            </w:tcBorders>
            <w:shd w:val="clear" w:color="auto" w:fill="auto"/>
            <w:noWrap/>
            <w:vAlign w:val="center"/>
          </w:tcPr>
          <w:p w14:paraId="00FC41F4"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1.6</w:t>
            </w:r>
          </w:p>
        </w:tc>
      </w:tr>
      <w:tr w:rsidR="008471D9" w14:paraId="79D43C1D" w14:textId="77777777" w:rsidTr="00C9142C">
        <w:trPr>
          <w:trHeight w:val="540"/>
        </w:trPr>
        <w:tc>
          <w:tcPr>
            <w:tcW w:w="464" w:type="pct"/>
            <w:tcBorders>
              <w:top w:val="nil"/>
              <w:left w:val="nil"/>
              <w:bottom w:val="nil"/>
              <w:right w:val="nil"/>
            </w:tcBorders>
            <w:shd w:val="clear" w:color="auto" w:fill="auto"/>
            <w:noWrap/>
            <w:vAlign w:val="center"/>
          </w:tcPr>
          <w:p w14:paraId="4ACDC815"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25</w:t>
            </w:r>
          </w:p>
        </w:tc>
        <w:tc>
          <w:tcPr>
            <w:tcW w:w="464" w:type="pct"/>
            <w:tcBorders>
              <w:top w:val="nil"/>
              <w:left w:val="nil"/>
              <w:bottom w:val="nil"/>
              <w:right w:val="nil"/>
            </w:tcBorders>
            <w:shd w:val="clear" w:color="auto" w:fill="auto"/>
            <w:noWrap/>
            <w:vAlign w:val="center"/>
          </w:tcPr>
          <w:p w14:paraId="5381B34E"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5.3</w:t>
            </w:r>
          </w:p>
        </w:tc>
        <w:tc>
          <w:tcPr>
            <w:tcW w:w="2163" w:type="pct"/>
            <w:tcBorders>
              <w:top w:val="nil"/>
              <w:left w:val="nil"/>
              <w:bottom w:val="nil"/>
              <w:right w:val="nil"/>
            </w:tcBorders>
            <w:shd w:val="clear" w:color="auto" w:fill="auto"/>
            <w:vAlign w:val="center"/>
          </w:tcPr>
          <w:p w14:paraId="31C8A3D5"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Hall 1.2 20 cm away from ventilation inlet P1 2</w:t>
            </w:r>
          </w:p>
        </w:tc>
        <w:tc>
          <w:tcPr>
            <w:tcW w:w="1009" w:type="pct"/>
            <w:tcBorders>
              <w:top w:val="nil"/>
              <w:left w:val="nil"/>
              <w:bottom w:val="nil"/>
              <w:right w:val="nil"/>
            </w:tcBorders>
            <w:shd w:val="clear" w:color="auto" w:fill="auto"/>
            <w:noWrap/>
            <w:vAlign w:val="center"/>
          </w:tcPr>
          <w:p w14:paraId="7941FCD0"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Toward the inlet</w:t>
            </w:r>
          </w:p>
        </w:tc>
        <w:tc>
          <w:tcPr>
            <w:tcW w:w="899" w:type="pct"/>
            <w:tcBorders>
              <w:top w:val="nil"/>
              <w:left w:val="nil"/>
              <w:bottom w:val="nil"/>
              <w:right w:val="nil"/>
            </w:tcBorders>
            <w:shd w:val="clear" w:color="auto" w:fill="auto"/>
            <w:noWrap/>
            <w:vAlign w:val="center"/>
          </w:tcPr>
          <w:p w14:paraId="738CC0FA"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0.3</w:t>
            </w:r>
          </w:p>
        </w:tc>
      </w:tr>
      <w:tr w:rsidR="008471D9" w14:paraId="5CEC4C7B" w14:textId="77777777" w:rsidTr="00C9142C">
        <w:trPr>
          <w:trHeight w:val="540"/>
        </w:trPr>
        <w:tc>
          <w:tcPr>
            <w:tcW w:w="464" w:type="pct"/>
            <w:tcBorders>
              <w:top w:val="nil"/>
              <w:left w:val="nil"/>
              <w:bottom w:val="nil"/>
              <w:right w:val="nil"/>
            </w:tcBorders>
            <w:shd w:val="clear" w:color="auto" w:fill="auto"/>
            <w:noWrap/>
            <w:vAlign w:val="center"/>
          </w:tcPr>
          <w:p w14:paraId="5E132A21"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26</w:t>
            </w:r>
          </w:p>
        </w:tc>
        <w:tc>
          <w:tcPr>
            <w:tcW w:w="464" w:type="pct"/>
            <w:tcBorders>
              <w:top w:val="nil"/>
              <w:left w:val="nil"/>
              <w:bottom w:val="nil"/>
              <w:right w:val="nil"/>
            </w:tcBorders>
            <w:shd w:val="clear" w:color="auto" w:fill="auto"/>
            <w:noWrap/>
            <w:vAlign w:val="center"/>
          </w:tcPr>
          <w:p w14:paraId="20442F19"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5.3</w:t>
            </w:r>
          </w:p>
        </w:tc>
        <w:tc>
          <w:tcPr>
            <w:tcW w:w="2163" w:type="pct"/>
            <w:tcBorders>
              <w:top w:val="nil"/>
              <w:left w:val="nil"/>
              <w:bottom w:val="nil"/>
              <w:right w:val="nil"/>
            </w:tcBorders>
            <w:shd w:val="clear" w:color="auto" w:fill="auto"/>
            <w:vAlign w:val="center"/>
          </w:tcPr>
          <w:p w14:paraId="72CF9644"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Hall 1.2 20 cm away from ventilation inlet P1 3</w:t>
            </w:r>
          </w:p>
        </w:tc>
        <w:tc>
          <w:tcPr>
            <w:tcW w:w="1009" w:type="pct"/>
            <w:tcBorders>
              <w:top w:val="nil"/>
              <w:left w:val="nil"/>
              <w:bottom w:val="nil"/>
              <w:right w:val="nil"/>
            </w:tcBorders>
            <w:shd w:val="clear" w:color="auto" w:fill="auto"/>
            <w:noWrap/>
            <w:vAlign w:val="center"/>
          </w:tcPr>
          <w:p w14:paraId="20C493C9"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Toward the inlet</w:t>
            </w:r>
          </w:p>
        </w:tc>
        <w:tc>
          <w:tcPr>
            <w:tcW w:w="899" w:type="pct"/>
            <w:tcBorders>
              <w:top w:val="nil"/>
              <w:left w:val="nil"/>
              <w:bottom w:val="nil"/>
              <w:right w:val="nil"/>
            </w:tcBorders>
            <w:shd w:val="clear" w:color="auto" w:fill="auto"/>
            <w:noWrap/>
            <w:vAlign w:val="center"/>
          </w:tcPr>
          <w:p w14:paraId="30663AD8"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0.5</w:t>
            </w:r>
          </w:p>
        </w:tc>
      </w:tr>
      <w:tr w:rsidR="008471D9" w14:paraId="4243DED8" w14:textId="77777777" w:rsidTr="00C9142C">
        <w:trPr>
          <w:trHeight w:val="540"/>
        </w:trPr>
        <w:tc>
          <w:tcPr>
            <w:tcW w:w="464" w:type="pct"/>
            <w:tcBorders>
              <w:top w:val="nil"/>
              <w:left w:val="nil"/>
              <w:bottom w:val="nil"/>
              <w:right w:val="nil"/>
            </w:tcBorders>
            <w:shd w:val="clear" w:color="auto" w:fill="auto"/>
            <w:noWrap/>
            <w:vAlign w:val="center"/>
          </w:tcPr>
          <w:p w14:paraId="703EE69E"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27</w:t>
            </w:r>
          </w:p>
        </w:tc>
        <w:tc>
          <w:tcPr>
            <w:tcW w:w="464" w:type="pct"/>
            <w:tcBorders>
              <w:top w:val="nil"/>
              <w:left w:val="nil"/>
              <w:bottom w:val="nil"/>
              <w:right w:val="nil"/>
            </w:tcBorders>
            <w:shd w:val="clear" w:color="auto" w:fill="auto"/>
            <w:noWrap/>
            <w:vAlign w:val="center"/>
          </w:tcPr>
          <w:p w14:paraId="382236BB"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5.3</w:t>
            </w:r>
          </w:p>
        </w:tc>
        <w:tc>
          <w:tcPr>
            <w:tcW w:w="2163" w:type="pct"/>
            <w:tcBorders>
              <w:top w:val="nil"/>
              <w:left w:val="nil"/>
              <w:bottom w:val="nil"/>
              <w:right w:val="nil"/>
            </w:tcBorders>
            <w:shd w:val="clear" w:color="auto" w:fill="auto"/>
            <w:vAlign w:val="center"/>
          </w:tcPr>
          <w:p w14:paraId="139A7D2D"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Hall 1.2 20 cm away from ventilation inlet P1 4</w:t>
            </w:r>
          </w:p>
        </w:tc>
        <w:tc>
          <w:tcPr>
            <w:tcW w:w="1009" w:type="pct"/>
            <w:tcBorders>
              <w:top w:val="nil"/>
              <w:left w:val="nil"/>
              <w:bottom w:val="nil"/>
              <w:right w:val="nil"/>
            </w:tcBorders>
            <w:shd w:val="clear" w:color="auto" w:fill="auto"/>
            <w:noWrap/>
            <w:vAlign w:val="center"/>
          </w:tcPr>
          <w:p w14:paraId="28C0E7A3"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Toward the inlet</w:t>
            </w:r>
          </w:p>
        </w:tc>
        <w:tc>
          <w:tcPr>
            <w:tcW w:w="899" w:type="pct"/>
            <w:tcBorders>
              <w:top w:val="nil"/>
              <w:left w:val="nil"/>
              <w:bottom w:val="nil"/>
              <w:right w:val="nil"/>
            </w:tcBorders>
            <w:shd w:val="clear" w:color="auto" w:fill="auto"/>
            <w:noWrap/>
            <w:vAlign w:val="center"/>
          </w:tcPr>
          <w:p w14:paraId="0B832C37"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0.3</w:t>
            </w:r>
          </w:p>
        </w:tc>
      </w:tr>
      <w:tr w:rsidR="008471D9" w14:paraId="1CA55472" w14:textId="77777777" w:rsidTr="00C9142C">
        <w:trPr>
          <w:trHeight w:val="540"/>
        </w:trPr>
        <w:tc>
          <w:tcPr>
            <w:tcW w:w="464" w:type="pct"/>
            <w:tcBorders>
              <w:top w:val="nil"/>
              <w:left w:val="nil"/>
              <w:bottom w:val="nil"/>
              <w:right w:val="nil"/>
            </w:tcBorders>
            <w:shd w:val="clear" w:color="auto" w:fill="auto"/>
            <w:noWrap/>
            <w:vAlign w:val="center"/>
          </w:tcPr>
          <w:p w14:paraId="40C8EC65"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28</w:t>
            </w:r>
          </w:p>
        </w:tc>
        <w:tc>
          <w:tcPr>
            <w:tcW w:w="464" w:type="pct"/>
            <w:tcBorders>
              <w:top w:val="nil"/>
              <w:left w:val="nil"/>
              <w:bottom w:val="nil"/>
              <w:right w:val="nil"/>
            </w:tcBorders>
            <w:shd w:val="clear" w:color="auto" w:fill="auto"/>
            <w:noWrap/>
            <w:vAlign w:val="center"/>
          </w:tcPr>
          <w:p w14:paraId="7721B60E"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5.3</w:t>
            </w:r>
          </w:p>
        </w:tc>
        <w:tc>
          <w:tcPr>
            <w:tcW w:w="2163" w:type="pct"/>
            <w:tcBorders>
              <w:top w:val="nil"/>
              <w:left w:val="nil"/>
              <w:bottom w:val="nil"/>
              <w:right w:val="nil"/>
            </w:tcBorders>
            <w:shd w:val="clear" w:color="auto" w:fill="auto"/>
            <w:vAlign w:val="center"/>
          </w:tcPr>
          <w:p w14:paraId="63522F58"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Hall 1.2 20 cm away from ventilation inlet P1 5</w:t>
            </w:r>
          </w:p>
        </w:tc>
        <w:tc>
          <w:tcPr>
            <w:tcW w:w="1009" w:type="pct"/>
            <w:tcBorders>
              <w:top w:val="nil"/>
              <w:left w:val="nil"/>
              <w:bottom w:val="nil"/>
              <w:right w:val="nil"/>
            </w:tcBorders>
            <w:shd w:val="clear" w:color="auto" w:fill="auto"/>
            <w:noWrap/>
            <w:vAlign w:val="center"/>
          </w:tcPr>
          <w:p w14:paraId="62EF3156"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Toward the inlet</w:t>
            </w:r>
          </w:p>
        </w:tc>
        <w:tc>
          <w:tcPr>
            <w:tcW w:w="899" w:type="pct"/>
            <w:tcBorders>
              <w:top w:val="nil"/>
              <w:left w:val="nil"/>
              <w:bottom w:val="nil"/>
              <w:right w:val="nil"/>
            </w:tcBorders>
            <w:shd w:val="clear" w:color="auto" w:fill="auto"/>
            <w:noWrap/>
            <w:vAlign w:val="center"/>
          </w:tcPr>
          <w:p w14:paraId="0D449F70"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1.1</w:t>
            </w:r>
          </w:p>
        </w:tc>
      </w:tr>
      <w:tr w:rsidR="008471D9" w14:paraId="0F1F7F37" w14:textId="77777777" w:rsidTr="00C9142C">
        <w:trPr>
          <w:trHeight w:val="540"/>
        </w:trPr>
        <w:tc>
          <w:tcPr>
            <w:tcW w:w="464" w:type="pct"/>
            <w:tcBorders>
              <w:top w:val="nil"/>
              <w:left w:val="nil"/>
              <w:bottom w:val="nil"/>
              <w:right w:val="nil"/>
            </w:tcBorders>
            <w:shd w:val="clear" w:color="auto" w:fill="auto"/>
            <w:noWrap/>
            <w:vAlign w:val="center"/>
          </w:tcPr>
          <w:p w14:paraId="0DA55B34"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29</w:t>
            </w:r>
          </w:p>
        </w:tc>
        <w:tc>
          <w:tcPr>
            <w:tcW w:w="464" w:type="pct"/>
            <w:tcBorders>
              <w:top w:val="nil"/>
              <w:left w:val="nil"/>
              <w:bottom w:val="nil"/>
              <w:right w:val="nil"/>
            </w:tcBorders>
            <w:shd w:val="clear" w:color="auto" w:fill="auto"/>
            <w:noWrap/>
            <w:vAlign w:val="center"/>
          </w:tcPr>
          <w:p w14:paraId="1BA89FCD"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5.3</w:t>
            </w:r>
          </w:p>
        </w:tc>
        <w:tc>
          <w:tcPr>
            <w:tcW w:w="2163" w:type="pct"/>
            <w:tcBorders>
              <w:top w:val="nil"/>
              <w:left w:val="nil"/>
              <w:bottom w:val="nil"/>
              <w:right w:val="nil"/>
            </w:tcBorders>
            <w:shd w:val="clear" w:color="auto" w:fill="auto"/>
            <w:vAlign w:val="center"/>
          </w:tcPr>
          <w:p w14:paraId="2F074102"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Hall 1.2 20 cm away from ventilation inlet P1 6</w:t>
            </w:r>
          </w:p>
        </w:tc>
        <w:tc>
          <w:tcPr>
            <w:tcW w:w="1009" w:type="pct"/>
            <w:tcBorders>
              <w:top w:val="nil"/>
              <w:left w:val="nil"/>
              <w:bottom w:val="nil"/>
              <w:right w:val="nil"/>
            </w:tcBorders>
            <w:shd w:val="clear" w:color="auto" w:fill="auto"/>
            <w:noWrap/>
            <w:vAlign w:val="center"/>
          </w:tcPr>
          <w:p w14:paraId="4455B2C8"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Toward the inlet</w:t>
            </w:r>
          </w:p>
        </w:tc>
        <w:tc>
          <w:tcPr>
            <w:tcW w:w="899" w:type="pct"/>
            <w:tcBorders>
              <w:top w:val="nil"/>
              <w:left w:val="nil"/>
              <w:bottom w:val="nil"/>
              <w:right w:val="nil"/>
            </w:tcBorders>
            <w:shd w:val="clear" w:color="auto" w:fill="auto"/>
            <w:noWrap/>
            <w:vAlign w:val="center"/>
          </w:tcPr>
          <w:p w14:paraId="26B88052"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0.3</w:t>
            </w:r>
          </w:p>
        </w:tc>
      </w:tr>
      <w:tr w:rsidR="008471D9" w14:paraId="5CA9E739" w14:textId="77777777" w:rsidTr="00C9142C">
        <w:trPr>
          <w:trHeight w:val="540"/>
        </w:trPr>
        <w:tc>
          <w:tcPr>
            <w:tcW w:w="464" w:type="pct"/>
            <w:tcBorders>
              <w:top w:val="nil"/>
              <w:left w:val="nil"/>
              <w:bottom w:val="nil"/>
              <w:right w:val="nil"/>
            </w:tcBorders>
            <w:shd w:val="clear" w:color="auto" w:fill="auto"/>
            <w:noWrap/>
            <w:vAlign w:val="center"/>
          </w:tcPr>
          <w:p w14:paraId="46602803"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30</w:t>
            </w:r>
          </w:p>
        </w:tc>
        <w:tc>
          <w:tcPr>
            <w:tcW w:w="464" w:type="pct"/>
            <w:tcBorders>
              <w:top w:val="nil"/>
              <w:left w:val="nil"/>
              <w:bottom w:val="nil"/>
              <w:right w:val="nil"/>
            </w:tcBorders>
            <w:shd w:val="clear" w:color="auto" w:fill="auto"/>
            <w:noWrap/>
            <w:vAlign w:val="center"/>
          </w:tcPr>
          <w:p w14:paraId="71EBDC6B"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5.3</w:t>
            </w:r>
          </w:p>
        </w:tc>
        <w:tc>
          <w:tcPr>
            <w:tcW w:w="2163" w:type="pct"/>
            <w:tcBorders>
              <w:top w:val="nil"/>
              <w:left w:val="nil"/>
              <w:bottom w:val="nil"/>
              <w:right w:val="nil"/>
            </w:tcBorders>
            <w:shd w:val="clear" w:color="auto" w:fill="auto"/>
            <w:vAlign w:val="center"/>
          </w:tcPr>
          <w:p w14:paraId="0073F334"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Hall1.2 20 cm away from ventilation inlet P2 1</w:t>
            </w:r>
          </w:p>
        </w:tc>
        <w:tc>
          <w:tcPr>
            <w:tcW w:w="1009" w:type="pct"/>
            <w:tcBorders>
              <w:top w:val="nil"/>
              <w:left w:val="nil"/>
              <w:bottom w:val="nil"/>
              <w:right w:val="nil"/>
            </w:tcBorders>
            <w:shd w:val="clear" w:color="auto" w:fill="auto"/>
            <w:noWrap/>
            <w:vAlign w:val="center"/>
          </w:tcPr>
          <w:p w14:paraId="7B45CEF4"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Toward the inlet</w:t>
            </w:r>
          </w:p>
        </w:tc>
        <w:tc>
          <w:tcPr>
            <w:tcW w:w="899" w:type="pct"/>
            <w:tcBorders>
              <w:top w:val="nil"/>
              <w:left w:val="nil"/>
              <w:bottom w:val="nil"/>
              <w:right w:val="nil"/>
            </w:tcBorders>
            <w:shd w:val="clear" w:color="auto" w:fill="auto"/>
            <w:noWrap/>
            <w:vAlign w:val="center"/>
          </w:tcPr>
          <w:p w14:paraId="40216845"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0.6</w:t>
            </w:r>
          </w:p>
        </w:tc>
      </w:tr>
      <w:tr w:rsidR="008471D9" w14:paraId="0F5C02A8" w14:textId="77777777" w:rsidTr="00C9142C">
        <w:trPr>
          <w:trHeight w:val="540"/>
        </w:trPr>
        <w:tc>
          <w:tcPr>
            <w:tcW w:w="464" w:type="pct"/>
            <w:tcBorders>
              <w:top w:val="nil"/>
              <w:left w:val="nil"/>
              <w:bottom w:val="nil"/>
              <w:right w:val="nil"/>
            </w:tcBorders>
            <w:shd w:val="clear" w:color="auto" w:fill="auto"/>
            <w:noWrap/>
            <w:vAlign w:val="center"/>
          </w:tcPr>
          <w:p w14:paraId="7D184C78"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31</w:t>
            </w:r>
          </w:p>
        </w:tc>
        <w:tc>
          <w:tcPr>
            <w:tcW w:w="464" w:type="pct"/>
            <w:tcBorders>
              <w:top w:val="nil"/>
              <w:left w:val="nil"/>
              <w:bottom w:val="nil"/>
              <w:right w:val="nil"/>
            </w:tcBorders>
            <w:shd w:val="clear" w:color="auto" w:fill="auto"/>
            <w:noWrap/>
            <w:vAlign w:val="center"/>
          </w:tcPr>
          <w:p w14:paraId="283AA4D6"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5.3</w:t>
            </w:r>
          </w:p>
        </w:tc>
        <w:tc>
          <w:tcPr>
            <w:tcW w:w="2163" w:type="pct"/>
            <w:tcBorders>
              <w:top w:val="nil"/>
              <w:left w:val="nil"/>
              <w:bottom w:val="nil"/>
              <w:right w:val="nil"/>
            </w:tcBorders>
            <w:shd w:val="clear" w:color="auto" w:fill="auto"/>
            <w:vAlign w:val="center"/>
          </w:tcPr>
          <w:p w14:paraId="6CD2685A"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Hall1.2 20 cm away from ventilation inlet P2 2</w:t>
            </w:r>
          </w:p>
        </w:tc>
        <w:tc>
          <w:tcPr>
            <w:tcW w:w="1009" w:type="pct"/>
            <w:tcBorders>
              <w:top w:val="nil"/>
              <w:left w:val="nil"/>
              <w:bottom w:val="nil"/>
              <w:right w:val="nil"/>
            </w:tcBorders>
            <w:shd w:val="clear" w:color="auto" w:fill="auto"/>
            <w:noWrap/>
            <w:vAlign w:val="center"/>
          </w:tcPr>
          <w:p w14:paraId="5EFA30E4"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Toward the inlet</w:t>
            </w:r>
          </w:p>
        </w:tc>
        <w:tc>
          <w:tcPr>
            <w:tcW w:w="899" w:type="pct"/>
            <w:tcBorders>
              <w:top w:val="nil"/>
              <w:left w:val="nil"/>
              <w:bottom w:val="nil"/>
              <w:right w:val="nil"/>
            </w:tcBorders>
            <w:shd w:val="clear" w:color="auto" w:fill="auto"/>
            <w:noWrap/>
            <w:vAlign w:val="center"/>
          </w:tcPr>
          <w:p w14:paraId="3F327FC2"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0.9</w:t>
            </w:r>
          </w:p>
        </w:tc>
      </w:tr>
      <w:tr w:rsidR="008471D9" w14:paraId="38A47D21" w14:textId="77777777" w:rsidTr="00C9142C">
        <w:trPr>
          <w:trHeight w:val="540"/>
        </w:trPr>
        <w:tc>
          <w:tcPr>
            <w:tcW w:w="464" w:type="pct"/>
            <w:tcBorders>
              <w:top w:val="nil"/>
              <w:left w:val="nil"/>
              <w:bottom w:val="nil"/>
              <w:right w:val="nil"/>
            </w:tcBorders>
            <w:shd w:val="clear" w:color="auto" w:fill="auto"/>
            <w:noWrap/>
            <w:vAlign w:val="center"/>
          </w:tcPr>
          <w:p w14:paraId="57DE9DF4"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32</w:t>
            </w:r>
          </w:p>
        </w:tc>
        <w:tc>
          <w:tcPr>
            <w:tcW w:w="464" w:type="pct"/>
            <w:tcBorders>
              <w:top w:val="nil"/>
              <w:left w:val="nil"/>
              <w:bottom w:val="nil"/>
              <w:right w:val="nil"/>
            </w:tcBorders>
            <w:shd w:val="clear" w:color="auto" w:fill="auto"/>
            <w:noWrap/>
            <w:vAlign w:val="center"/>
          </w:tcPr>
          <w:p w14:paraId="125E78F4"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5.3</w:t>
            </w:r>
          </w:p>
        </w:tc>
        <w:tc>
          <w:tcPr>
            <w:tcW w:w="2163" w:type="pct"/>
            <w:tcBorders>
              <w:top w:val="nil"/>
              <w:left w:val="nil"/>
              <w:bottom w:val="nil"/>
              <w:right w:val="nil"/>
            </w:tcBorders>
            <w:shd w:val="clear" w:color="auto" w:fill="auto"/>
            <w:vAlign w:val="center"/>
          </w:tcPr>
          <w:p w14:paraId="4D52DDEA"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Hall1.2 20 cm away from ventilation inlet P2 3</w:t>
            </w:r>
          </w:p>
        </w:tc>
        <w:tc>
          <w:tcPr>
            <w:tcW w:w="1009" w:type="pct"/>
            <w:tcBorders>
              <w:top w:val="nil"/>
              <w:left w:val="nil"/>
              <w:bottom w:val="nil"/>
              <w:right w:val="nil"/>
            </w:tcBorders>
            <w:shd w:val="clear" w:color="auto" w:fill="auto"/>
            <w:noWrap/>
            <w:vAlign w:val="center"/>
          </w:tcPr>
          <w:p w14:paraId="7F183977"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Toward the inlet</w:t>
            </w:r>
          </w:p>
        </w:tc>
        <w:tc>
          <w:tcPr>
            <w:tcW w:w="899" w:type="pct"/>
            <w:tcBorders>
              <w:top w:val="nil"/>
              <w:left w:val="nil"/>
              <w:bottom w:val="nil"/>
              <w:right w:val="nil"/>
            </w:tcBorders>
            <w:shd w:val="clear" w:color="auto" w:fill="auto"/>
            <w:noWrap/>
            <w:vAlign w:val="center"/>
          </w:tcPr>
          <w:p w14:paraId="5F6173CE"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1.6</w:t>
            </w:r>
          </w:p>
        </w:tc>
      </w:tr>
      <w:tr w:rsidR="008471D9" w14:paraId="33BF8AE4" w14:textId="77777777" w:rsidTr="00C9142C">
        <w:trPr>
          <w:trHeight w:val="540"/>
        </w:trPr>
        <w:tc>
          <w:tcPr>
            <w:tcW w:w="464" w:type="pct"/>
            <w:tcBorders>
              <w:top w:val="nil"/>
              <w:left w:val="nil"/>
              <w:bottom w:val="nil"/>
              <w:right w:val="nil"/>
            </w:tcBorders>
            <w:shd w:val="clear" w:color="auto" w:fill="auto"/>
            <w:noWrap/>
            <w:vAlign w:val="center"/>
          </w:tcPr>
          <w:p w14:paraId="196125EB"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33</w:t>
            </w:r>
          </w:p>
        </w:tc>
        <w:tc>
          <w:tcPr>
            <w:tcW w:w="464" w:type="pct"/>
            <w:tcBorders>
              <w:top w:val="nil"/>
              <w:left w:val="nil"/>
              <w:bottom w:val="nil"/>
              <w:right w:val="nil"/>
            </w:tcBorders>
            <w:shd w:val="clear" w:color="auto" w:fill="auto"/>
            <w:noWrap/>
            <w:vAlign w:val="center"/>
          </w:tcPr>
          <w:p w14:paraId="3EF8746C"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5.3</w:t>
            </w:r>
          </w:p>
        </w:tc>
        <w:tc>
          <w:tcPr>
            <w:tcW w:w="2163" w:type="pct"/>
            <w:tcBorders>
              <w:top w:val="nil"/>
              <w:left w:val="nil"/>
              <w:bottom w:val="nil"/>
              <w:right w:val="nil"/>
            </w:tcBorders>
            <w:shd w:val="clear" w:color="auto" w:fill="auto"/>
            <w:vAlign w:val="center"/>
          </w:tcPr>
          <w:p w14:paraId="5C973B15"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Hall 1.2 40 cm away from ventilation inlet P2 4</w:t>
            </w:r>
          </w:p>
        </w:tc>
        <w:tc>
          <w:tcPr>
            <w:tcW w:w="1009" w:type="pct"/>
            <w:tcBorders>
              <w:top w:val="nil"/>
              <w:left w:val="nil"/>
              <w:bottom w:val="nil"/>
              <w:right w:val="nil"/>
            </w:tcBorders>
            <w:shd w:val="clear" w:color="auto" w:fill="auto"/>
            <w:noWrap/>
            <w:vAlign w:val="center"/>
          </w:tcPr>
          <w:p w14:paraId="30C28B64"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Toward the inlet</w:t>
            </w:r>
          </w:p>
        </w:tc>
        <w:tc>
          <w:tcPr>
            <w:tcW w:w="899" w:type="pct"/>
            <w:tcBorders>
              <w:top w:val="nil"/>
              <w:left w:val="nil"/>
              <w:bottom w:val="nil"/>
              <w:right w:val="nil"/>
            </w:tcBorders>
            <w:shd w:val="clear" w:color="auto" w:fill="auto"/>
            <w:noWrap/>
            <w:vAlign w:val="center"/>
          </w:tcPr>
          <w:p w14:paraId="326A5159"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0.4</w:t>
            </w:r>
          </w:p>
        </w:tc>
      </w:tr>
      <w:tr w:rsidR="008471D9" w14:paraId="515212DA" w14:textId="77777777" w:rsidTr="00C9142C">
        <w:trPr>
          <w:trHeight w:val="540"/>
        </w:trPr>
        <w:tc>
          <w:tcPr>
            <w:tcW w:w="464" w:type="pct"/>
            <w:tcBorders>
              <w:top w:val="nil"/>
              <w:left w:val="nil"/>
              <w:bottom w:val="single" w:sz="4" w:space="0" w:color="auto"/>
              <w:right w:val="nil"/>
            </w:tcBorders>
            <w:shd w:val="clear" w:color="auto" w:fill="auto"/>
            <w:noWrap/>
            <w:vAlign w:val="center"/>
          </w:tcPr>
          <w:p w14:paraId="56401236"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34</w:t>
            </w:r>
          </w:p>
        </w:tc>
        <w:tc>
          <w:tcPr>
            <w:tcW w:w="464" w:type="pct"/>
            <w:tcBorders>
              <w:top w:val="nil"/>
              <w:left w:val="nil"/>
              <w:bottom w:val="single" w:sz="4" w:space="0" w:color="auto"/>
              <w:right w:val="nil"/>
            </w:tcBorders>
            <w:shd w:val="clear" w:color="auto" w:fill="auto"/>
            <w:noWrap/>
            <w:vAlign w:val="center"/>
          </w:tcPr>
          <w:p w14:paraId="73078319"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5.3</w:t>
            </w:r>
          </w:p>
        </w:tc>
        <w:tc>
          <w:tcPr>
            <w:tcW w:w="2163" w:type="pct"/>
            <w:tcBorders>
              <w:top w:val="nil"/>
              <w:left w:val="nil"/>
              <w:bottom w:val="single" w:sz="4" w:space="0" w:color="auto"/>
              <w:right w:val="nil"/>
            </w:tcBorders>
            <w:shd w:val="clear" w:color="auto" w:fill="auto"/>
            <w:vAlign w:val="center"/>
          </w:tcPr>
          <w:p w14:paraId="023D3BFD"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Hall 1.2 40 cm away from ventilation inlet P2 5</w:t>
            </w:r>
          </w:p>
        </w:tc>
        <w:tc>
          <w:tcPr>
            <w:tcW w:w="1009" w:type="pct"/>
            <w:tcBorders>
              <w:top w:val="nil"/>
              <w:left w:val="nil"/>
              <w:bottom w:val="single" w:sz="4" w:space="0" w:color="auto"/>
              <w:right w:val="nil"/>
            </w:tcBorders>
            <w:shd w:val="clear" w:color="auto" w:fill="auto"/>
            <w:noWrap/>
            <w:vAlign w:val="center"/>
          </w:tcPr>
          <w:p w14:paraId="02330D97"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Toward the inlet</w:t>
            </w:r>
          </w:p>
        </w:tc>
        <w:tc>
          <w:tcPr>
            <w:tcW w:w="899" w:type="pct"/>
            <w:tcBorders>
              <w:top w:val="nil"/>
              <w:left w:val="nil"/>
              <w:bottom w:val="single" w:sz="4" w:space="0" w:color="auto"/>
              <w:right w:val="nil"/>
            </w:tcBorders>
            <w:shd w:val="clear" w:color="auto" w:fill="auto"/>
            <w:noWrap/>
            <w:vAlign w:val="center"/>
          </w:tcPr>
          <w:p w14:paraId="7B9D0191" w14:textId="77777777" w:rsidR="008471D9" w:rsidRDefault="008471D9" w:rsidP="00C9142C">
            <w:pPr>
              <w:widowControl/>
              <w:jc w:val="both"/>
              <w:textAlignment w:val="center"/>
              <w:rPr>
                <w:rFonts w:eastAsia="宋体"/>
                <w:color w:val="000000"/>
                <w:sz w:val="15"/>
                <w:szCs w:val="15"/>
              </w:rPr>
            </w:pPr>
            <w:r>
              <w:rPr>
                <w:rFonts w:eastAsia="宋体"/>
                <w:color w:val="000000"/>
                <w:sz w:val="15"/>
                <w:szCs w:val="15"/>
                <w:lang w:eastAsia="zh-CN" w:bidi="ar"/>
              </w:rPr>
              <w:t>0.4</w:t>
            </w:r>
          </w:p>
        </w:tc>
      </w:tr>
    </w:tbl>
    <w:p w14:paraId="54AA1F38" w14:textId="77777777" w:rsidR="008471D9" w:rsidRDefault="008471D9" w:rsidP="008471D9">
      <w:pPr>
        <w:jc w:val="both"/>
      </w:pPr>
    </w:p>
    <w:p w14:paraId="1E0BFD23" w14:textId="498B70E9" w:rsidR="00AB1051" w:rsidRPr="00AB1051" w:rsidRDefault="00AB1051" w:rsidP="00AB1051">
      <w:pPr>
        <w:pStyle w:val="4"/>
        <w:keepNext w:val="0"/>
        <w:keepLines w:val="0"/>
        <w:widowControl/>
        <w:tabs>
          <w:tab w:val="left" w:pos="864"/>
        </w:tabs>
        <w:kinsoku w:val="0"/>
        <w:autoSpaceDE/>
        <w:autoSpaceDN/>
        <w:snapToGrid w:val="0"/>
        <w:spacing w:beforeLines="50" w:before="120" w:afterLines="50" w:after="120" w:line="240" w:lineRule="auto"/>
        <w:jc w:val="both"/>
        <w:rPr>
          <w:rFonts w:ascii="Times New Roman" w:hAnsi="Times New Roman" w:cs="Times New Roman"/>
          <w:b/>
          <w:bCs/>
          <w:i w:val="0"/>
          <w:iCs w:val="0"/>
          <w:color w:val="000000" w:themeColor="text1"/>
          <w:sz w:val="21"/>
          <w:szCs w:val="21"/>
          <w:lang w:bidi="ar-SA"/>
        </w:rPr>
      </w:pPr>
      <w:r w:rsidRPr="00AB1051">
        <w:rPr>
          <w:rFonts w:ascii="Times New Roman" w:hAnsi="Times New Roman" w:cs="Times New Roman" w:hint="eastAsia"/>
          <w:b/>
          <w:bCs/>
          <w:i w:val="0"/>
          <w:iCs w:val="0"/>
          <w:color w:val="000000" w:themeColor="text1"/>
          <w:sz w:val="21"/>
          <w:szCs w:val="21"/>
          <w:lang w:bidi="ar-SA"/>
        </w:rPr>
        <w:t>R</w:t>
      </w:r>
      <w:r w:rsidRPr="00AB1051">
        <w:rPr>
          <w:rFonts w:ascii="Times New Roman" w:hAnsi="Times New Roman" w:cs="Times New Roman"/>
          <w:b/>
          <w:bCs/>
          <w:i w:val="0"/>
          <w:iCs w:val="0"/>
          <w:color w:val="000000" w:themeColor="text1"/>
          <w:sz w:val="21"/>
          <w:szCs w:val="21"/>
          <w:lang w:bidi="ar-SA"/>
        </w:rPr>
        <w:t>eference</w:t>
      </w:r>
    </w:p>
    <w:p w14:paraId="41E648B9" w14:textId="134C1E79" w:rsidR="00256B2F" w:rsidRPr="00AB1051" w:rsidRDefault="00AB1051" w:rsidP="00AB1051">
      <w:pPr>
        <w:snapToGrid w:val="0"/>
        <w:spacing w:before="0" w:line="240" w:lineRule="auto"/>
        <w:jc w:val="both"/>
        <w:rPr>
          <w:sz w:val="18"/>
          <w:szCs w:val="18"/>
        </w:rPr>
      </w:pPr>
      <w:r>
        <w:rPr>
          <w:rFonts w:eastAsiaTheme="minorEastAsia"/>
          <w:color w:val="000000"/>
          <w:sz w:val="18"/>
          <w:szCs w:val="18"/>
          <w:lang w:eastAsia="zh-CN" w:bidi="ar-SA"/>
        </w:rPr>
        <w:t xml:space="preserve">[1] Guo JS, Zheng XY, Qin TT, </w:t>
      </w:r>
      <w:proofErr w:type="spellStart"/>
      <w:r>
        <w:rPr>
          <w:rFonts w:eastAsiaTheme="minorEastAsia"/>
          <w:color w:val="000000"/>
          <w:sz w:val="18"/>
          <w:szCs w:val="18"/>
          <w:lang w:eastAsia="zh-CN" w:bidi="ar-SA"/>
        </w:rPr>
        <w:t>Lv</w:t>
      </w:r>
      <w:proofErr w:type="spellEnd"/>
      <w:r>
        <w:rPr>
          <w:rFonts w:eastAsiaTheme="minorEastAsia"/>
          <w:color w:val="000000"/>
          <w:sz w:val="18"/>
          <w:szCs w:val="18"/>
          <w:lang w:eastAsia="zh-CN" w:bidi="ar-SA"/>
        </w:rPr>
        <w:t xml:space="preserve"> M, Zhang W, Song XL, et al. An experimental method for efficiently evaluating the size-resolved sampling efficiency of liquid-absorption aerosol samplers. Sci Rep 2022;12(1):4745.</w:t>
      </w:r>
    </w:p>
    <w:sectPr w:rsidR="00256B2F" w:rsidRPr="00AB1051">
      <w:headerReference w:type="default" r:id="rId13"/>
      <w:headerReference w:type="first" r:id="rId14"/>
      <w:footerReference w:type="first" r:id="rId15"/>
      <w:pgSz w:w="11910" w:h="16840"/>
      <w:pgMar w:top="720" w:right="720" w:bottom="720" w:left="720" w:header="283"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403D1" w14:textId="77777777" w:rsidR="00AA06CD" w:rsidRDefault="00AA06CD">
      <w:pPr>
        <w:spacing w:line="240" w:lineRule="auto"/>
      </w:pPr>
      <w:r>
        <w:separator/>
      </w:r>
    </w:p>
  </w:endnote>
  <w:endnote w:type="continuationSeparator" w:id="0">
    <w:p w14:paraId="6E86046C" w14:textId="77777777" w:rsidR="00AA06CD" w:rsidRDefault="00AA06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F4362" w14:textId="77777777" w:rsidR="00256B2F" w:rsidRDefault="00000000">
    <w:pPr>
      <w:pStyle w:val="a5"/>
      <w:spacing w:before="0" w:line="240" w:lineRule="auto"/>
    </w:pPr>
    <w:r>
      <w:rPr>
        <w:rFonts w:eastAsia="等线"/>
        <w:szCs w:val="18"/>
      </w:rPr>
      <w:t>2095-8099/© 202</w:t>
    </w:r>
    <w:r>
      <w:rPr>
        <w:szCs w:val="18"/>
        <w:lang w:eastAsia="zh-CN"/>
      </w:rPr>
      <w:t>3</w:t>
    </w:r>
    <w:r>
      <w:rPr>
        <w:rFonts w:eastAsia="等线"/>
        <w:szCs w:val="18"/>
      </w:rPr>
      <w:t xml:space="preserve"> THE AUTHORS. Published by Elsevier LTD on behalf of Chinese Academy of Engineering and Higher Education Press Limited Company. This is an open access article under the CC BY-NC-ND license (http://creativecommons.org/licenses/by-nc-nd/4.0/).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67984" w14:textId="77777777" w:rsidR="00AA06CD" w:rsidRDefault="00AA06CD">
      <w:pPr>
        <w:spacing w:before="0"/>
      </w:pPr>
      <w:r>
        <w:separator/>
      </w:r>
    </w:p>
  </w:footnote>
  <w:footnote w:type="continuationSeparator" w:id="0">
    <w:p w14:paraId="1C5923F9" w14:textId="77777777" w:rsidR="00AA06CD" w:rsidRDefault="00AA06CD">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D493D" w14:textId="77777777" w:rsidR="00256B2F" w:rsidRDefault="00000000">
    <w:pPr>
      <w:pStyle w:val="a6"/>
      <w:spacing w:before="0"/>
      <w:jc w:val="center"/>
    </w:pPr>
    <w:r>
      <w:rPr>
        <w:rFonts w:hint="eastAsia"/>
        <w:bCs/>
        <w:i/>
        <w:iCs/>
        <w:szCs w:val="18"/>
        <w:lang w:eastAsia="zh-CN"/>
      </w:rPr>
      <w:t xml:space="preserve">J. </w:t>
    </w:r>
    <w:r>
      <w:rPr>
        <w:rFonts w:eastAsiaTheme="minorEastAsia" w:hint="eastAsia"/>
        <w:i/>
        <w:iCs/>
        <w:szCs w:val="18"/>
        <w:lang w:eastAsia="zh-CN"/>
      </w:rPr>
      <w:t>Jiang</w:t>
    </w:r>
    <w:r>
      <w:rPr>
        <w:bCs/>
        <w:i/>
        <w:iCs/>
        <w:szCs w:val="18"/>
        <w:lang w:eastAsia="zh-CN"/>
      </w:rPr>
      <w:t xml:space="preserve">, </w:t>
    </w:r>
    <w:r>
      <w:rPr>
        <w:rFonts w:hint="eastAsia"/>
        <w:bCs/>
        <w:i/>
        <w:iCs/>
        <w:szCs w:val="18"/>
        <w:lang w:eastAsia="zh-CN"/>
      </w:rPr>
      <w:t>Z</w:t>
    </w:r>
    <w:r>
      <w:rPr>
        <w:bCs/>
        <w:i/>
        <w:iCs/>
        <w:szCs w:val="18"/>
        <w:lang w:eastAsia="zh-CN"/>
      </w:rPr>
      <w:t xml:space="preserve">. </w:t>
    </w:r>
    <w:r>
      <w:rPr>
        <w:rFonts w:hint="eastAsia"/>
        <w:bCs/>
        <w:i/>
        <w:iCs/>
        <w:szCs w:val="18"/>
        <w:lang w:eastAsia="zh-CN"/>
      </w:rPr>
      <w:t>Yin</w:t>
    </w:r>
    <w:r>
      <w:rPr>
        <w:bCs/>
        <w:i/>
        <w:iCs/>
        <w:szCs w:val="18"/>
        <w:lang w:eastAsia="zh-CN"/>
      </w:rPr>
      <w:t xml:space="preserve">, </w:t>
    </w:r>
    <w:r>
      <w:rPr>
        <w:rFonts w:hint="eastAsia"/>
        <w:bCs/>
        <w:i/>
        <w:iCs/>
        <w:szCs w:val="18"/>
        <w:lang w:eastAsia="zh-CN"/>
      </w:rPr>
      <w:t>J</w:t>
    </w:r>
    <w:r>
      <w:rPr>
        <w:bCs/>
        <w:i/>
        <w:iCs/>
        <w:szCs w:val="18"/>
        <w:lang w:eastAsia="zh-CN"/>
      </w:rPr>
      <w:t xml:space="preserve">. </w:t>
    </w:r>
    <w:r>
      <w:rPr>
        <w:rFonts w:hint="eastAsia"/>
        <w:bCs/>
        <w:i/>
        <w:iCs/>
        <w:szCs w:val="18"/>
        <w:lang w:eastAsia="zh-CN"/>
      </w:rPr>
      <w:t>Li</w:t>
    </w:r>
    <w:r>
      <w:rPr>
        <w:bCs/>
        <w:i/>
        <w:iCs/>
        <w:szCs w:val="18"/>
      </w:rPr>
      <w:t xml:space="preserve"> et</w:t>
    </w:r>
    <w:r>
      <w:rPr>
        <w:bCs/>
        <w:i/>
        <w:iCs/>
        <w:szCs w:val="18"/>
        <w:lang w:eastAsia="zh-CN"/>
      </w:rPr>
      <w:t xml:space="preserve"> </w:t>
    </w:r>
    <w:r>
      <w:rPr>
        <w:bCs/>
        <w:i/>
        <w:iCs/>
        <w:szCs w:val="18"/>
      </w:rPr>
      <w:t>al</w:t>
    </w:r>
    <w:r>
      <w:rPr>
        <w:bCs/>
        <w:i/>
        <w:iCs/>
        <w:szCs w:val="18"/>
        <w:lang w:eastAsia="zh-CN"/>
      </w:rPr>
      <w:t>.</w:t>
    </w:r>
    <w:r>
      <w:rPr>
        <w:bCs/>
        <w:i/>
        <w:iCs/>
        <w:szCs w:val="18"/>
      </w:rPr>
      <w:t xml:space="preserve">/Engineering </w:t>
    </w:r>
    <w:proofErr w:type="gramStart"/>
    <w:r>
      <w:rPr>
        <w:bCs/>
        <w:i/>
        <w:iCs/>
        <w:szCs w:val="18"/>
      </w:rPr>
      <w:t>x(</w:t>
    </w:r>
    <w:proofErr w:type="gramEnd"/>
    <w:r>
      <w:rPr>
        <w:bCs/>
        <w:i/>
        <w:iCs/>
        <w:szCs w:val="18"/>
      </w:rPr>
      <w:t>202</w:t>
    </w:r>
    <w:r>
      <w:rPr>
        <w:bCs/>
        <w:i/>
        <w:iCs/>
        <w:szCs w:val="18"/>
        <w:lang w:eastAsia="zh-CN"/>
      </w:rPr>
      <w:t>3</w:t>
    </w:r>
    <w:r>
      <w:rPr>
        <w:bCs/>
        <w:i/>
        <w:iCs/>
        <w:szCs w:val="18"/>
      </w:rPr>
      <w:t>)</w:t>
    </w:r>
  </w:p>
  <w:p w14:paraId="394FA923" w14:textId="77777777" w:rsidR="00256B2F" w:rsidRDefault="00256B2F">
    <w:pPr>
      <w:pStyle w:val="a6"/>
      <w:spacing w:befor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E41D0" w14:textId="30E39647" w:rsidR="00256B2F" w:rsidRDefault="00000000" w:rsidP="008B30D3">
    <w:pPr>
      <w:pStyle w:val="a6"/>
      <w:spacing w:before="0"/>
      <w:jc w:val="center"/>
    </w:pPr>
    <w:r>
      <w:rPr>
        <w:bCs/>
        <w:szCs w:val="18"/>
      </w:rPr>
      <w:t xml:space="preserve">Engineering </w:t>
    </w:r>
    <w:r w:rsidRPr="008B30D3">
      <w:rPr>
        <w:bCs/>
        <w:i/>
        <w:iCs/>
        <w:szCs w:val="18"/>
      </w:rPr>
      <w:t>X</w:t>
    </w:r>
    <w:r w:rsidR="008B30D3">
      <w:rPr>
        <w:bCs/>
        <w:szCs w:val="18"/>
      </w:rPr>
      <w:t xml:space="preserve"> </w:t>
    </w:r>
    <w:r>
      <w:rPr>
        <w:bCs/>
        <w:szCs w:val="18"/>
      </w:rPr>
      <w:t>(202</w:t>
    </w:r>
    <w:r>
      <w:rPr>
        <w:bCs/>
        <w:szCs w:val="18"/>
        <w:lang w:eastAsia="zh-CN"/>
      </w:rPr>
      <w:t>3</w:t>
    </w:r>
    <w:r>
      <w:rPr>
        <w:bCs/>
        <w:szCs w:val="18"/>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77AC0E"/>
    <w:multiLevelType w:val="singleLevel"/>
    <w:tmpl w:val="3077AC0E"/>
    <w:lvl w:ilvl="0">
      <w:start w:val="2"/>
      <w:numFmt w:val="decimal"/>
      <w:suff w:val="space"/>
      <w:lvlText w:val="%1."/>
      <w:lvlJc w:val="left"/>
    </w:lvl>
  </w:abstractNum>
  <w:abstractNum w:abstractNumId="1" w15:restartNumberingAfterBreak="0">
    <w:nsid w:val="43303BE8"/>
    <w:multiLevelType w:val="multilevel"/>
    <w:tmpl w:val="D47048B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386828106">
    <w:abstractNumId w:val="0"/>
  </w:num>
  <w:num w:numId="2" w16cid:durableId="17213992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zA3ODk1ODg1NjliNjNiYzNmYzQyMTVlYmUyYjI4MTcifQ=="/>
  </w:docVars>
  <w:rsids>
    <w:rsidRoot w:val="00EE05F5"/>
    <w:rsid w:val="000228ED"/>
    <w:rsid w:val="000602A4"/>
    <w:rsid w:val="0018535D"/>
    <w:rsid w:val="001A24E7"/>
    <w:rsid w:val="001D0B25"/>
    <w:rsid w:val="00256B2F"/>
    <w:rsid w:val="00263BAB"/>
    <w:rsid w:val="00412070"/>
    <w:rsid w:val="006A567A"/>
    <w:rsid w:val="00706C87"/>
    <w:rsid w:val="00766340"/>
    <w:rsid w:val="007E73BB"/>
    <w:rsid w:val="007E778E"/>
    <w:rsid w:val="00826265"/>
    <w:rsid w:val="008471D9"/>
    <w:rsid w:val="008562EB"/>
    <w:rsid w:val="008B30D3"/>
    <w:rsid w:val="008D5354"/>
    <w:rsid w:val="0090269E"/>
    <w:rsid w:val="009C6DFA"/>
    <w:rsid w:val="00AA06CD"/>
    <w:rsid w:val="00AB1051"/>
    <w:rsid w:val="00AE7232"/>
    <w:rsid w:val="00B07F67"/>
    <w:rsid w:val="00D32AEE"/>
    <w:rsid w:val="00E549B9"/>
    <w:rsid w:val="00EE05F5"/>
    <w:rsid w:val="00EF0A09"/>
    <w:rsid w:val="00F13618"/>
    <w:rsid w:val="00F458A8"/>
    <w:rsid w:val="23E120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AABE89"/>
  <w15:docId w15:val="{6583B5CE-A6F6-49C3-9B37-F6FE9F41A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uiPriority w:val="1"/>
    <w:qFormat/>
    <w:pPr>
      <w:widowControl w:val="0"/>
      <w:autoSpaceDE w:val="0"/>
      <w:autoSpaceDN w:val="0"/>
      <w:adjustRightInd w:val="0"/>
      <w:spacing w:before="120" w:line="360" w:lineRule="auto"/>
    </w:pPr>
    <w:rPr>
      <w:rFonts w:ascii="Times New Roman" w:eastAsia="Times New Roman" w:hAnsi="Times New Roman" w:cs="Times New Roman"/>
      <w:sz w:val="24"/>
      <w:szCs w:val="22"/>
      <w:lang w:eastAsia="en-US" w:bidi="en-US"/>
    </w:rPr>
  </w:style>
  <w:style w:type="paragraph" w:styleId="4">
    <w:name w:val="heading 4"/>
    <w:basedOn w:val="a"/>
    <w:next w:val="a"/>
    <w:link w:val="40"/>
    <w:uiPriority w:val="9"/>
    <w:semiHidden/>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semiHidden/>
    <w:unhideWhenUsed/>
    <w:qFormat/>
    <w:pPr>
      <w:ind w:left="720"/>
    </w:pPr>
  </w:style>
  <w:style w:type="paragraph" w:styleId="a4">
    <w:name w:val="Body Text"/>
    <w:basedOn w:val="a"/>
    <w:uiPriority w:val="1"/>
    <w:qFormat/>
  </w:style>
  <w:style w:type="paragraph" w:styleId="a5">
    <w:name w:val="footer"/>
    <w:basedOn w:val="a"/>
    <w:uiPriority w:val="99"/>
    <w:unhideWhenUsed/>
    <w:pPr>
      <w:tabs>
        <w:tab w:val="center" w:pos="4153"/>
        <w:tab w:val="right" w:pos="8306"/>
      </w:tabs>
      <w:snapToGrid w:val="0"/>
    </w:pPr>
    <w:rPr>
      <w:sz w:val="18"/>
    </w:rPr>
  </w:style>
  <w:style w:type="paragraph" w:styleId="a6">
    <w:name w:val="header"/>
    <w:basedOn w:val="a"/>
    <w:uiPriority w:val="99"/>
    <w:unhideWhenUsed/>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pPr>
    <w:rPr>
      <w:sz w:val="18"/>
    </w:rPr>
  </w:style>
  <w:style w:type="table" w:styleId="a7">
    <w:name w:val="Table Grid"/>
    <w:uiPriority w:val="3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a8">
    <w:name w:val="annotation text"/>
    <w:basedOn w:val="a"/>
    <w:link w:val="a9"/>
    <w:uiPriority w:val="99"/>
    <w:semiHidden/>
    <w:unhideWhenUsed/>
    <w:rsid w:val="008B30D3"/>
  </w:style>
  <w:style w:type="character" w:customStyle="1" w:styleId="a9">
    <w:name w:val="批注文字 字符"/>
    <w:basedOn w:val="a1"/>
    <w:link w:val="a8"/>
    <w:uiPriority w:val="99"/>
    <w:semiHidden/>
    <w:rsid w:val="008B30D3"/>
    <w:rPr>
      <w:rFonts w:ascii="Times New Roman" w:eastAsia="Times New Roman" w:hAnsi="Times New Roman" w:cs="Times New Roman"/>
      <w:sz w:val="24"/>
      <w:szCs w:val="22"/>
      <w:lang w:eastAsia="en-US" w:bidi="en-US"/>
    </w:rPr>
  </w:style>
  <w:style w:type="character" w:styleId="aa">
    <w:name w:val="annotation reference"/>
    <w:basedOn w:val="a1"/>
    <w:uiPriority w:val="99"/>
    <w:qFormat/>
    <w:rsid w:val="008B30D3"/>
    <w:rPr>
      <w:sz w:val="16"/>
      <w:szCs w:val="16"/>
    </w:rPr>
  </w:style>
  <w:style w:type="character" w:customStyle="1" w:styleId="40">
    <w:name w:val="标题 4 字符"/>
    <w:basedOn w:val="a1"/>
    <w:link w:val="4"/>
    <w:uiPriority w:val="9"/>
    <w:semiHidden/>
    <w:rsid w:val="008B30D3"/>
    <w:rPr>
      <w:rFonts w:asciiTheme="majorHAnsi" w:eastAsiaTheme="majorEastAsia" w:hAnsiTheme="majorHAnsi" w:cstheme="majorBidi"/>
      <w:i/>
      <w:iCs/>
      <w:color w:val="2E74B5" w:themeColor="accent1" w:themeShade="BF"/>
      <w:sz w:val="24"/>
      <w:szCs w:val="22"/>
      <w:lang w:eastAsia="en-US" w:bidi="en-US"/>
    </w:rPr>
  </w:style>
  <w:style w:type="paragraph" w:styleId="ab">
    <w:name w:val="annotation subject"/>
    <w:basedOn w:val="a8"/>
    <w:next w:val="a8"/>
    <w:link w:val="ac"/>
    <w:uiPriority w:val="99"/>
    <w:semiHidden/>
    <w:unhideWhenUsed/>
    <w:rsid w:val="00E549B9"/>
    <w:rPr>
      <w:b/>
      <w:bCs/>
    </w:rPr>
  </w:style>
  <w:style w:type="character" w:customStyle="1" w:styleId="ac">
    <w:name w:val="批注主题 字符"/>
    <w:basedOn w:val="a9"/>
    <w:link w:val="ab"/>
    <w:uiPriority w:val="99"/>
    <w:semiHidden/>
    <w:rsid w:val="00E549B9"/>
    <w:rPr>
      <w:rFonts w:ascii="Times New Roman" w:eastAsia="Times New Roman" w:hAnsi="Times New Roman" w:cs="Times New Roman"/>
      <w:b/>
      <w:bCs/>
      <w:sz w:val="24"/>
      <w:szCs w:val="22"/>
      <w:lang w:eastAsia="en-US" w:bidi="en-US"/>
    </w:rPr>
  </w:style>
  <w:style w:type="character" w:styleId="ad">
    <w:name w:val="Hyperlink"/>
    <w:basedOn w:val="a1"/>
    <w:uiPriority w:val="99"/>
    <w:unhideWhenUsed/>
    <w:rsid w:val="007E73BB"/>
    <w:rPr>
      <w:color w:val="0563C1" w:themeColor="hyperlink"/>
      <w:u w:val="single"/>
    </w:rPr>
  </w:style>
  <w:style w:type="character" w:styleId="ae">
    <w:name w:val="Unresolved Mention"/>
    <w:basedOn w:val="a1"/>
    <w:uiPriority w:val="99"/>
    <w:semiHidden/>
    <w:unhideWhenUsed/>
    <w:rsid w:val="007E73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zhouds@bmi.ac.cn" TargetMode="Externa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tif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2.tiff"/><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1083896074167406E-2"/>
          <c:y val="8.0953628504060807E-2"/>
          <c:w val="0.82080805768570397"/>
          <c:h val="0.72496725176840404"/>
        </c:manualLayout>
      </c:layout>
      <c:barChart>
        <c:barDir val="col"/>
        <c:grouping val="stacked"/>
        <c:varyColors val="0"/>
        <c:ser>
          <c:idx val="0"/>
          <c:order val="0"/>
          <c:tx>
            <c:strRef>
              <c:f>Sheet1!$B$1</c:f>
              <c:strCache>
                <c:ptCount val="1"/>
                <c:pt idx="0">
                  <c:v>Total Positive No.</c:v>
                </c:pt>
              </c:strCache>
            </c:strRef>
          </c:tx>
          <c:spPr>
            <a:solidFill>
              <a:schemeClr val="accent5">
                <a:lumMod val="50000"/>
              </a:schemeClr>
            </a:solidFill>
            <a:ln w="0">
              <a:solidFill>
                <a:schemeClr val="tx1"/>
              </a:solidFill>
            </a:ln>
            <a:effectLst/>
            <a:sp3d/>
          </c:spPr>
          <c:invertIfNegative val="0"/>
          <c:cat>
            <c:numRef>
              <c:f>Sheet1!$A$2:$A$18</c:f>
              <c:numCache>
                <c:formatCode>General</c:formatCode>
                <c:ptCount val="17"/>
                <c:pt idx="0">
                  <c:v>4.2300000000000004</c:v>
                </c:pt>
                <c:pt idx="1">
                  <c:v>4.24</c:v>
                </c:pt>
                <c:pt idx="2">
                  <c:v>4.25</c:v>
                </c:pt>
                <c:pt idx="3">
                  <c:v>4.26</c:v>
                </c:pt>
                <c:pt idx="4">
                  <c:v>4.2699999999999996</c:v>
                </c:pt>
                <c:pt idx="5">
                  <c:v>4.28</c:v>
                </c:pt>
                <c:pt idx="6" formatCode="@">
                  <c:v>4.3</c:v>
                </c:pt>
                <c:pt idx="7">
                  <c:v>5.03</c:v>
                </c:pt>
                <c:pt idx="8">
                  <c:v>5.04</c:v>
                </c:pt>
                <c:pt idx="9">
                  <c:v>5.08</c:v>
                </c:pt>
                <c:pt idx="10" formatCode="0.00_ ">
                  <c:v>5.0999999999999996</c:v>
                </c:pt>
                <c:pt idx="11">
                  <c:v>5.1100000000000003</c:v>
                </c:pt>
                <c:pt idx="12">
                  <c:v>5.12</c:v>
                </c:pt>
                <c:pt idx="13">
                  <c:v>5.14</c:v>
                </c:pt>
                <c:pt idx="14">
                  <c:v>5.17</c:v>
                </c:pt>
                <c:pt idx="15">
                  <c:v>5.19</c:v>
                </c:pt>
                <c:pt idx="16">
                  <c:v>5.21</c:v>
                </c:pt>
              </c:numCache>
            </c:numRef>
          </c:cat>
          <c:val>
            <c:numRef>
              <c:f>Sheet1!$B$2:$B$18</c:f>
              <c:numCache>
                <c:formatCode>General</c:formatCode>
                <c:ptCount val="17"/>
                <c:pt idx="0">
                  <c:v>0</c:v>
                </c:pt>
                <c:pt idx="1">
                  <c:v>8</c:v>
                </c:pt>
                <c:pt idx="2">
                  <c:v>1</c:v>
                </c:pt>
                <c:pt idx="3">
                  <c:v>2</c:v>
                </c:pt>
                <c:pt idx="4">
                  <c:v>1</c:v>
                </c:pt>
                <c:pt idx="5">
                  <c:v>1</c:v>
                </c:pt>
                <c:pt idx="6">
                  <c:v>26</c:v>
                </c:pt>
                <c:pt idx="7">
                  <c:v>17</c:v>
                </c:pt>
                <c:pt idx="8">
                  <c:v>51</c:v>
                </c:pt>
                <c:pt idx="9">
                  <c:v>73</c:v>
                </c:pt>
                <c:pt idx="10">
                  <c:v>7</c:v>
                </c:pt>
                <c:pt idx="11">
                  <c:v>9</c:v>
                </c:pt>
                <c:pt idx="12">
                  <c:v>22</c:v>
                </c:pt>
                <c:pt idx="13">
                  <c:v>42</c:v>
                </c:pt>
                <c:pt idx="14">
                  <c:v>15</c:v>
                </c:pt>
                <c:pt idx="15">
                  <c:v>3</c:v>
                </c:pt>
                <c:pt idx="16">
                  <c:v>4</c:v>
                </c:pt>
              </c:numCache>
            </c:numRef>
          </c:val>
          <c:extLst>
            <c:ext xmlns:c16="http://schemas.microsoft.com/office/drawing/2014/chart" uri="{C3380CC4-5D6E-409C-BE32-E72D297353CC}">
              <c16:uniqueId val="{00000000-0F5F-44F0-A1FB-54F7BF4E710F}"/>
            </c:ext>
          </c:extLst>
        </c:ser>
        <c:ser>
          <c:idx val="1"/>
          <c:order val="1"/>
          <c:tx>
            <c:strRef>
              <c:f>Sheet1!$C$1</c:f>
              <c:strCache>
                <c:ptCount val="1"/>
                <c:pt idx="0">
                  <c:v>Total Negative No.</c:v>
                </c:pt>
              </c:strCache>
            </c:strRef>
          </c:tx>
          <c:spPr>
            <a:solidFill>
              <a:schemeClr val="accent5">
                <a:lumMod val="20000"/>
                <a:lumOff val="80000"/>
              </a:schemeClr>
            </a:solidFill>
            <a:ln w="0">
              <a:solidFill>
                <a:schemeClr val="tx1"/>
              </a:solidFill>
            </a:ln>
            <a:effectLst/>
            <a:sp3d/>
          </c:spPr>
          <c:invertIfNegative val="0"/>
          <c:cat>
            <c:numRef>
              <c:f>Sheet1!$A$2:$A$18</c:f>
              <c:numCache>
                <c:formatCode>General</c:formatCode>
                <c:ptCount val="17"/>
                <c:pt idx="0">
                  <c:v>4.2300000000000004</c:v>
                </c:pt>
                <c:pt idx="1">
                  <c:v>4.24</c:v>
                </c:pt>
                <c:pt idx="2">
                  <c:v>4.25</c:v>
                </c:pt>
                <c:pt idx="3">
                  <c:v>4.26</c:v>
                </c:pt>
                <c:pt idx="4">
                  <c:v>4.2699999999999996</c:v>
                </c:pt>
                <c:pt idx="5">
                  <c:v>4.28</c:v>
                </c:pt>
                <c:pt idx="6" formatCode="@">
                  <c:v>4.3</c:v>
                </c:pt>
                <c:pt idx="7">
                  <c:v>5.03</c:v>
                </c:pt>
                <c:pt idx="8">
                  <c:v>5.04</c:v>
                </c:pt>
                <c:pt idx="9">
                  <c:v>5.08</c:v>
                </c:pt>
                <c:pt idx="10" formatCode="0.00_ ">
                  <c:v>5.0999999999999996</c:v>
                </c:pt>
                <c:pt idx="11">
                  <c:v>5.1100000000000003</c:v>
                </c:pt>
                <c:pt idx="12">
                  <c:v>5.12</c:v>
                </c:pt>
                <c:pt idx="13">
                  <c:v>5.14</c:v>
                </c:pt>
                <c:pt idx="14">
                  <c:v>5.17</c:v>
                </c:pt>
                <c:pt idx="15">
                  <c:v>5.19</c:v>
                </c:pt>
                <c:pt idx="16">
                  <c:v>5.21</c:v>
                </c:pt>
              </c:numCache>
            </c:numRef>
          </c:cat>
          <c:val>
            <c:numRef>
              <c:f>Sheet1!$C$2:$C$18</c:f>
              <c:numCache>
                <c:formatCode>General</c:formatCode>
                <c:ptCount val="17"/>
                <c:pt idx="0">
                  <c:v>5</c:v>
                </c:pt>
                <c:pt idx="1">
                  <c:v>15</c:v>
                </c:pt>
                <c:pt idx="2">
                  <c:v>17</c:v>
                </c:pt>
                <c:pt idx="3">
                  <c:v>26</c:v>
                </c:pt>
                <c:pt idx="4">
                  <c:v>30</c:v>
                </c:pt>
                <c:pt idx="5">
                  <c:v>16</c:v>
                </c:pt>
                <c:pt idx="6">
                  <c:v>24</c:v>
                </c:pt>
                <c:pt idx="7">
                  <c:v>29</c:v>
                </c:pt>
                <c:pt idx="8">
                  <c:v>35</c:v>
                </c:pt>
                <c:pt idx="9">
                  <c:v>65</c:v>
                </c:pt>
                <c:pt idx="10">
                  <c:v>2</c:v>
                </c:pt>
                <c:pt idx="11">
                  <c:v>23</c:v>
                </c:pt>
                <c:pt idx="12">
                  <c:v>18</c:v>
                </c:pt>
                <c:pt idx="13">
                  <c:v>12</c:v>
                </c:pt>
                <c:pt idx="14">
                  <c:v>69</c:v>
                </c:pt>
                <c:pt idx="15">
                  <c:v>11</c:v>
                </c:pt>
                <c:pt idx="16">
                  <c:v>26</c:v>
                </c:pt>
              </c:numCache>
            </c:numRef>
          </c:val>
          <c:extLst>
            <c:ext xmlns:c16="http://schemas.microsoft.com/office/drawing/2014/chart" uri="{C3380CC4-5D6E-409C-BE32-E72D297353CC}">
              <c16:uniqueId val="{00000001-0F5F-44F0-A1FB-54F7BF4E710F}"/>
            </c:ext>
          </c:extLst>
        </c:ser>
        <c:dLbls>
          <c:showLegendKey val="0"/>
          <c:showVal val="0"/>
          <c:showCatName val="0"/>
          <c:showSerName val="0"/>
          <c:showPercent val="0"/>
          <c:showBubbleSize val="0"/>
        </c:dLbls>
        <c:gapWidth val="150"/>
        <c:overlap val="100"/>
        <c:axId val="671504669"/>
        <c:axId val="731669167"/>
      </c:barChart>
      <c:lineChart>
        <c:grouping val="standard"/>
        <c:varyColors val="0"/>
        <c:ser>
          <c:idx val="2"/>
          <c:order val="2"/>
          <c:tx>
            <c:strRef>
              <c:f>Sheet1!$D$1</c:f>
              <c:strCache>
                <c:ptCount val="1"/>
                <c:pt idx="0">
                  <c:v>Air Positivity Rate (%)</c:v>
                </c:pt>
              </c:strCache>
            </c:strRef>
          </c:tx>
          <c:spPr>
            <a:ln w="6350" cap="rnd">
              <a:solidFill>
                <a:srgbClr val="FF0000"/>
              </a:solidFill>
              <a:prstDash val="sysDash"/>
              <a:round/>
            </a:ln>
            <a:effectLst/>
          </c:spPr>
          <c:marker>
            <c:symbol val="none"/>
          </c:marker>
          <c:dLbls>
            <c:dLbl>
              <c:idx val="10"/>
              <c:layout>
                <c:manualLayout>
                  <c:x val="2.9758498340391399E-3"/>
                  <c:y val="2.1925858951175398E-2"/>
                </c:manualLayout>
              </c:layout>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F5F-44F0-A1FB-54F7BF4E710F}"/>
                </c:ext>
              </c:extLst>
            </c:dLbl>
            <c:dLbl>
              <c:idx val="11"/>
              <c:layout>
                <c:manualLayout>
                  <c:x val="2.22044179924459E-2"/>
                  <c:y val="3.3905967450271197E-2"/>
                </c:manualLayout>
              </c:layout>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F5F-44F0-A1FB-54F7BF4E710F}"/>
                </c:ext>
              </c:extLst>
            </c:dLbl>
            <c:dLbl>
              <c:idx val="12"/>
              <c:layout>
                <c:manualLayout>
                  <c:x val="9.1564610278127502E-4"/>
                  <c:y val="2.0343580470162698E-3"/>
                </c:manualLayout>
              </c:layout>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F5F-44F0-A1FB-54F7BF4E710F}"/>
                </c:ext>
              </c:extLst>
            </c:dLbl>
            <c:dLbl>
              <c:idx val="13"/>
              <c:layout>
                <c:manualLayout>
                  <c:x val="-5.0360535652970101E-3"/>
                  <c:y val="1.1980108499095799E-2"/>
                </c:manualLayout>
              </c:layout>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F5F-44F0-A1FB-54F7BF4E710F}"/>
                </c:ext>
              </c:extLst>
            </c:dLbl>
            <c:dLbl>
              <c:idx val="14"/>
              <c:layout>
                <c:manualLayout>
                  <c:x val="1.0301018656289299E-3"/>
                  <c:y val="3.6166365280289298E-2"/>
                </c:manualLayout>
              </c:layout>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F5F-44F0-A1FB-54F7BF4E710F}"/>
                </c:ext>
              </c:extLst>
            </c:dLbl>
            <c:dLbl>
              <c:idx val="15"/>
              <c:layout>
                <c:manualLayout>
                  <c:x val="2.0602037312578698E-3"/>
                  <c:y val="0"/>
                </c:manualLayout>
              </c:layout>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F5F-44F0-A1FB-54F7BF4E710F}"/>
                </c:ext>
              </c:extLst>
            </c:dLbl>
            <c:spPr>
              <a:noFill/>
              <a:ln>
                <a:noFill/>
              </a:ln>
              <a:effectLst/>
            </c:spPr>
            <c:txPr>
              <a:bodyPr rot="0" spcFirstLastPara="0" vertOverflow="ellipsis" vert="horz" wrap="square" lIns="38100" tIns="19050" rIns="38100" bIns="19050" anchor="ctr" anchorCtr="1"/>
              <a:lstStyle/>
              <a:p>
                <a:pPr>
                  <a:defRPr lang="zh-CN" sz="600" b="0" i="0" u="none" strike="noStrike" kern="1200" baseline="0">
                    <a:solidFill>
                      <a:srgbClr val="FF0000"/>
                    </a:solidFill>
                    <a:latin typeface="黑体" panose="02010609060101010101" charset="-122"/>
                    <a:ea typeface="黑体" panose="02010609060101010101" charset="-122"/>
                    <a:cs typeface="黑体" panose="02010609060101010101" charset="-122"/>
                    <a:sym typeface="黑体" panose="02010609060101010101" charset="-122"/>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Sheet1!$A$2:$A$18</c:f>
              <c:numCache>
                <c:formatCode>General</c:formatCode>
                <c:ptCount val="17"/>
                <c:pt idx="0">
                  <c:v>4.2300000000000004</c:v>
                </c:pt>
                <c:pt idx="1">
                  <c:v>4.24</c:v>
                </c:pt>
                <c:pt idx="2">
                  <c:v>4.25</c:v>
                </c:pt>
                <c:pt idx="3">
                  <c:v>4.26</c:v>
                </c:pt>
                <c:pt idx="4">
                  <c:v>4.2699999999999996</c:v>
                </c:pt>
                <c:pt idx="5">
                  <c:v>4.28</c:v>
                </c:pt>
                <c:pt idx="6" formatCode="@">
                  <c:v>4.3</c:v>
                </c:pt>
                <c:pt idx="7">
                  <c:v>5.03</c:v>
                </c:pt>
                <c:pt idx="8">
                  <c:v>5.04</c:v>
                </c:pt>
                <c:pt idx="9">
                  <c:v>5.08</c:v>
                </c:pt>
                <c:pt idx="10" formatCode="0.00_ ">
                  <c:v>5.0999999999999996</c:v>
                </c:pt>
                <c:pt idx="11">
                  <c:v>5.1100000000000003</c:v>
                </c:pt>
                <c:pt idx="12">
                  <c:v>5.12</c:v>
                </c:pt>
                <c:pt idx="13">
                  <c:v>5.14</c:v>
                </c:pt>
                <c:pt idx="14">
                  <c:v>5.17</c:v>
                </c:pt>
                <c:pt idx="15">
                  <c:v>5.19</c:v>
                </c:pt>
                <c:pt idx="16">
                  <c:v>5.21</c:v>
                </c:pt>
              </c:numCache>
            </c:numRef>
          </c:cat>
          <c:val>
            <c:numRef>
              <c:f>Sheet1!$D$2:$D$18</c:f>
              <c:numCache>
                <c:formatCode>0.0_ </c:formatCode>
                <c:ptCount val="17"/>
                <c:pt idx="0">
                  <c:v>0</c:v>
                </c:pt>
                <c:pt idx="1">
                  <c:v>34.7826086956522</c:v>
                </c:pt>
                <c:pt idx="2">
                  <c:v>5.5555555555555598</c:v>
                </c:pt>
                <c:pt idx="3">
                  <c:v>7.1428571428571397</c:v>
                </c:pt>
                <c:pt idx="4">
                  <c:v>3.2258064516128999</c:v>
                </c:pt>
                <c:pt idx="5">
                  <c:v>5.8823529411764701</c:v>
                </c:pt>
                <c:pt idx="6">
                  <c:v>47.6</c:v>
                </c:pt>
                <c:pt idx="7">
                  <c:v>9.1</c:v>
                </c:pt>
                <c:pt idx="8">
                  <c:v>92.6</c:v>
                </c:pt>
                <c:pt idx="9">
                  <c:v>100</c:v>
                </c:pt>
                <c:pt idx="10">
                  <c:v>66.7</c:v>
                </c:pt>
                <c:pt idx="11">
                  <c:v>6.3</c:v>
                </c:pt>
                <c:pt idx="12">
                  <c:v>16.7</c:v>
                </c:pt>
                <c:pt idx="13">
                  <c:v>71.400000000000006</c:v>
                </c:pt>
                <c:pt idx="14">
                  <c:v>19.2</c:v>
                </c:pt>
                <c:pt idx="15">
                  <c:v>21.428571428571399</c:v>
                </c:pt>
                <c:pt idx="16">
                  <c:v>13.3333333333333</c:v>
                </c:pt>
              </c:numCache>
            </c:numRef>
          </c:val>
          <c:smooth val="0"/>
          <c:extLst>
            <c:ext xmlns:c16="http://schemas.microsoft.com/office/drawing/2014/chart" uri="{C3380CC4-5D6E-409C-BE32-E72D297353CC}">
              <c16:uniqueId val="{00000008-0F5F-44F0-A1FB-54F7BF4E710F}"/>
            </c:ext>
          </c:extLst>
        </c:ser>
        <c:ser>
          <c:idx val="3"/>
          <c:order val="3"/>
          <c:tx>
            <c:strRef>
              <c:f>Sheet1!$E$1</c:f>
              <c:strCache>
                <c:ptCount val="1"/>
                <c:pt idx="0">
                  <c:v>Surface Positivity Rate (%)</c:v>
                </c:pt>
              </c:strCache>
            </c:strRef>
          </c:tx>
          <c:spPr>
            <a:ln w="9525" cap="rnd">
              <a:solidFill>
                <a:srgbClr val="FFC000"/>
              </a:solidFill>
              <a:prstDash val="sysDash"/>
              <a:round/>
            </a:ln>
            <a:effectLst/>
          </c:spPr>
          <c:marker>
            <c:symbol val="none"/>
          </c:marker>
          <c:dLbls>
            <c:dLbl>
              <c:idx val="6"/>
              <c:layout>
                <c:manualLayout>
                  <c:x val="-3.4336728854297803E-2"/>
                  <c:y val="-3.390596745027119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F5F-44F0-A1FB-54F7BF4E710F}"/>
                </c:ext>
              </c:extLst>
            </c:dLbl>
            <c:dLbl>
              <c:idx val="7"/>
              <c:layout>
                <c:manualLayout>
                  <c:x val="-3.1246423257411001E-2"/>
                  <c:y val="-2.80289330922241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F5F-44F0-A1FB-54F7BF4E710F}"/>
                </c:ext>
              </c:extLst>
            </c:dLbl>
            <c:dLbl>
              <c:idx val="8"/>
              <c:layout>
                <c:manualLayout>
                  <c:x val="-3.1360879020258699E-2"/>
                  <c:y val="-3.390596745027119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F5F-44F0-A1FB-54F7BF4E710F}"/>
                </c:ext>
              </c:extLst>
            </c:dLbl>
            <c:dLbl>
              <c:idx val="9"/>
              <c:layout>
                <c:manualLayout>
                  <c:x val="-3.9372782419594798E-2"/>
                  <c:y val="-3.187160940325500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0F5F-44F0-A1FB-54F7BF4E710F}"/>
                </c:ext>
              </c:extLst>
            </c:dLbl>
            <c:dLbl>
              <c:idx val="10"/>
              <c:layout>
                <c:manualLayout>
                  <c:x val="-3.8457136316813599E-2"/>
                  <c:y val="-2.59945750452079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0F5F-44F0-A1FB-54F7BF4E710F}"/>
                </c:ext>
              </c:extLst>
            </c:dLbl>
            <c:dLbl>
              <c:idx val="11"/>
              <c:layout>
                <c:manualLayout>
                  <c:x val="-2.1174316126817E-2"/>
                  <c:y val="-2.192585895117539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0F5F-44F0-A1FB-54F7BF4E710F}"/>
                </c:ext>
              </c:extLst>
            </c:dLbl>
            <c:dLbl>
              <c:idx val="12"/>
              <c:layout>
                <c:manualLayout>
                  <c:x val="-3.52523749570791E-2"/>
                  <c:y val="-3.77486437613019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0F5F-44F0-A1FB-54F7BF4E710F}"/>
                </c:ext>
              </c:extLst>
            </c:dLbl>
            <c:dLbl>
              <c:idx val="13"/>
              <c:layout>
                <c:manualLayout>
                  <c:x val="-4.3493189882110601E-2"/>
                  <c:y val="-3.187160940325500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0F5F-44F0-A1FB-54F7BF4E710F}"/>
                </c:ext>
              </c:extLst>
            </c:dLbl>
            <c:dLbl>
              <c:idx val="14"/>
              <c:layout>
                <c:manualLayout>
                  <c:x val="-2.6210369692113999E-2"/>
                  <c:y val="-1.4014466546112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0F5F-44F0-A1FB-54F7BF4E710F}"/>
                </c:ext>
              </c:extLst>
            </c:dLbl>
            <c:dLbl>
              <c:idx val="15"/>
              <c:layout>
                <c:manualLayout>
                  <c:x val="-5.5625500743962497E-2"/>
                  <c:y val="-5.8770343580470197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0F5F-44F0-A1FB-54F7BF4E710F}"/>
                </c:ext>
              </c:extLst>
            </c:dLbl>
            <c:spPr>
              <a:noFill/>
              <a:ln>
                <a:noFill/>
              </a:ln>
              <a:effectLst/>
            </c:spPr>
            <c:txPr>
              <a:bodyPr rot="0" spcFirstLastPara="0" vertOverflow="ellipsis" vert="horz" wrap="square" lIns="38100" tIns="19050" rIns="38100" bIns="19050" anchor="ctr" anchorCtr="1"/>
              <a:lstStyle/>
              <a:p>
                <a:pPr>
                  <a:defRPr lang="zh-CN" sz="600" b="0" i="0" u="none" strike="noStrike" kern="1200" baseline="0">
                    <a:solidFill>
                      <a:srgbClr val="FFC000"/>
                    </a:solidFill>
                    <a:latin typeface="黑体" panose="02010609060101010101" charset="-122"/>
                    <a:ea typeface="黑体" panose="02010609060101010101" charset="-122"/>
                    <a:cs typeface="黑体" panose="02010609060101010101" charset="-122"/>
                    <a:sym typeface="黑体" panose="02010609060101010101" charset="-122"/>
                  </a:defRPr>
                </a:pPr>
                <a:endParaRPr lang="zh-CN"/>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Sheet1!$A$2:$A$18</c:f>
              <c:numCache>
                <c:formatCode>General</c:formatCode>
                <c:ptCount val="17"/>
                <c:pt idx="0">
                  <c:v>4.2300000000000004</c:v>
                </c:pt>
                <c:pt idx="1">
                  <c:v>4.24</c:v>
                </c:pt>
                <c:pt idx="2">
                  <c:v>4.25</c:v>
                </c:pt>
                <c:pt idx="3">
                  <c:v>4.26</c:v>
                </c:pt>
                <c:pt idx="4">
                  <c:v>4.2699999999999996</c:v>
                </c:pt>
                <c:pt idx="5">
                  <c:v>4.28</c:v>
                </c:pt>
                <c:pt idx="6" formatCode="@">
                  <c:v>4.3</c:v>
                </c:pt>
                <c:pt idx="7">
                  <c:v>5.03</c:v>
                </c:pt>
                <c:pt idx="8">
                  <c:v>5.04</c:v>
                </c:pt>
                <c:pt idx="9">
                  <c:v>5.08</c:v>
                </c:pt>
                <c:pt idx="10" formatCode="0.00_ ">
                  <c:v>5.0999999999999996</c:v>
                </c:pt>
                <c:pt idx="11">
                  <c:v>5.1100000000000003</c:v>
                </c:pt>
                <c:pt idx="12">
                  <c:v>5.12</c:v>
                </c:pt>
                <c:pt idx="13">
                  <c:v>5.14</c:v>
                </c:pt>
                <c:pt idx="14">
                  <c:v>5.17</c:v>
                </c:pt>
                <c:pt idx="15">
                  <c:v>5.19</c:v>
                </c:pt>
                <c:pt idx="16">
                  <c:v>5.21</c:v>
                </c:pt>
              </c:numCache>
            </c:numRef>
          </c:cat>
          <c:val>
            <c:numRef>
              <c:f>Sheet1!$E$2:$E$18</c:f>
              <c:numCache>
                <c:formatCode>General</c:formatCode>
                <c:ptCount val="17"/>
                <c:pt idx="6" formatCode="0.0_ ">
                  <c:v>75</c:v>
                </c:pt>
                <c:pt idx="7" formatCode="0.0_ ">
                  <c:v>40</c:v>
                </c:pt>
                <c:pt idx="8" formatCode="0.0_ ">
                  <c:v>33.299999999999997</c:v>
                </c:pt>
                <c:pt idx="9" formatCode="0.0_ ">
                  <c:v>38.299999999999997</c:v>
                </c:pt>
                <c:pt idx="10" formatCode="0.0_ ">
                  <c:v>100</c:v>
                </c:pt>
                <c:pt idx="11" formatCode="0.0_ ">
                  <c:v>50</c:v>
                </c:pt>
                <c:pt idx="12" formatCode="0.0_ ">
                  <c:v>75</c:v>
                </c:pt>
                <c:pt idx="13" formatCode="0.0_ ">
                  <c:v>78.900000000000006</c:v>
                </c:pt>
                <c:pt idx="14" formatCode="0.0_ ">
                  <c:v>15.4</c:v>
                </c:pt>
              </c:numCache>
            </c:numRef>
          </c:val>
          <c:smooth val="0"/>
          <c:extLst>
            <c:ext xmlns:c16="http://schemas.microsoft.com/office/drawing/2014/chart" uri="{C3380CC4-5D6E-409C-BE32-E72D297353CC}">
              <c16:uniqueId val="{00000013-0F5F-44F0-A1FB-54F7BF4E710F}"/>
            </c:ext>
          </c:extLst>
        </c:ser>
        <c:ser>
          <c:idx val="4"/>
          <c:order val="4"/>
          <c:tx>
            <c:strRef>
              <c:f>Sheet1!$F$1</c:f>
              <c:strCache>
                <c:ptCount val="1"/>
                <c:pt idx="0">
                  <c:v>Total Positivity Rate (%)</c:v>
                </c:pt>
              </c:strCache>
            </c:strRef>
          </c:tx>
          <c:spPr>
            <a:ln w="9525" cap="rnd">
              <a:solidFill>
                <a:schemeClr val="accent1"/>
              </a:solidFill>
              <a:prstDash val="sysDash"/>
              <a:round/>
            </a:ln>
            <a:effectLst/>
          </c:spPr>
          <c:marker>
            <c:symbol val="none"/>
          </c:marker>
          <c:dLbls>
            <c:dLbl>
              <c:idx val="7"/>
              <c:layout>
                <c:manualLayout>
                  <c:x val="-3.5366830719926703E-2"/>
                  <c:y val="-2.57685352622060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0F5F-44F0-A1FB-54F7BF4E710F}"/>
                </c:ext>
              </c:extLst>
            </c:dLbl>
            <c:dLbl>
              <c:idx val="8"/>
              <c:layout>
                <c:manualLayout>
                  <c:x val="-3.0330777154629701E-2"/>
                  <c:y val="-3.390596745027119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0F5F-44F0-A1FB-54F7BF4E710F}"/>
                </c:ext>
              </c:extLst>
            </c:dLbl>
            <c:dLbl>
              <c:idx val="13"/>
              <c:layout>
                <c:manualLayout>
                  <c:x val="-3.3306626988668903E-2"/>
                  <c:y val="-2.192585895117539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0F5F-44F0-A1FB-54F7BF4E710F}"/>
                </c:ext>
              </c:extLst>
            </c:dLbl>
            <c:dLbl>
              <c:idx val="14"/>
              <c:layout>
                <c:manualLayout>
                  <c:x val="-3.4222273091450199E-2"/>
                  <c:y val="-3.187160940325500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0F5F-44F0-A1FB-54F7BF4E710F}"/>
                </c:ext>
              </c:extLst>
            </c:dLbl>
            <c:dLbl>
              <c:idx val="15"/>
              <c:layout>
                <c:manualLayout>
                  <c:x val="-3.5366830719926703E-2"/>
                  <c:y val="-2.192585895117539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0F5F-44F0-A1FB-54F7BF4E710F}"/>
                </c:ext>
              </c:extLst>
            </c:dLbl>
            <c:spPr>
              <a:noFill/>
              <a:ln>
                <a:noFill/>
              </a:ln>
              <a:effectLst/>
            </c:spPr>
            <c:txPr>
              <a:bodyPr rot="0" spcFirstLastPara="0" vertOverflow="ellipsis" vert="horz" wrap="square" lIns="38100" tIns="19050" rIns="38100" bIns="19050" anchor="ctr" anchorCtr="1"/>
              <a:lstStyle/>
              <a:p>
                <a:pPr>
                  <a:defRPr lang="zh-CN" sz="600" b="0" i="0" u="none" strike="noStrike" kern="1200" baseline="0">
                    <a:solidFill>
                      <a:srgbClr val="4472C4"/>
                    </a:solidFill>
                    <a:latin typeface="黑体" panose="02010609060101010101" charset="-122"/>
                    <a:ea typeface="黑体" panose="02010609060101010101" charset="-122"/>
                    <a:cs typeface="黑体" panose="02010609060101010101" charset="-122"/>
                    <a:sym typeface="黑体" panose="02010609060101010101" charset="-122"/>
                  </a:defRPr>
                </a:pPr>
                <a:endParaRPr lang="zh-CN"/>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Sheet1!$A$2:$A$18</c:f>
              <c:numCache>
                <c:formatCode>General</c:formatCode>
                <c:ptCount val="17"/>
                <c:pt idx="0">
                  <c:v>4.2300000000000004</c:v>
                </c:pt>
                <c:pt idx="1">
                  <c:v>4.24</c:v>
                </c:pt>
                <c:pt idx="2">
                  <c:v>4.25</c:v>
                </c:pt>
                <c:pt idx="3">
                  <c:v>4.26</c:v>
                </c:pt>
                <c:pt idx="4">
                  <c:v>4.2699999999999996</c:v>
                </c:pt>
                <c:pt idx="5">
                  <c:v>4.28</c:v>
                </c:pt>
                <c:pt idx="6" formatCode="@">
                  <c:v>4.3</c:v>
                </c:pt>
                <c:pt idx="7">
                  <c:v>5.03</c:v>
                </c:pt>
                <c:pt idx="8">
                  <c:v>5.04</c:v>
                </c:pt>
                <c:pt idx="9">
                  <c:v>5.08</c:v>
                </c:pt>
                <c:pt idx="10" formatCode="0.00_ ">
                  <c:v>5.0999999999999996</c:v>
                </c:pt>
                <c:pt idx="11">
                  <c:v>5.1100000000000003</c:v>
                </c:pt>
                <c:pt idx="12">
                  <c:v>5.12</c:v>
                </c:pt>
                <c:pt idx="13">
                  <c:v>5.14</c:v>
                </c:pt>
                <c:pt idx="14">
                  <c:v>5.17</c:v>
                </c:pt>
                <c:pt idx="15">
                  <c:v>5.19</c:v>
                </c:pt>
                <c:pt idx="16">
                  <c:v>5.21</c:v>
                </c:pt>
              </c:numCache>
            </c:numRef>
          </c:cat>
          <c:val>
            <c:numRef>
              <c:f>Sheet1!$F$2:$F$18</c:f>
              <c:numCache>
                <c:formatCode>0.0_ </c:formatCode>
                <c:ptCount val="17"/>
                <c:pt idx="0">
                  <c:v>0</c:v>
                </c:pt>
                <c:pt idx="1">
                  <c:v>34.799999999999997</c:v>
                </c:pt>
                <c:pt idx="2">
                  <c:v>5.6</c:v>
                </c:pt>
                <c:pt idx="3">
                  <c:v>7.1</c:v>
                </c:pt>
                <c:pt idx="4">
                  <c:v>3.2</c:v>
                </c:pt>
                <c:pt idx="5">
                  <c:v>5.9</c:v>
                </c:pt>
                <c:pt idx="6">
                  <c:v>52</c:v>
                </c:pt>
                <c:pt idx="7">
                  <c:v>37</c:v>
                </c:pt>
                <c:pt idx="8">
                  <c:v>59.3</c:v>
                </c:pt>
                <c:pt idx="9">
                  <c:v>28.6</c:v>
                </c:pt>
                <c:pt idx="10">
                  <c:v>77.8</c:v>
                </c:pt>
                <c:pt idx="11">
                  <c:v>28.1</c:v>
                </c:pt>
                <c:pt idx="12">
                  <c:v>55</c:v>
                </c:pt>
                <c:pt idx="13">
                  <c:v>77.8</c:v>
                </c:pt>
                <c:pt idx="14">
                  <c:v>17.899999999999999</c:v>
                </c:pt>
                <c:pt idx="15">
                  <c:v>21.4</c:v>
                </c:pt>
                <c:pt idx="16">
                  <c:v>13.3</c:v>
                </c:pt>
              </c:numCache>
            </c:numRef>
          </c:val>
          <c:smooth val="0"/>
          <c:extLst>
            <c:ext xmlns:c16="http://schemas.microsoft.com/office/drawing/2014/chart" uri="{C3380CC4-5D6E-409C-BE32-E72D297353CC}">
              <c16:uniqueId val="{00000019-0F5F-44F0-A1FB-54F7BF4E710F}"/>
            </c:ext>
          </c:extLst>
        </c:ser>
        <c:dLbls>
          <c:showLegendKey val="0"/>
          <c:showVal val="1"/>
          <c:showCatName val="0"/>
          <c:showSerName val="0"/>
          <c:showPercent val="0"/>
          <c:showBubbleSize val="0"/>
        </c:dLbls>
        <c:marker val="1"/>
        <c:smooth val="0"/>
        <c:axId val="787686959"/>
        <c:axId val="94594379"/>
      </c:lineChart>
      <c:catAx>
        <c:axId val="671504669"/>
        <c:scaling>
          <c:orientation val="minMax"/>
        </c:scaling>
        <c:delete val="0"/>
        <c:axPos val="b"/>
        <c:numFmt formatCode="#,##0.00_);[Red]\(#,##0.00\)" sourceLinked="0"/>
        <c:majorTickMark val="out"/>
        <c:minorTickMark val="none"/>
        <c:tickLblPos val="nextTo"/>
        <c:spPr>
          <a:noFill/>
          <a:ln w="9525">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solidFill>
                <a:latin typeface="黑体" panose="02010609060101010101" charset="-122"/>
                <a:ea typeface="黑体" panose="02010609060101010101" charset="-122"/>
                <a:cs typeface="黑体" panose="02010609060101010101" charset="-122"/>
                <a:sym typeface="黑体" panose="02010609060101010101" charset="-122"/>
              </a:defRPr>
            </a:pPr>
            <a:endParaRPr lang="zh-CN"/>
          </a:p>
        </c:txPr>
        <c:crossAx val="731669167"/>
        <c:crosses val="autoZero"/>
        <c:auto val="1"/>
        <c:lblAlgn val="ctr"/>
        <c:lblOffset val="100"/>
        <c:noMultiLvlLbl val="0"/>
      </c:catAx>
      <c:valAx>
        <c:axId val="731669167"/>
        <c:scaling>
          <c:orientation val="minMax"/>
        </c:scaling>
        <c:delete val="0"/>
        <c:axPos val="l"/>
        <c:title>
          <c:tx>
            <c:rich>
              <a:bodyPr rot="-5400000" spcFirstLastPara="0" vertOverflow="ellipsis" vert="horz" wrap="square" anchor="ctr" anchorCtr="1"/>
              <a:lstStyle/>
              <a:p>
                <a:pPr defTabSz="914400">
                  <a:defRPr lang="zh-CN" sz="1000" b="0" i="0" u="none" strike="noStrike" kern="1200" baseline="0">
                    <a:solidFill>
                      <a:schemeClr val="tx1"/>
                    </a:solidFill>
                    <a:latin typeface="黑体" panose="02010609060101010101" charset="-122"/>
                    <a:ea typeface="黑体" panose="02010609060101010101" charset="-122"/>
                    <a:cs typeface="黑体" panose="02010609060101010101" charset="-122"/>
                    <a:sym typeface="黑体" panose="02010609060101010101" charset="-122"/>
                  </a:defRPr>
                </a:pPr>
                <a:r>
                  <a:rPr lang="en-US" altLang="zh-CN" sz="1000" b="0">
                    <a:solidFill>
                      <a:schemeClr val="tx1"/>
                    </a:solidFill>
                    <a:latin typeface="黑体" panose="02010609060101010101" charset="-122"/>
                    <a:ea typeface="黑体" panose="02010609060101010101" charset="-122"/>
                    <a:cs typeface="黑体" panose="02010609060101010101" charset="-122"/>
                    <a:sym typeface="黑体" panose="02010609060101010101" charset="-122"/>
                  </a:rPr>
                  <a:t>Number of samples</a:t>
                </a:r>
                <a:endParaRPr lang="en-US" sz="1000" b="0">
                  <a:solidFill>
                    <a:schemeClr val="tx1"/>
                  </a:solidFill>
                  <a:latin typeface="黑体" panose="02010609060101010101" charset="-122"/>
                  <a:ea typeface="黑体" panose="02010609060101010101" charset="-122"/>
                  <a:cs typeface="黑体" panose="02010609060101010101" charset="-122"/>
                  <a:sym typeface="黑体" panose="02010609060101010101" charset="-122"/>
                </a:endParaRPr>
              </a:p>
            </c:rich>
          </c:tx>
          <c:overlay val="0"/>
          <c:spPr>
            <a:noFill/>
            <a:ln>
              <a:noFill/>
            </a:ln>
            <a:effectLst/>
          </c:spPr>
          <c:txPr>
            <a:bodyPr rot="-5400000" spcFirstLastPara="0" vertOverflow="ellipsis" vert="horz" wrap="square" anchor="ctr" anchorCtr="1"/>
            <a:lstStyle/>
            <a:p>
              <a:pPr defTabSz="914400">
                <a:defRPr lang="zh-CN" sz="1000" b="0" i="0" u="none" strike="noStrike" kern="1200" baseline="0">
                  <a:solidFill>
                    <a:schemeClr val="tx1"/>
                  </a:solidFill>
                  <a:latin typeface="黑体" panose="02010609060101010101" charset="-122"/>
                  <a:ea typeface="黑体" panose="02010609060101010101" charset="-122"/>
                  <a:cs typeface="黑体" panose="02010609060101010101" charset="-122"/>
                  <a:sym typeface="黑体" panose="02010609060101010101" charset="-122"/>
                </a:defRPr>
              </a:pPr>
              <a:endParaRPr lang="zh-CN"/>
            </a:p>
          </c:txPr>
        </c:title>
        <c:numFmt formatCode="General" sourceLinked="1"/>
        <c:majorTickMark val="out"/>
        <c:minorTickMark val="none"/>
        <c:tickLblPos val="nextTo"/>
        <c:spPr>
          <a:noFill/>
          <a:ln>
            <a:solidFill>
              <a:schemeClr val="bg1">
                <a:lumMod val="85000"/>
              </a:schemeClr>
            </a:solidFill>
          </a:ln>
          <a:effectLst/>
        </c:spPr>
        <c:txPr>
          <a:bodyPr rot="-60000000" spcFirstLastPara="0" vertOverflow="ellipsis" vert="horz" wrap="square" anchor="ctr" anchorCtr="1"/>
          <a:lstStyle/>
          <a:p>
            <a:pPr>
              <a:defRPr lang="zh-CN" sz="900" b="0" i="0" u="none" strike="noStrike" kern="1200" baseline="0">
                <a:solidFill>
                  <a:schemeClr val="tx1"/>
                </a:solidFill>
                <a:latin typeface="黑体" panose="02010609060101010101" charset="-122"/>
                <a:ea typeface="黑体" panose="02010609060101010101" charset="-122"/>
                <a:cs typeface="黑体" panose="02010609060101010101" charset="-122"/>
                <a:sym typeface="黑体" panose="02010609060101010101" charset="-122"/>
              </a:defRPr>
            </a:pPr>
            <a:endParaRPr lang="zh-CN"/>
          </a:p>
        </c:txPr>
        <c:crossAx val="671504669"/>
        <c:crosses val="autoZero"/>
        <c:crossBetween val="between"/>
      </c:valAx>
      <c:catAx>
        <c:axId val="787686959"/>
        <c:scaling>
          <c:orientation val="minMax"/>
        </c:scaling>
        <c:delete val="1"/>
        <c:axPos val="b"/>
        <c:title>
          <c:tx>
            <c:rich>
              <a:bodyPr rot="0" spcFirstLastPara="0" vertOverflow="ellipsis" vert="horz" wrap="square" anchor="ctr" anchorCtr="1"/>
              <a:lstStyle/>
              <a:p>
                <a:pPr defTabSz="914400">
                  <a:defRPr lang="zh-CN" sz="1000" b="0" i="0" u="none" strike="noStrike" kern="1200" baseline="0">
                    <a:solidFill>
                      <a:schemeClr val="tx1"/>
                    </a:solidFill>
                    <a:latin typeface="黑体" panose="02010609060101010101" charset="-122"/>
                    <a:ea typeface="黑体" panose="02010609060101010101" charset="-122"/>
                    <a:cs typeface="黑体" panose="02010609060101010101" charset="-122"/>
                    <a:sym typeface="黑体" panose="02010609060101010101" charset="-122"/>
                  </a:defRPr>
                </a:pPr>
                <a:r>
                  <a:rPr lang="en-US" altLang="zh-CN" sz="1000" b="0">
                    <a:solidFill>
                      <a:schemeClr val="tx1"/>
                    </a:solidFill>
                    <a:latin typeface="黑体" panose="02010609060101010101" charset="-122"/>
                    <a:ea typeface="黑体" panose="02010609060101010101" charset="-122"/>
                    <a:cs typeface="黑体" panose="02010609060101010101" charset="-122"/>
                    <a:sym typeface="黑体" panose="02010609060101010101" charset="-122"/>
                  </a:rPr>
                  <a:t>Date</a:t>
                </a:r>
              </a:p>
            </c:rich>
          </c:tx>
          <c:layout>
            <c:manualLayout>
              <c:xMode val="edge"/>
              <c:yMode val="edge"/>
              <c:x val="0.47733775895616298"/>
              <c:y val="0.88138835747472"/>
            </c:manualLayout>
          </c:layout>
          <c:overlay val="0"/>
          <c:spPr>
            <a:noFill/>
            <a:ln>
              <a:noFill/>
            </a:ln>
            <a:effectLst/>
          </c:spPr>
          <c:txPr>
            <a:bodyPr rot="0" spcFirstLastPara="0" vertOverflow="ellipsis" vert="horz" wrap="square" anchor="ctr" anchorCtr="1"/>
            <a:lstStyle/>
            <a:p>
              <a:pPr defTabSz="914400">
                <a:defRPr lang="zh-CN" sz="1000" b="0" i="0" u="none" strike="noStrike" kern="1200" baseline="0">
                  <a:solidFill>
                    <a:schemeClr val="tx1"/>
                  </a:solidFill>
                  <a:latin typeface="黑体" panose="02010609060101010101" charset="-122"/>
                  <a:ea typeface="黑体" panose="02010609060101010101" charset="-122"/>
                  <a:cs typeface="黑体" panose="02010609060101010101" charset="-122"/>
                  <a:sym typeface="黑体" panose="02010609060101010101" charset="-122"/>
                </a:defRPr>
              </a:pPr>
              <a:endParaRPr lang="zh-CN"/>
            </a:p>
          </c:txPr>
        </c:title>
        <c:numFmt formatCode="General" sourceLinked="1"/>
        <c:majorTickMark val="out"/>
        <c:minorTickMark val="none"/>
        <c:tickLblPos val="nextTo"/>
        <c:crossAx val="94594379"/>
        <c:crosses val="autoZero"/>
        <c:auto val="1"/>
        <c:lblAlgn val="ctr"/>
        <c:lblOffset val="100"/>
        <c:noMultiLvlLbl val="0"/>
      </c:catAx>
      <c:valAx>
        <c:axId val="94594379"/>
        <c:scaling>
          <c:orientation val="minMax"/>
        </c:scaling>
        <c:delete val="0"/>
        <c:axPos val="r"/>
        <c:title>
          <c:tx>
            <c:rich>
              <a:bodyPr rot="5400000" spcFirstLastPara="0" vertOverflow="ellipsis" wrap="square" anchor="ctr" anchorCtr="1"/>
              <a:lstStyle/>
              <a:p>
                <a:pPr defTabSz="914400">
                  <a:defRPr lang="zh-CN" sz="1000" b="0" i="0" u="none" strike="noStrike" kern="1200" baseline="0">
                    <a:solidFill>
                      <a:schemeClr val="tx1"/>
                    </a:solidFill>
                    <a:latin typeface="黑体" panose="02010609060101010101" charset="-122"/>
                    <a:ea typeface="黑体" panose="02010609060101010101" charset="-122"/>
                    <a:cs typeface="黑体" panose="02010609060101010101" charset="-122"/>
                    <a:sym typeface="黑体" panose="02010609060101010101" charset="-122"/>
                  </a:defRPr>
                </a:pPr>
                <a:r>
                  <a:rPr lang="en-US" altLang="zh-CN" sz="1000" b="0">
                    <a:solidFill>
                      <a:schemeClr val="tx1"/>
                    </a:solidFill>
                    <a:latin typeface="黑体" panose="02010609060101010101" charset="-122"/>
                    <a:ea typeface="黑体" panose="02010609060101010101" charset="-122"/>
                    <a:cs typeface="黑体" panose="02010609060101010101" charset="-122"/>
                    <a:sym typeface="黑体" panose="02010609060101010101" charset="-122"/>
                  </a:rPr>
                  <a:t>Positivity rate (%)</a:t>
                </a:r>
              </a:p>
            </c:rich>
          </c:tx>
          <c:overlay val="0"/>
          <c:spPr>
            <a:noFill/>
            <a:ln>
              <a:noFill/>
            </a:ln>
            <a:effectLst/>
          </c:spPr>
          <c:txPr>
            <a:bodyPr rot="5400000" spcFirstLastPara="0" vertOverflow="ellipsis" wrap="square" anchor="ctr" anchorCtr="1"/>
            <a:lstStyle/>
            <a:p>
              <a:pPr defTabSz="914400">
                <a:defRPr lang="zh-CN" sz="1000" b="0" i="0" u="none" strike="noStrike" kern="1200" baseline="0">
                  <a:solidFill>
                    <a:schemeClr val="tx1"/>
                  </a:solidFill>
                  <a:latin typeface="黑体" panose="02010609060101010101" charset="-122"/>
                  <a:ea typeface="黑体" panose="02010609060101010101" charset="-122"/>
                  <a:cs typeface="黑体" panose="02010609060101010101" charset="-122"/>
                  <a:sym typeface="黑体" panose="02010609060101010101" charset="-122"/>
                </a:defRPr>
              </a:pPr>
              <a:endParaRPr lang="zh-CN"/>
            </a:p>
          </c:txPr>
        </c:title>
        <c:numFmt formatCode="0_);[Red]\(0\)" sourceLinked="0"/>
        <c:majorTickMark val="out"/>
        <c:minorTickMark val="none"/>
        <c:tickLblPos val="nextTo"/>
        <c:spPr>
          <a:noFill/>
          <a:ln>
            <a:solidFill>
              <a:schemeClr val="bg1">
                <a:lumMod val="85000"/>
              </a:schemeClr>
            </a:solidFill>
          </a:ln>
          <a:effectLst/>
        </c:spPr>
        <c:txPr>
          <a:bodyPr rot="-60000000" spcFirstLastPara="0" vertOverflow="ellipsis" vert="horz" wrap="square" anchor="ctr" anchorCtr="1"/>
          <a:lstStyle/>
          <a:p>
            <a:pPr>
              <a:defRPr lang="zh-CN" sz="700" b="0" i="0" u="none" strike="noStrike" kern="1200" baseline="0">
                <a:solidFill>
                  <a:schemeClr val="tx1"/>
                </a:solidFill>
                <a:latin typeface="黑体" panose="02010609060101010101" charset="-122"/>
                <a:ea typeface="黑体" panose="02010609060101010101" charset="-122"/>
                <a:cs typeface="黑体" panose="02010609060101010101" charset="-122"/>
                <a:sym typeface="黑体" panose="02010609060101010101" charset="-122"/>
              </a:defRPr>
            </a:pPr>
            <a:endParaRPr lang="zh-CN"/>
          </a:p>
        </c:txPr>
        <c:crossAx val="787686959"/>
        <c:crosses val="max"/>
        <c:crossBetween val="between"/>
      </c:valAx>
      <c:spPr>
        <a:noFill/>
        <a:ln>
          <a:noFill/>
        </a:ln>
        <a:effectLst/>
      </c:spPr>
    </c:plotArea>
    <c:legend>
      <c:legendPos val="t"/>
      <c:legendEntry>
        <c:idx val="0"/>
        <c:txPr>
          <a:bodyPr rot="0" spcFirstLastPara="0" vertOverflow="ellipsis" vert="horz" wrap="square" anchor="ctr" anchorCtr="1"/>
          <a:lstStyle/>
          <a:p>
            <a:pPr>
              <a:defRPr lang="zh-CN" sz="800" b="0" i="0" u="none" strike="noStrike" kern="1200" baseline="0">
                <a:solidFill>
                  <a:schemeClr val="tx1"/>
                </a:solidFill>
                <a:latin typeface="黑体" panose="02010609060101010101" charset="-122"/>
                <a:ea typeface="黑体" panose="02010609060101010101" charset="-122"/>
                <a:cs typeface="黑体" panose="02010609060101010101" charset="-122"/>
                <a:sym typeface="黑体" panose="02010609060101010101" charset="-122"/>
              </a:defRPr>
            </a:pPr>
            <a:endParaRPr lang="zh-CN"/>
          </a:p>
        </c:txPr>
      </c:legendEntry>
      <c:legendEntry>
        <c:idx val="1"/>
        <c:txPr>
          <a:bodyPr rot="0" spcFirstLastPara="0" vertOverflow="ellipsis" vert="horz" wrap="square" anchor="ctr" anchorCtr="1"/>
          <a:lstStyle/>
          <a:p>
            <a:pPr>
              <a:defRPr lang="zh-CN" sz="800" b="0" i="0" u="none" strike="noStrike" kern="1200" baseline="0">
                <a:solidFill>
                  <a:schemeClr val="tx1"/>
                </a:solidFill>
                <a:latin typeface="黑体" panose="02010609060101010101" charset="-122"/>
                <a:ea typeface="黑体" panose="02010609060101010101" charset="-122"/>
                <a:cs typeface="黑体" panose="02010609060101010101" charset="-122"/>
                <a:sym typeface="黑体" panose="02010609060101010101" charset="-122"/>
              </a:defRPr>
            </a:pPr>
            <a:endParaRPr lang="zh-CN"/>
          </a:p>
        </c:txPr>
      </c:legendEntry>
      <c:legendEntry>
        <c:idx val="2"/>
        <c:txPr>
          <a:bodyPr rot="0" spcFirstLastPara="0" vertOverflow="ellipsis" vert="horz" wrap="square" anchor="ctr" anchorCtr="1"/>
          <a:lstStyle/>
          <a:p>
            <a:pPr>
              <a:defRPr lang="zh-CN" sz="800" b="0" i="0" u="none" strike="noStrike" kern="1200" baseline="0">
                <a:solidFill>
                  <a:schemeClr val="tx1"/>
                </a:solidFill>
                <a:latin typeface="黑体" panose="02010609060101010101" charset="-122"/>
                <a:ea typeface="黑体" panose="02010609060101010101" charset="-122"/>
                <a:cs typeface="黑体" panose="02010609060101010101" charset="-122"/>
                <a:sym typeface="黑体" panose="02010609060101010101" charset="-122"/>
              </a:defRPr>
            </a:pPr>
            <a:endParaRPr lang="zh-CN"/>
          </a:p>
        </c:txPr>
      </c:legendEntry>
      <c:legendEntry>
        <c:idx val="3"/>
        <c:txPr>
          <a:bodyPr rot="0" spcFirstLastPara="0" vertOverflow="ellipsis" vert="horz" wrap="square" anchor="ctr" anchorCtr="1"/>
          <a:lstStyle/>
          <a:p>
            <a:pPr>
              <a:defRPr lang="zh-CN" sz="800" b="0" i="0" u="none" strike="noStrike" kern="1200" baseline="0">
                <a:solidFill>
                  <a:schemeClr val="tx1"/>
                </a:solidFill>
                <a:latin typeface="黑体" panose="02010609060101010101" charset="-122"/>
                <a:ea typeface="黑体" panose="02010609060101010101" charset="-122"/>
                <a:cs typeface="黑体" panose="02010609060101010101" charset="-122"/>
                <a:sym typeface="黑体" panose="02010609060101010101" charset="-122"/>
              </a:defRPr>
            </a:pPr>
            <a:endParaRPr lang="zh-CN"/>
          </a:p>
        </c:txPr>
      </c:legendEntry>
      <c:legendEntry>
        <c:idx val="4"/>
        <c:txPr>
          <a:bodyPr rot="0" spcFirstLastPara="0" vertOverflow="ellipsis" vert="horz" wrap="square" anchor="ctr" anchorCtr="1"/>
          <a:lstStyle/>
          <a:p>
            <a:pPr>
              <a:defRPr lang="zh-CN" sz="800" b="0" i="0" u="none" strike="noStrike" kern="1200" baseline="0">
                <a:solidFill>
                  <a:schemeClr val="tx1"/>
                </a:solidFill>
                <a:latin typeface="黑体" panose="02010609060101010101" charset="-122"/>
                <a:ea typeface="黑体" panose="02010609060101010101" charset="-122"/>
                <a:cs typeface="黑体" panose="02010609060101010101" charset="-122"/>
                <a:sym typeface="黑体" panose="02010609060101010101" charset="-122"/>
              </a:defRPr>
            </a:pPr>
            <a:endParaRPr lang="zh-CN"/>
          </a:p>
        </c:txPr>
      </c:legendEntry>
      <c:layout>
        <c:manualLayout>
          <c:xMode val="edge"/>
          <c:yMode val="edge"/>
          <c:x val="0.101751173171569"/>
          <c:y val="3.70705244122966E-2"/>
          <c:w val="0.28522376101636698"/>
          <c:h val="0.37251356238698002"/>
        </c:manualLayout>
      </c:layout>
      <c:overlay val="0"/>
      <c:spPr>
        <a:noFill/>
        <a:ln>
          <a:noFill/>
        </a:ln>
        <a:effectLst/>
      </c:spPr>
      <c:txPr>
        <a:bodyPr rot="0" spcFirstLastPara="0" vertOverflow="ellipsis" vert="horz" wrap="square" anchor="ctr" anchorCtr="1"/>
        <a:lstStyle/>
        <a:p>
          <a:pPr>
            <a:defRPr lang="zh-CN" sz="800" b="0" i="0" u="none" strike="noStrike" kern="1200" baseline="0">
              <a:solidFill>
                <a:schemeClr val="tx1"/>
              </a:solidFill>
              <a:latin typeface="黑体" panose="02010609060101010101" charset="-122"/>
              <a:ea typeface="黑体" panose="02010609060101010101" charset="-122"/>
              <a:cs typeface="黑体" panose="02010609060101010101" charset="-122"/>
              <a:sym typeface="黑体" panose="02010609060101010101" charset="-122"/>
            </a:defRPr>
          </a:pPr>
          <a:endParaRPr lang="zh-CN"/>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lang="zh-CN" sz="700">
          <a:latin typeface="黑体" panose="02010609060101010101" charset="-122"/>
          <a:ea typeface="黑体" panose="02010609060101010101" charset="-122"/>
          <a:cs typeface="黑体" panose="02010609060101010101" charset="-122"/>
          <a:sym typeface="黑体" panose="02010609060101010101" charset="-122"/>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1426</Words>
  <Characters>8132</Characters>
  <Application>Microsoft Office Word</Application>
  <DocSecurity>0</DocSecurity>
  <Lines>67</Lines>
  <Paragraphs>19</Paragraphs>
  <ScaleCrop>false</ScaleCrop>
  <Company/>
  <LinksUpToDate>false</LinksUpToDate>
  <CharactersWithSpaces>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WJM</dc:creator>
  <cp:lastModifiedBy>WJM</cp:lastModifiedBy>
  <cp:revision>9</cp:revision>
  <dcterms:created xsi:type="dcterms:W3CDTF">2023-07-01T07:47:00Z</dcterms:created>
  <dcterms:modified xsi:type="dcterms:W3CDTF">2023-08-07T01:20:00Z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A7F4CC7B44154267BA37CC7AA55B739D_12</vt:lpwstr>
  </property>
</Properties>
</file>