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491EC" w14:textId="47189512" w:rsidR="00DD7BF9" w:rsidRDefault="00DD7BF9" w:rsidP="00DD7BF9">
      <w:pPr>
        <w:pStyle w:val="6-Author-ENG"/>
        <w:rPr>
          <w:shd w:val="clear" w:color="auto" w:fill="FFFFFF"/>
        </w:rPr>
      </w:pPr>
      <w:r>
        <w:rPr>
          <w:rFonts w:hint="eastAsia"/>
          <w:shd w:val="clear" w:color="auto" w:fill="FFFFFF"/>
        </w:rPr>
        <w:t>Supplementary data for</w:t>
      </w:r>
    </w:p>
    <w:p w14:paraId="7185D007" w14:textId="0B809659" w:rsidR="00DD7BF9" w:rsidRPr="00DE5CA4" w:rsidRDefault="00DD7BF9" w:rsidP="00DD7BF9">
      <w:pPr>
        <w:pStyle w:val="8-Title-ENG"/>
        <w:rPr>
          <w:shd w:val="clear" w:color="auto" w:fill="FFFFFF"/>
        </w:rPr>
      </w:pPr>
      <w:r w:rsidRPr="00DE5CA4">
        <w:rPr>
          <w:shd w:val="clear" w:color="auto" w:fill="FFFFFF"/>
        </w:rPr>
        <w:t xml:space="preserve">Integrated Systems Modeling for Assessing the Water–Energy Nexus in Pakistan: Lessons Learned </w:t>
      </w:r>
      <w:proofErr w:type="gramStart"/>
      <w:r w:rsidRPr="00DE5CA4">
        <w:rPr>
          <w:shd w:val="clear" w:color="auto" w:fill="FFFFFF"/>
        </w:rPr>
        <w:t>From</w:t>
      </w:r>
      <w:proofErr w:type="gramEnd"/>
      <w:r w:rsidRPr="00DE5CA4">
        <w:rPr>
          <w:shd w:val="clear" w:color="auto" w:fill="FFFFFF"/>
        </w:rPr>
        <w:t xml:space="preserve"> Coupling LEAP–WEAP Planning Approaches </w:t>
      </w:r>
    </w:p>
    <w:p w14:paraId="358A7DCD" w14:textId="77777777" w:rsidR="00DD7BF9" w:rsidRPr="00DE5CA4" w:rsidRDefault="00DD7BF9" w:rsidP="00DD7BF9">
      <w:pPr>
        <w:pStyle w:val="6-Author-ENG"/>
        <w:rPr>
          <w:lang w:eastAsia="zh-CN"/>
        </w:rPr>
      </w:pPr>
      <w:r w:rsidRPr="00DE5CA4">
        <w:t>Riaz Ahmad</w:t>
      </w:r>
      <w:r w:rsidRPr="00DE5CA4">
        <w:rPr>
          <w:vertAlign w:val="superscript"/>
        </w:rPr>
        <w:t> </w:t>
      </w:r>
      <w:r w:rsidRPr="00DE5CA4">
        <w:rPr>
          <w:vertAlign w:val="superscript"/>
          <w:lang w:eastAsia="zh-CN"/>
        </w:rPr>
        <w:t>a</w:t>
      </w:r>
      <w:r w:rsidRPr="00DE5CA4">
        <w:t xml:space="preserve">, </w:t>
      </w:r>
      <w:proofErr w:type="spellStart"/>
      <w:r w:rsidRPr="00DE5CA4">
        <w:t>Gengyuan</w:t>
      </w:r>
      <w:proofErr w:type="spellEnd"/>
      <w:r w:rsidRPr="00DE5CA4">
        <w:t xml:space="preserve"> Liu</w:t>
      </w:r>
      <w:r w:rsidRPr="00DE5CA4">
        <w:rPr>
          <w:vertAlign w:val="superscript"/>
        </w:rPr>
        <w:t> </w:t>
      </w:r>
      <w:proofErr w:type="spellStart"/>
      <w:proofErr w:type="gramStart"/>
      <w:r w:rsidRPr="00DE5CA4">
        <w:rPr>
          <w:vertAlign w:val="superscript"/>
          <w:lang w:eastAsia="zh-CN"/>
        </w:rPr>
        <w:t>a</w:t>
      </w:r>
      <w:r w:rsidRPr="00DE5CA4">
        <w:rPr>
          <w:vertAlign w:val="superscript"/>
        </w:rPr>
        <w:t>,</w:t>
      </w:r>
      <w:r w:rsidRPr="00DE5CA4">
        <w:rPr>
          <w:vertAlign w:val="superscript"/>
          <w:lang w:eastAsia="zh-CN"/>
        </w:rPr>
        <w:t>b</w:t>
      </w:r>
      <w:proofErr w:type="spellEnd"/>
      <w:proofErr w:type="gramEnd"/>
      <w:r>
        <w:rPr>
          <w:rFonts w:hint="eastAsia"/>
          <w:vertAlign w:val="superscript"/>
          <w:lang w:eastAsia="zh-CN"/>
        </w:rPr>
        <w:t>,</w:t>
      </w:r>
      <w:r w:rsidRPr="00EF6134">
        <w:t>*</w:t>
      </w:r>
      <w:r w:rsidRPr="00DE5CA4">
        <w:t>, Syed Aziz Ur Rehman</w:t>
      </w:r>
      <w:r w:rsidRPr="00DE5CA4">
        <w:rPr>
          <w:vertAlign w:val="superscript"/>
        </w:rPr>
        <w:t> </w:t>
      </w:r>
      <w:r w:rsidRPr="00DE5CA4">
        <w:rPr>
          <w:vertAlign w:val="superscript"/>
          <w:lang w:eastAsia="zh-CN"/>
        </w:rPr>
        <w:t>c</w:t>
      </w:r>
      <w:r w:rsidRPr="00DE5CA4">
        <w:t>, Yuan Gao</w:t>
      </w:r>
      <w:r w:rsidRPr="00DE5CA4">
        <w:rPr>
          <w:vertAlign w:val="superscript"/>
        </w:rPr>
        <w:t> </w:t>
      </w:r>
      <w:r w:rsidRPr="00DE5CA4">
        <w:rPr>
          <w:vertAlign w:val="superscript"/>
          <w:lang w:eastAsia="zh-CN"/>
        </w:rPr>
        <w:t>a</w:t>
      </w:r>
      <w:r w:rsidRPr="00DE5CA4">
        <w:t xml:space="preserve">, </w:t>
      </w:r>
      <w:proofErr w:type="spellStart"/>
      <w:r w:rsidRPr="00DE5CA4">
        <w:t>Fanxin</w:t>
      </w:r>
      <w:proofErr w:type="spellEnd"/>
      <w:r w:rsidRPr="00DE5CA4">
        <w:t xml:space="preserve"> Meng</w:t>
      </w:r>
      <w:r w:rsidRPr="00DE5CA4">
        <w:rPr>
          <w:vertAlign w:val="superscript"/>
        </w:rPr>
        <w:t> </w:t>
      </w:r>
      <w:r w:rsidRPr="00DE5CA4">
        <w:rPr>
          <w:vertAlign w:val="superscript"/>
          <w:lang w:eastAsia="zh-CN"/>
        </w:rPr>
        <w:t>a</w:t>
      </w:r>
      <w:r w:rsidRPr="00DE5CA4">
        <w:t xml:space="preserve">, </w:t>
      </w:r>
      <w:proofErr w:type="spellStart"/>
      <w:r w:rsidRPr="00DE5CA4">
        <w:t>Xuanru</w:t>
      </w:r>
      <w:proofErr w:type="spellEnd"/>
      <w:r w:rsidRPr="00DE5CA4">
        <w:t xml:space="preserve"> Zhou</w:t>
      </w:r>
      <w:r w:rsidRPr="00DE5CA4">
        <w:rPr>
          <w:vertAlign w:val="superscript"/>
        </w:rPr>
        <w:t> </w:t>
      </w:r>
      <w:r w:rsidRPr="00DE5CA4">
        <w:rPr>
          <w:vertAlign w:val="superscript"/>
          <w:lang w:eastAsia="zh-CN"/>
        </w:rPr>
        <w:t>a</w:t>
      </w:r>
      <w:r w:rsidRPr="00DE5CA4">
        <w:t xml:space="preserve">, </w:t>
      </w:r>
      <w:proofErr w:type="spellStart"/>
      <w:r w:rsidRPr="00DE5CA4">
        <w:t>Bojie</w:t>
      </w:r>
      <w:proofErr w:type="spellEnd"/>
      <w:r w:rsidRPr="00DE5CA4">
        <w:t xml:space="preserve"> Liu</w:t>
      </w:r>
      <w:r w:rsidRPr="00DE5CA4">
        <w:rPr>
          <w:vertAlign w:val="superscript"/>
        </w:rPr>
        <w:t> </w:t>
      </w:r>
      <w:proofErr w:type="spellStart"/>
      <w:proofErr w:type="gramStart"/>
      <w:r w:rsidRPr="00DE5CA4">
        <w:rPr>
          <w:vertAlign w:val="superscript"/>
          <w:lang w:eastAsia="zh-CN"/>
        </w:rPr>
        <w:t>a</w:t>
      </w:r>
      <w:r w:rsidRPr="00DE5CA4">
        <w:rPr>
          <w:vertAlign w:val="superscript"/>
        </w:rPr>
        <w:t>,</w:t>
      </w:r>
      <w:r w:rsidRPr="00DE5CA4">
        <w:rPr>
          <w:vertAlign w:val="superscript"/>
          <w:lang w:eastAsia="zh-CN"/>
        </w:rPr>
        <w:t>d</w:t>
      </w:r>
      <w:proofErr w:type="spellEnd"/>
      <w:proofErr w:type="gramEnd"/>
      <w:r w:rsidRPr="00DE5CA4">
        <w:t>, Silvio Cristiano</w:t>
      </w:r>
      <w:r w:rsidRPr="00DE5CA4">
        <w:rPr>
          <w:vertAlign w:val="superscript"/>
        </w:rPr>
        <w:t> </w:t>
      </w:r>
      <w:r w:rsidRPr="00DE5CA4">
        <w:rPr>
          <w:vertAlign w:val="superscript"/>
          <w:lang w:eastAsia="zh-CN"/>
        </w:rPr>
        <w:t>e</w:t>
      </w:r>
    </w:p>
    <w:p w14:paraId="1D08F29F" w14:textId="77777777" w:rsidR="00DD7BF9" w:rsidRPr="00DE5CA4" w:rsidRDefault="00DD7BF9" w:rsidP="00DD7BF9">
      <w:pPr>
        <w:pStyle w:val="7-Affili-ENG"/>
      </w:pPr>
      <w:r w:rsidRPr="00DE5CA4">
        <w:rPr>
          <w:vertAlign w:val="superscript"/>
          <w:lang w:eastAsia="zh-CN"/>
        </w:rPr>
        <w:t>a</w:t>
      </w:r>
      <w:r w:rsidRPr="00DE5CA4">
        <w:rPr>
          <w:lang w:eastAsia="zh-CN"/>
        </w:rPr>
        <w:t xml:space="preserve"> </w:t>
      </w:r>
      <w:r w:rsidRPr="00DE5CA4">
        <w:t>State Key Joint Laboratory of Environment Simulation and Pollution Control, School of Environment, Beijing Normal University, Beijing 100875, China</w:t>
      </w:r>
    </w:p>
    <w:p w14:paraId="7B508CBC" w14:textId="77777777" w:rsidR="00DD7BF9" w:rsidRPr="00DE5CA4" w:rsidRDefault="00DD7BF9" w:rsidP="00DD7BF9">
      <w:pPr>
        <w:pStyle w:val="7-Affili-ENG"/>
      </w:pPr>
      <w:r w:rsidRPr="00DE5CA4">
        <w:rPr>
          <w:vertAlign w:val="superscript"/>
          <w:lang w:eastAsia="zh-CN"/>
        </w:rPr>
        <w:t>b</w:t>
      </w:r>
      <w:r w:rsidRPr="00DE5CA4">
        <w:rPr>
          <w:lang w:eastAsia="zh-CN"/>
        </w:rPr>
        <w:t xml:space="preserve"> </w:t>
      </w:r>
      <w:r w:rsidRPr="00DE5CA4">
        <w:t>Beijing Engineering Research Center for Watershed Environmental Restoration &amp; Integrated Ecological Regulation, Beijing 100875, China</w:t>
      </w:r>
    </w:p>
    <w:p w14:paraId="5C33F35E" w14:textId="77777777" w:rsidR="00DD7BF9" w:rsidRPr="00DE5CA4" w:rsidRDefault="00DD7BF9" w:rsidP="00DD7BF9">
      <w:pPr>
        <w:pStyle w:val="7-Affili-ENG"/>
      </w:pPr>
      <w:r w:rsidRPr="00DE5CA4">
        <w:rPr>
          <w:vertAlign w:val="superscript"/>
          <w:lang w:eastAsia="zh-CN"/>
        </w:rPr>
        <w:t>c</w:t>
      </w:r>
      <w:r w:rsidRPr="00DE5CA4">
        <w:rPr>
          <w:lang w:eastAsia="zh-CN"/>
        </w:rPr>
        <w:t xml:space="preserve"> </w:t>
      </w:r>
      <w:r w:rsidRPr="00DE5CA4">
        <w:t>Department of Environmental Sciences, University of Veterinary and Animal Sciences, Lahore</w:t>
      </w:r>
      <w:r w:rsidRPr="00BE6A8F">
        <w:t xml:space="preserve"> 54000</w:t>
      </w:r>
      <w:r w:rsidRPr="00DE5CA4">
        <w:t>, Pakistan</w:t>
      </w:r>
    </w:p>
    <w:p w14:paraId="500C4CB7" w14:textId="77777777" w:rsidR="00DD7BF9" w:rsidRPr="00DE5CA4" w:rsidRDefault="00DD7BF9" w:rsidP="00DD7BF9">
      <w:pPr>
        <w:pStyle w:val="7-Affili-ENG"/>
        <w:rPr>
          <w:rStyle w:val="aa"/>
          <w:i w:val="0"/>
          <w:iCs/>
          <w:szCs w:val="20"/>
        </w:rPr>
      </w:pPr>
      <w:r w:rsidRPr="00DE5CA4">
        <w:rPr>
          <w:rStyle w:val="aa"/>
          <w:iCs/>
          <w:szCs w:val="20"/>
          <w:vertAlign w:val="superscript"/>
          <w:lang w:eastAsia="zh-CN"/>
        </w:rPr>
        <w:t>d</w:t>
      </w:r>
      <w:r w:rsidRPr="00DE5CA4">
        <w:rPr>
          <w:rStyle w:val="aa"/>
          <w:iCs/>
          <w:szCs w:val="20"/>
          <w:lang w:eastAsia="zh-CN"/>
        </w:rPr>
        <w:t xml:space="preserve"> </w:t>
      </w:r>
      <w:r w:rsidRPr="00DE5CA4">
        <w:rPr>
          <w:rStyle w:val="aa"/>
          <w:iCs/>
          <w:szCs w:val="20"/>
        </w:rPr>
        <w:t>China Nuclear Power Engineering Co., Ltd., Beijing 100840, China</w:t>
      </w:r>
    </w:p>
    <w:p w14:paraId="02E7F415" w14:textId="77777777" w:rsidR="00DD7BF9" w:rsidRPr="00DE5CA4" w:rsidRDefault="00DD7BF9" w:rsidP="00DD7BF9">
      <w:pPr>
        <w:pStyle w:val="7-Affili-ENG"/>
      </w:pPr>
      <w:r w:rsidRPr="00DE5CA4">
        <w:rPr>
          <w:vertAlign w:val="superscript"/>
          <w:lang w:eastAsia="zh-CN"/>
        </w:rPr>
        <w:t>e</w:t>
      </w:r>
      <w:r w:rsidRPr="00DE5CA4">
        <w:rPr>
          <w:lang w:eastAsia="zh-CN"/>
        </w:rPr>
        <w:t xml:space="preserve"> </w:t>
      </w:r>
      <w:r w:rsidRPr="00DE5CA4">
        <w:t>Department of Architecture, University of Florence, Florence 50121,</w:t>
      </w:r>
      <w:r w:rsidRPr="00DE5CA4">
        <w:rPr>
          <w:rFonts w:hint="eastAsia"/>
          <w:lang w:eastAsia="zh-CN"/>
        </w:rPr>
        <w:t xml:space="preserve"> </w:t>
      </w:r>
      <w:r w:rsidRPr="00DE5CA4">
        <w:t>Italy</w:t>
      </w:r>
    </w:p>
    <w:p w14:paraId="178B76D0" w14:textId="77777777" w:rsidR="00DD7BF9" w:rsidRPr="00DE5CA4" w:rsidRDefault="00DD7BF9" w:rsidP="00DD7BF9">
      <w:pPr>
        <w:pStyle w:val="6-Corre-ENG"/>
        <w:rPr>
          <w:i/>
          <w:iCs/>
        </w:rPr>
      </w:pPr>
      <w:r w:rsidRPr="00DE5CA4">
        <w:t>*</w:t>
      </w:r>
      <w:r w:rsidRPr="00DE5CA4">
        <w:rPr>
          <w:vertAlign w:val="superscript"/>
        </w:rPr>
        <w:t xml:space="preserve"> </w:t>
      </w:r>
      <w:r w:rsidRPr="00DE5CA4">
        <w:t>Corresponding author.</w:t>
      </w:r>
      <w:r w:rsidRPr="00DE5CA4">
        <w:rPr>
          <w:i/>
          <w:iCs/>
        </w:rPr>
        <w:t xml:space="preserve"> </w:t>
      </w:r>
    </w:p>
    <w:p w14:paraId="5C59D158" w14:textId="77777777" w:rsidR="00DD7BF9" w:rsidRPr="00DE5CA4" w:rsidRDefault="00DD7BF9" w:rsidP="00DD7BF9">
      <w:pPr>
        <w:pStyle w:val="6-Corre-ENG"/>
      </w:pPr>
      <w:r w:rsidRPr="00DE5CA4">
        <w:rPr>
          <w:i/>
          <w:iCs/>
        </w:rPr>
        <w:t>E-mail address</w:t>
      </w:r>
      <w:r w:rsidRPr="00DE5CA4">
        <w:t xml:space="preserve">: </w:t>
      </w:r>
      <w:hyperlink r:id="rId7" w:history="1">
        <w:r w:rsidRPr="00DE5CA4">
          <w:t>liugengyuan@bnu.edu.cn</w:t>
        </w:r>
      </w:hyperlink>
      <w:r w:rsidRPr="00DE5CA4">
        <w:t xml:space="preserve"> (G. Liu)</w:t>
      </w:r>
    </w:p>
    <w:p w14:paraId="63BADCA4" w14:textId="77777777" w:rsidR="00DD7BF9" w:rsidRPr="00DD7BF9" w:rsidRDefault="00DD7BF9" w:rsidP="00856A37">
      <w:pPr>
        <w:pStyle w:val="3"/>
        <w:numPr>
          <w:ilvl w:val="0"/>
          <w:numId w:val="0"/>
        </w:numPr>
        <w:shd w:val="clear" w:color="auto" w:fill="FFFFFF" w:themeFill="background1"/>
        <w:spacing w:before="120" w:after="120" w:line="360" w:lineRule="auto"/>
        <w:rPr>
          <w:sz w:val="24"/>
          <w:szCs w:val="24"/>
        </w:rPr>
      </w:pPr>
    </w:p>
    <w:p w14:paraId="37598473" w14:textId="5E907810" w:rsidR="004B1FE8" w:rsidRPr="00BE13C7" w:rsidRDefault="00F31C14" w:rsidP="00856A37">
      <w:pPr>
        <w:pStyle w:val="3"/>
        <w:numPr>
          <w:ilvl w:val="0"/>
          <w:numId w:val="0"/>
        </w:numPr>
        <w:shd w:val="clear" w:color="auto" w:fill="FFFFFF" w:themeFill="background1"/>
        <w:spacing w:before="120" w:after="120" w:line="360" w:lineRule="auto"/>
        <w:rPr>
          <w:sz w:val="24"/>
          <w:szCs w:val="24"/>
        </w:rPr>
      </w:pPr>
      <w:r>
        <w:rPr>
          <w:rFonts w:hint="eastAsia"/>
          <w:sz w:val="24"/>
          <w:szCs w:val="24"/>
        </w:rPr>
        <w:t>Section</w:t>
      </w:r>
      <w:r w:rsidR="004B1FE8" w:rsidRPr="00BE13C7">
        <w:rPr>
          <w:sz w:val="24"/>
          <w:szCs w:val="24"/>
        </w:rPr>
        <w:t xml:space="preserve"> 1: </w:t>
      </w:r>
    </w:p>
    <w:p w14:paraId="003B086C" w14:textId="3EDC741B" w:rsidR="004B1FE8" w:rsidRPr="00BE13C7" w:rsidRDefault="00964A0A" w:rsidP="00964A0A">
      <w:pPr>
        <w:pStyle w:val="3"/>
        <w:numPr>
          <w:ilvl w:val="0"/>
          <w:numId w:val="0"/>
        </w:numPr>
        <w:shd w:val="clear" w:color="auto" w:fill="FFFFFF" w:themeFill="background1"/>
        <w:spacing w:before="120" w:after="120" w:line="360" w:lineRule="auto"/>
        <w:rPr>
          <w:sz w:val="24"/>
          <w:szCs w:val="24"/>
        </w:rPr>
      </w:pPr>
      <w:r w:rsidRPr="00BE13C7">
        <w:rPr>
          <w:sz w:val="24"/>
          <w:szCs w:val="24"/>
        </w:rPr>
        <w:t xml:space="preserve">A1.1 </w:t>
      </w:r>
      <w:r w:rsidR="004B1FE8" w:rsidRPr="00BE13C7">
        <w:rPr>
          <w:sz w:val="24"/>
          <w:szCs w:val="24"/>
        </w:rPr>
        <w:t xml:space="preserve">LEAP model energy demand module </w:t>
      </w:r>
    </w:p>
    <w:p w14:paraId="73BEC623" w14:textId="77777777" w:rsidR="004B1FE8" w:rsidRPr="00393D32" w:rsidRDefault="004B1FE8" w:rsidP="004B1FE8">
      <w:pPr>
        <w:pStyle w:val="3"/>
        <w:numPr>
          <w:ilvl w:val="0"/>
          <w:numId w:val="0"/>
        </w:numPr>
        <w:shd w:val="clear" w:color="auto" w:fill="FFFFFF" w:themeFill="background1"/>
        <w:spacing w:before="120" w:after="120" w:line="360" w:lineRule="auto"/>
        <w:jc w:val="both"/>
        <w:rPr>
          <w:b w:val="0"/>
          <w:sz w:val="24"/>
          <w:szCs w:val="24"/>
        </w:rPr>
      </w:pPr>
      <w:r w:rsidRPr="00393D32">
        <w:rPr>
          <w:b w:val="0"/>
          <w:sz w:val="24"/>
          <w:szCs w:val="24"/>
        </w:rPr>
        <w:t xml:space="preserve">      End-use energy in different sectors encompasses primary and secondary energy sources. Primary energy encompasses both non-renewable sources like coal and natural gas, and renewable sources such as solar power, wind, hydropower, and geothermal energy. Secondary energy includes gasoline, diesel, fuel oil, liquefied petroleum gas (LPG), heat, and electricity.</w:t>
      </w:r>
    </w:p>
    <w:p w14:paraId="78C421AD" w14:textId="25FD56F6" w:rsidR="004B1FE8" w:rsidRPr="00393D32" w:rsidRDefault="004B1FE8" w:rsidP="004B1FE8">
      <w:pPr>
        <w:shd w:val="clear" w:color="auto" w:fill="FFFFFF" w:themeFill="background1"/>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      The provided data delineates the distribution of energy consumption across various sectors in Pakistan, as reported in the Pakistan Energy Year Book (2019-2020). The industrial sector emerges as the leading consumer, accounting for 36.7%, followed closely by the transport sector at 30.3%. Subsequently, the domestic sector ranks third with 24.4%, while the commercial and agricultural sectors contribute relatively smaller shares of 3.4% and 1.5%, respectively. The remaining 3.7% falls within the "others" category </w:t>
      </w:r>
      <w:r w:rsidR="00F51EE1">
        <w:rPr>
          <w:rFonts w:ascii="Times New Roman" w:hAnsi="Times New Roman" w:cs="Times New Roman"/>
          <w:sz w:val="24"/>
          <w:szCs w:val="24"/>
        </w:rPr>
        <w:t>[1]</w:t>
      </w:r>
      <w:r w:rsidRPr="00393D32">
        <w:rPr>
          <w:rFonts w:ascii="Times New Roman" w:hAnsi="Times New Roman" w:cs="Times New Roman"/>
          <w:sz w:val="24"/>
          <w:szCs w:val="24"/>
        </w:rPr>
        <w:t>.</w:t>
      </w:r>
    </w:p>
    <w:p w14:paraId="174CE6E8" w14:textId="77777777" w:rsidR="004B1FE8" w:rsidRPr="00393D32" w:rsidRDefault="004B1FE8" w:rsidP="004B1FE8">
      <w:pPr>
        <w:shd w:val="clear" w:color="auto" w:fill="FFFFFF" w:themeFill="background1"/>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      This breakdown accentuates Pakistan's substantial reliance on energy for industrial and transportation needs, reflecting the nation's burgeoning industrialization, urbanization, and sizable population. The significant energy consumption within the domestic sector underscores the critical importance of residential energy requirements for the populace. However, the comparatively low energy consumption in the agricultural sector raises concerns, given agriculture's significant contribution to Pakistan's economy. This disparity suggests potential issues related to energy accessibility or the need for more sustainable and efficient energy solutions within the agricultural </w:t>
      </w:r>
      <w:r w:rsidRPr="00393D32">
        <w:rPr>
          <w:rFonts w:ascii="Times New Roman" w:hAnsi="Times New Roman" w:cs="Times New Roman"/>
          <w:sz w:val="24"/>
          <w:szCs w:val="24"/>
        </w:rPr>
        <w:lastRenderedPageBreak/>
        <w:t>domain. These statistics underscore the imperative for Pakistan to prioritize energy efficiency and sustainability across all sectors. Doing so is essential to meet the country's escalating energy demands while simultaneously mitigating its environmental footprint.</w:t>
      </w:r>
    </w:p>
    <w:p w14:paraId="7C430BE6" w14:textId="2A5F13C4" w:rsidR="004B1FE8" w:rsidRPr="00393D32" w:rsidRDefault="00964A0A" w:rsidP="00964A0A">
      <w:pPr>
        <w:pStyle w:val="3"/>
        <w:widowControl/>
        <w:numPr>
          <w:ilvl w:val="0"/>
          <w:numId w:val="0"/>
        </w:numPr>
        <w:shd w:val="clear" w:color="auto" w:fill="FFFFFF" w:themeFill="background1"/>
        <w:spacing w:beforeLines="0" w:before="120" w:afterLines="0" w:after="120" w:line="360" w:lineRule="auto"/>
        <w:jc w:val="both"/>
        <w:rPr>
          <w:sz w:val="24"/>
          <w:szCs w:val="24"/>
        </w:rPr>
      </w:pPr>
      <w:r w:rsidRPr="00393D32">
        <w:rPr>
          <w:sz w:val="24"/>
          <w:szCs w:val="24"/>
        </w:rPr>
        <w:t xml:space="preserve">A1.2 </w:t>
      </w:r>
      <w:r w:rsidR="004B1FE8" w:rsidRPr="00393D32">
        <w:rPr>
          <w:sz w:val="24"/>
          <w:szCs w:val="24"/>
        </w:rPr>
        <w:t xml:space="preserve">Transformation Module </w:t>
      </w:r>
    </w:p>
    <w:p w14:paraId="332C6A8B" w14:textId="77777777" w:rsidR="004B1FE8" w:rsidRPr="00393D32" w:rsidRDefault="004B1FE8" w:rsidP="004B1FE8">
      <w:pPr>
        <w:pStyle w:val="3"/>
        <w:numPr>
          <w:ilvl w:val="0"/>
          <w:numId w:val="0"/>
        </w:numPr>
        <w:shd w:val="clear" w:color="auto" w:fill="FFFFFF" w:themeFill="background1"/>
        <w:spacing w:before="120" w:after="120" w:line="360" w:lineRule="auto"/>
        <w:ind w:left="141"/>
        <w:jc w:val="both"/>
        <w:rPr>
          <w:b w:val="0"/>
          <w:sz w:val="24"/>
          <w:szCs w:val="24"/>
        </w:rPr>
      </w:pPr>
      <w:r w:rsidRPr="00393D32">
        <w:rPr>
          <w:b w:val="0"/>
          <w:sz w:val="24"/>
          <w:szCs w:val="24"/>
        </w:rPr>
        <w:t xml:space="preserve">      The transformation module encompasses the transmission, distribution, and generation sectors. Within this module, energy conversion simulations and the transportation of energy from primary sources to final fuel consumption are conducted. Planning reserve margin, system peak load shape, exports-imports priorities, short-fall surplus rules, and transmission losses are essential considerations for the transmission and distribution sectors.</w:t>
      </w:r>
    </w:p>
    <w:p w14:paraId="4A00373A" w14:textId="77777777" w:rsidR="004B1FE8" w:rsidRPr="00393D32" w:rsidRDefault="004B1FE8" w:rsidP="004B1FE8">
      <w:pPr>
        <w:pStyle w:val="3"/>
        <w:numPr>
          <w:ilvl w:val="0"/>
          <w:numId w:val="0"/>
        </w:numPr>
        <w:shd w:val="clear" w:color="auto" w:fill="FFFFFF" w:themeFill="background1"/>
        <w:spacing w:before="120" w:after="120" w:line="360" w:lineRule="auto"/>
        <w:ind w:left="141"/>
        <w:jc w:val="both"/>
        <w:rPr>
          <w:sz w:val="24"/>
          <w:szCs w:val="24"/>
        </w:rPr>
      </w:pPr>
      <w:r w:rsidRPr="00393D32">
        <w:rPr>
          <w:b w:val="0"/>
          <w:sz w:val="24"/>
          <w:szCs w:val="24"/>
        </w:rPr>
        <w:t xml:space="preserve">      Power generation technologies encompass various types, including combined cycle cogeneration, wind turbines, gas turbines, hydroelectric generation, oil combustion turbines, coal plants, bagasse/biomass power plants, and solar PV systems. Each technology requires parameters such as dispatch rule, merit order, historical production, exogenous capacity, endogenous capacity, maximum availability, process efficiency, plant lifetime, capital costs, interest rate, capacity credit, addition size, and others. Exogenous and endogenous capacities pertain to new and additional capacities based on power plant retirements. The LEAP model also factors in greenhouse gas (GHG) emissions associated with each fuel type used for power generation. The following equation</w:t>
      </w:r>
      <w:r w:rsidR="005E7397">
        <w:rPr>
          <w:b w:val="0"/>
          <w:sz w:val="24"/>
          <w:szCs w:val="24"/>
        </w:rPr>
        <w:t xml:space="preserve"> (2)</w:t>
      </w:r>
      <w:r w:rsidRPr="00393D32">
        <w:rPr>
          <w:b w:val="0"/>
          <w:sz w:val="24"/>
          <w:szCs w:val="24"/>
        </w:rPr>
        <w:t xml:space="preserve"> is employed to estimate energy transformation.</w:t>
      </w:r>
    </w:p>
    <w:p w14:paraId="73220C56" w14:textId="1A3DDC1D" w:rsidR="005E7397" w:rsidRPr="00393D32" w:rsidRDefault="005E7397" w:rsidP="004B1FE8">
      <w:pPr>
        <w:spacing w:line="360" w:lineRule="auto"/>
        <w:jc w:val="both"/>
        <w:rPr>
          <w:rFonts w:ascii="Times New Roman" w:hAnsi="Times New Roman" w:cs="Times New Roman"/>
          <w:sz w:val="24"/>
          <w:szCs w:val="24"/>
        </w:rPr>
      </w:pPr>
      <w:bookmarkStart w:id="0" w:name="_Hlk159678971"/>
      <m:oMathPara>
        <m:oMath>
          <m:r>
            <m:rPr>
              <m:sty m:val="p"/>
            </m:rPr>
            <w:rPr>
              <w:rFonts w:ascii="Cambria Math" w:eastAsia="黑体" w:hAnsi="Cambria Math" w:cs="Times New Roman"/>
              <w:sz w:val="24"/>
              <w:szCs w:val="24"/>
            </w:rPr>
            <m:t>ET=</m:t>
          </m:r>
          <m:nary>
            <m:naryPr>
              <m:chr m:val="∑"/>
              <m:limLoc m:val="undOvr"/>
              <m:supHide m:val="1"/>
              <m:ctrlPr>
                <w:rPr>
                  <w:rFonts w:ascii="Cambria Math" w:eastAsia="黑体" w:hAnsi="Cambria Math" w:cs="Times New Roman"/>
                  <w:sz w:val="24"/>
                  <w:szCs w:val="24"/>
                </w:rPr>
              </m:ctrlPr>
            </m:naryPr>
            <m:sub>
              <m:r>
                <m:rPr>
                  <m:sty m:val="p"/>
                </m:rPr>
                <w:rPr>
                  <w:rFonts w:ascii="Cambria Math" w:eastAsia="黑体" w:hAnsi="Cambria Math" w:cs="Times New Roman"/>
                  <w:sz w:val="24"/>
                  <w:szCs w:val="24"/>
                </w:rPr>
                <m:t>l</m:t>
              </m:r>
            </m:sub>
            <m:sup/>
            <m:e>
              <m:nary>
                <m:naryPr>
                  <m:chr m:val="∑"/>
                  <m:limLoc m:val="undOvr"/>
                  <m:supHide m:val="1"/>
                  <m:ctrlPr>
                    <w:rPr>
                      <w:rFonts w:ascii="Cambria Math" w:eastAsia="黑体" w:hAnsi="Cambria Math" w:cs="Times New Roman"/>
                      <w:sz w:val="24"/>
                      <w:szCs w:val="24"/>
                    </w:rPr>
                  </m:ctrlPr>
                </m:naryPr>
                <m:sub>
                  <m:r>
                    <m:rPr>
                      <m:sty m:val="p"/>
                    </m:rPr>
                    <w:rPr>
                      <w:rFonts w:ascii="Cambria Math" w:eastAsia="黑体" w:hAnsi="Cambria Math" w:cs="Times New Roman"/>
                      <w:sz w:val="24"/>
                      <w:szCs w:val="24"/>
                    </w:rPr>
                    <m:t>m</m:t>
                  </m:r>
                </m:sub>
                <m:sup/>
                <m:e>
                  <m:nary>
                    <m:naryPr>
                      <m:chr m:val="∑"/>
                      <m:limLoc m:val="undOvr"/>
                      <m:supHide m:val="1"/>
                      <m:ctrlPr>
                        <w:rPr>
                          <w:rFonts w:ascii="Cambria Math" w:eastAsia="黑体" w:hAnsi="Cambria Math" w:cs="Times New Roman"/>
                          <w:sz w:val="24"/>
                          <w:szCs w:val="24"/>
                        </w:rPr>
                      </m:ctrlPr>
                    </m:naryPr>
                    <m:sub>
                      <m:r>
                        <m:rPr>
                          <m:sty m:val="p"/>
                        </m:rPr>
                        <w:rPr>
                          <w:rFonts w:ascii="Cambria Math" w:eastAsia="黑体" w:hAnsi="Cambria Math" w:cs="Times New Roman"/>
                          <w:sz w:val="24"/>
                          <w:szCs w:val="24"/>
                        </w:rPr>
                        <m:t>n</m:t>
                      </m:r>
                    </m:sub>
                    <m:sup/>
                    <m:e>
                      <m:f>
                        <m:fPr>
                          <m:ctrlPr>
                            <w:rPr>
                              <w:rFonts w:ascii="Cambria Math" w:eastAsia="黑体" w:hAnsi="Cambria Math" w:cs="Times New Roman"/>
                              <w:sz w:val="24"/>
                              <w:szCs w:val="24"/>
                            </w:rPr>
                          </m:ctrlPr>
                        </m:fPr>
                        <m:num>
                          <m:sSub>
                            <m:sSubPr>
                              <m:ctrlPr>
                                <w:rPr>
                                  <w:rFonts w:ascii="Cambria Math" w:eastAsia="黑体" w:hAnsi="Cambria Math" w:cs="Times New Roman"/>
                                  <w:sz w:val="24"/>
                                  <w:szCs w:val="24"/>
                                </w:rPr>
                              </m:ctrlPr>
                            </m:sSubPr>
                            <m:e>
                              <m:r>
                                <m:rPr>
                                  <m:sty m:val="p"/>
                                </m:rPr>
                                <w:rPr>
                                  <w:rFonts w:ascii="Cambria Math" w:eastAsia="黑体" w:hAnsi="Cambria Math" w:cs="Times New Roman"/>
                                  <w:sz w:val="24"/>
                                  <w:szCs w:val="24"/>
                                </w:rPr>
                                <m:t>ETP</m:t>
                              </m:r>
                            </m:e>
                            <m:sub>
                              <m:r>
                                <m:rPr>
                                  <m:sty m:val="p"/>
                                </m:rPr>
                                <w:rPr>
                                  <w:rFonts w:ascii="Cambria Math" w:eastAsia="黑体" w:hAnsi="Cambria Math" w:cs="Times New Roman"/>
                                  <w:sz w:val="24"/>
                                  <w:szCs w:val="24"/>
                                </w:rPr>
                                <m:t>l;m;n</m:t>
                              </m:r>
                            </m:sub>
                          </m:sSub>
                        </m:num>
                        <m:den>
                          <m:sSub>
                            <m:sSubPr>
                              <m:ctrlPr>
                                <w:rPr>
                                  <w:rFonts w:ascii="Cambria Math" w:eastAsia="黑体" w:hAnsi="Cambria Math" w:cs="Times New Roman"/>
                                  <w:sz w:val="24"/>
                                  <w:szCs w:val="24"/>
                                </w:rPr>
                              </m:ctrlPr>
                            </m:sSubPr>
                            <m:e>
                              <m:r>
                                <m:rPr>
                                  <m:sty m:val="p"/>
                                </m:rPr>
                                <w:rPr>
                                  <w:rFonts w:ascii="Cambria Math" w:eastAsia="黑体" w:hAnsi="Cambria Math" w:cs="Times New Roman"/>
                                  <w:sz w:val="24"/>
                                  <w:szCs w:val="24"/>
                                </w:rPr>
                                <m:t>θ</m:t>
                              </m:r>
                            </m:e>
                            <m:sub>
                              <m:r>
                                <m:rPr>
                                  <m:sty m:val="p"/>
                                </m:rPr>
                                <w:rPr>
                                  <w:rFonts w:ascii="Cambria Math" w:eastAsia="黑体" w:hAnsi="Cambria Math" w:cs="Times New Roman"/>
                                  <w:sz w:val="24"/>
                                  <w:szCs w:val="24"/>
                                </w:rPr>
                                <m:t>l;m;n</m:t>
                              </m:r>
                            </m:sub>
                          </m:sSub>
                        </m:den>
                      </m:f>
                    </m:e>
                  </m:nary>
                </m:e>
              </m:nary>
              <m:r>
                <m:rPr>
                  <m:sty m:val="p"/>
                </m:rPr>
                <w:rPr>
                  <w:rFonts w:ascii="Cambria Math" w:eastAsia="黑体" w:hAnsi="Cambria Math" w:cs="Times New Roman"/>
                  <w:sz w:val="24"/>
                  <w:szCs w:val="24"/>
                </w:rPr>
                <m:t xml:space="preserve"> ………….(2) </m:t>
              </m:r>
            </m:e>
          </m:nary>
        </m:oMath>
      </m:oMathPara>
      <w:bookmarkEnd w:id="0"/>
    </w:p>
    <w:p w14:paraId="7C402FEE" w14:textId="77777777" w:rsidR="004B1FE8" w:rsidRPr="00393D32" w:rsidRDefault="004B1FE8" w:rsidP="004B1FE8">
      <w:pPr>
        <w:pStyle w:val="4"/>
        <w:numPr>
          <w:ilvl w:val="0"/>
          <w:numId w:val="0"/>
        </w:numPr>
        <w:spacing w:before="120" w:after="120" w:line="360" w:lineRule="auto"/>
        <w:jc w:val="both"/>
      </w:pPr>
      <w:r w:rsidRPr="00393D32">
        <w:t xml:space="preserve">In the given context, </w:t>
      </w:r>
      <w:r w:rsidRPr="00F31C14">
        <w:rPr>
          <w:i/>
        </w:rPr>
        <w:t>ETP</w:t>
      </w:r>
      <w:r w:rsidRPr="00393D32">
        <w:t xml:space="preserve"> represents the output of secondary energy resulting from the conversion process, where </w:t>
      </w:r>
      <w:r w:rsidRPr="00F31C14">
        <w:rPr>
          <w:i/>
        </w:rPr>
        <w:t>theta</w:t>
      </w:r>
      <w:r w:rsidRPr="00393D32">
        <w:t xml:space="preserve"> denotes the conversion efficiency, </w:t>
      </w:r>
      <w:r w:rsidRPr="00F31C14">
        <w:rPr>
          <w:i/>
        </w:rPr>
        <w:t>l</w:t>
      </w:r>
      <w:r w:rsidRPr="00393D32">
        <w:t xml:space="preserve"> signifies the specific conversion process, while </w:t>
      </w:r>
      <w:r w:rsidRPr="00F31C14">
        <w:rPr>
          <w:i/>
        </w:rPr>
        <w:t>m</w:t>
      </w:r>
      <w:r w:rsidRPr="00393D32">
        <w:t xml:space="preserve"> and </w:t>
      </w:r>
      <w:r w:rsidRPr="00F31C14">
        <w:rPr>
          <w:i/>
        </w:rPr>
        <w:t>n</w:t>
      </w:r>
      <w:r w:rsidRPr="00393D32">
        <w:t xml:space="preserve"> respectively represent the specific types of energy consumed and newly generated.</w:t>
      </w:r>
    </w:p>
    <w:p w14:paraId="457BC4DB" w14:textId="1BDA8CA8" w:rsidR="004B1FE8" w:rsidRPr="00BE13C7" w:rsidRDefault="00F31C14" w:rsidP="004B1FE8">
      <w:pPr>
        <w:rPr>
          <w:rFonts w:ascii="Times New Roman" w:hAnsi="Times New Roman" w:cs="Times New Roman"/>
          <w:b/>
          <w:sz w:val="24"/>
        </w:rPr>
      </w:pPr>
      <w:r w:rsidRPr="00F31C14">
        <w:rPr>
          <w:rFonts w:ascii="Times New Roman" w:hAnsi="Times New Roman" w:cs="Times New Roman"/>
          <w:b/>
          <w:sz w:val="24"/>
        </w:rPr>
        <w:t>Section</w:t>
      </w:r>
      <w:r w:rsidRPr="00F31C14">
        <w:rPr>
          <w:rFonts w:ascii="Times New Roman" w:hAnsi="Times New Roman" w:cs="Times New Roman"/>
          <w:b/>
          <w:sz w:val="24"/>
        </w:rPr>
        <w:t xml:space="preserve"> </w:t>
      </w:r>
      <w:r w:rsidR="004B1FE8" w:rsidRPr="00BE13C7">
        <w:rPr>
          <w:rFonts w:ascii="Times New Roman" w:hAnsi="Times New Roman" w:cs="Times New Roman"/>
          <w:b/>
          <w:sz w:val="24"/>
        </w:rPr>
        <w:t xml:space="preserve">2: </w:t>
      </w:r>
    </w:p>
    <w:p w14:paraId="383BE817" w14:textId="452F140E" w:rsidR="004B1FE8" w:rsidRPr="00BE13C7" w:rsidRDefault="00964A0A" w:rsidP="00964A0A">
      <w:pPr>
        <w:pStyle w:val="3"/>
        <w:numPr>
          <w:ilvl w:val="0"/>
          <w:numId w:val="0"/>
        </w:numPr>
        <w:shd w:val="clear" w:color="auto" w:fill="FFFFFF" w:themeFill="background1"/>
        <w:spacing w:before="120" w:after="120" w:line="360" w:lineRule="auto"/>
        <w:rPr>
          <w:sz w:val="24"/>
          <w:szCs w:val="24"/>
        </w:rPr>
      </w:pPr>
      <w:r w:rsidRPr="00BE13C7">
        <w:rPr>
          <w:sz w:val="24"/>
          <w:szCs w:val="24"/>
        </w:rPr>
        <w:t xml:space="preserve">A2.1 </w:t>
      </w:r>
      <w:r w:rsidR="004B1FE8" w:rsidRPr="00BE13C7">
        <w:rPr>
          <w:sz w:val="24"/>
          <w:szCs w:val="24"/>
        </w:rPr>
        <w:t xml:space="preserve">WEAP model Water demand module </w:t>
      </w:r>
    </w:p>
    <w:p w14:paraId="6D438EB9" w14:textId="77777777" w:rsidR="00843A07" w:rsidRDefault="004B1FE8" w:rsidP="004B1FE8">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      In the current study, we have delineated water consumption into three primary sectors: domestic, agriculture, and industries. To facilitate a comprehensive analysis, we have further subdivided each sector based on the availability and specificity of water consumption data. The domestic sector is a crucial component of water consumption and is subdivided into urban and </w:t>
      </w:r>
      <w:r w:rsidRPr="00393D32">
        <w:rPr>
          <w:rFonts w:ascii="Times New Roman" w:hAnsi="Times New Roman" w:cs="Times New Roman"/>
          <w:sz w:val="24"/>
          <w:szCs w:val="24"/>
        </w:rPr>
        <w:lastRenderedPageBreak/>
        <w:t xml:space="preserve">rural households. National statistics reveal that 63% of the population resides in rural areas, while the remaining 37% lives in urban centers. According to data from the base year of 2020, urban water consumption was measured at 8.08 billion cubic meters (BCM), whereas rural areas consumed 13.76 BCM of water. </w:t>
      </w:r>
    </w:p>
    <w:p w14:paraId="0B39C34C" w14:textId="3A212E4F" w:rsidR="001C4866" w:rsidRDefault="004B1FE8" w:rsidP="004B1FE8">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The agriculture sector comprises various components such as water consumption for agricultural activities, forestry, animal husbandry, fishery, and landscapes. In 2020, the total water consumption attributed to agriculture amounted to 178.53 BCM, signifying that agriculture accounted for a substantial 86% of the country's total water usage. In the industrial sector, we have further categorized water consumption into manufacturing industries and the power sector. Manufacturing industries encompass a diverse range of sectors including iron and steel, pulps and paper, textile, sugar, fertilizers, cement, brick kilns, and other industries. In 2020, these industries collectively consumed 3.5 BCM of water. The power sector, which encompasses thermal power, nuclear power, and renewable energy generation plants, consumed 0.13 BCM of water in the same year. This detailed segmentation allows for a nuanced understanding of water consumption patterns within each sector, thereby facilitating informed decision-making and resource management strategies.</w:t>
      </w:r>
    </w:p>
    <w:p w14:paraId="1BC4F263" w14:textId="001CC693" w:rsidR="00A0023B" w:rsidRDefault="001C4866" w:rsidP="004B1FE8">
      <w:pPr>
        <w:spacing w:line="360" w:lineRule="auto"/>
        <w:jc w:val="both"/>
        <w:rPr>
          <w:rFonts w:ascii="Times New Roman" w:hAnsi="Times New Roman" w:cs="Times New Roman"/>
          <w:b/>
          <w:sz w:val="24"/>
          <w:szCs w:val="24"/>
        </w:rPr>
      </w:pPr>
      <w:r w:rsidRPr="00BE13C7">
        <w:rPr>
          <w:rFonts w:ascii="Times New Roman" w:hAnsi="Times New Roman" w:cs="Times New Roman"/>
          <w:b/>
          <w:sz w:val="24"/>
          <w:szCs w:val="24"/>
        </w:rPr>
        <w:t xml:space="preserve">A2.2 Data Sources </w:t>
      </w:r>
    </w:p>
    <w:p w14:paraId="7A491F9E" w14:textId="05A2A176" w:rsidR="001C4866" w:rsidRDefault="001C4866" w:rsidP="00BE13C7">
      <w:pPr>
        <w:spacing w:line="360" w:lineRule="auto"/>
        <w:ind w:firstLine="720"/>
        <w:jc w:val="both"/>
        <w:rPr>
          <w:rFonts w:ascii="Times New Roman" w:hAnsi="Times New Roman" w:cs="Times New Roman"/>
          <w:sz w:val="24"/>
        </w:rPr>
      </w:pPr>
      <w:bookmarkStart w:id="1" w:name="_Hlk172760726"/>
      <w:r w:rsidRPr="00EC0C0F">
        <w:rPr>
          <w:rFonts w:ascii="Times New Roman" w:hAnsi="Times New Roman" w:cs="Times New Roman"/>
          <w:sz w:val="24"/>
        </w:rPr>
        <w:t xml:space="preserve">For data related to economic activity, GDP, and population growth were collected from the Hydrocarbon Development Institute of Pakistan, The World Bank, State of Industry Reports, the Economic Survey of Pakistan, and the Pakistan Bureau of Statistics. Data for energy demand, technologies, and energy intensities were obtained from Energy Year Books, the Pakistan Bureau of Statistics, the Ministry of Finance, </w:t>
      </w:r>
      <w:r>
        <w:rPr>
          <w:rFonts w:ascii="Times New Roman" w:hAnsi="Times New Roman" w:cs="Times New Roman"/>
          <w:sz w:val="24"/>
        </w:rPr>
        <w:t xml:space="preserve">the </w:t>
      </w:r>
      <w:r w:rsidRPr="00EC0C0F">
        <w:rPr>
          <w:rFonts w:ascii="Times New Roman" w:hAnsi="Times New Roman" w:cs="Times New Roman"/>
          <w:sz w:val="24"/>
        </w:rPr>
        <w:t>Government of Pakistan, and the Households Integrated Economic Survey. For the energy transformation sector in LEAP, data were collected from the Integrated Generation Capacity Expansion Plan of Pakistan (IGCEP) and the National Electric Power Regulatory Authority (NEPRA).</w:t>
      </w:r>
      <w:bookmarkEnd w:id="1"/>
    </w:p>
    <w:p w14:paraId="4B18EEDA" w14:textId="4A2192E2" w:rsidR="001C4866" w:rsidRPr="00BE13C7" w:rsidRDefault="001C4866" w:rsidP="00BE13C7">
      <w:pPr>
        <w:spacing w:line="360" w:lineRule="auto"/>
        <w:ind w:firstLine="720"/>
        <w:jc w:val="both"/>
        <w:rPr>
          <w:rFonts w:ascii="Times New Roman" w:hAnsi="Times New Roman" w:cs="Times New Roman"/>
          <w:b/>
          <w:sz w:val="24"/>
          <w:szCs w:val="24"/>
        </w:rPr>
      </w:pPr>
      <w:r w:rsidRPr="00EC0C0F">
        <w:rPr>
          <w:rFonts w:ascii="Times New Roman" w:hAnsi="Times New Roman" w:cs="Times New Roman"/>
          <w:sz w:val="24"/>
          <w:szCs w:val="24"/>
        </w:rPr>
        <w:t xml:space="preserve">For WEAP water modeling, data about water distribution and management is taken from several sources. The Indus River System Authority (IRSA) manages the distribution of Indus </w:t>
      </w:r>
      <w:r>
        <w:rPr>
          <w:rFonts w:ascii="Times New Roman" w:hAnsi="Times New Roman" w:cs="Times New Roman"/>
          <w:sz w:val="24"/>
          <w:szCs w:val="24"/>
        </w:rPr>
        <w:t>River</w:t>
      </w:r>
      <w:r w:rsidRPr="00EC0C0F">
        <w:rPr>
          <w:rFonts w:ascii="Times New Roman" w:hAnsi="Times New Roman" w:cs="Times New Roman"/>
          <w:sz w:val="24"/>
          <w:szCs w:val="24"/>
        </w:rPr>
        <w:t xml:space="preserve"> water and provides data on river flows, reservoir levels, and water allocations. The Pakistan Bureau of Statistics (PBS) offers statistical data on agriculture, population, and economic activities relevant for water demand modeling. The Water and Power Development Authority (WAPDA) </w:t>
      </w:r>
      <w:r w:rsidRPr="00EC0C0F">
        <w:rPr>
          <w:rFonts w:ascii="Times New Roman" w:hAnsi="Times New Roman" w:cs="Times New Roman"/>
          <w:sz w:val="24"/>
          <w:szCs w:val="24"/>
        </w:rPr>
        <w:lastRenderedPageBreak/>
        <w:t>provides data on hydropower projects, dams, and water resources. The Ministry of Water Resources supplies policy documents, reports, and data related to water resource management. Global data sources like FAO AQUASTAT provide global water statistics, including data specific to Pakistan, while the World Bank offers data, reports, and datasets on water resources and development projects. Accessing and integrating data from these sources provides a comprehensive dataset for modeling water resources in WEAP for Pakistan.</w:t>
      </w:r>
    </w:p>
    <w:p w14:paraId="50BC31A5" w14:textId="798D4353" w:rsidR="0036766C" w:rsidRPr="00393D32" w:rsidRDefault="00F31C14" w:rsidP="004B1FE8">
      <w:pPr>
        <w:spacing w:line="360" w:lineRule="auto"/>
        <w:jc w:val="both"/>
        <w:rPr>
          <w:rFonts w:ascii="Times New Roman" w:hAnsi="Times New Roman" w:cs="Times New Roman"/>
          <w:b/>
          <w:sz w:val="24"/>
          <w:szCs w:val="24"/>
        </w:rPr>
      </w:pPr>
      <w:r w:rsidRPr="00F31C14">
        <w:rPr>
          <w:rFonts w:ascii="Times New Roman" w:hAnsi="Times New Roman" w:cs="Times New Roman"/>
          <w:b/>
          <w:sz w:val="24"/>
        </w:rPr>
        <w:t>Section</w:t>
      </w:r>
      <w:r w:rsidRPr="00393D32">
        <w:rPr>
          <w:rFonts w:ascii="Times New Roman" w:hAnsi="Times New Roman" w:cs="Times New Roman"/>
          <w:b/>
          <w:sz w:val="24"/>
          <w:szCs w:val="24"/>
        </w:rPr>
        <w:t xml:space="preserve"> </w:t>
      </w:r>
      <w:r w:rsidR="0036766C" w:rsidRPr="00393D32">
        <w:rPr>
          <w:rFonts w:ascii="Times New Roman" w:hAnsi="Times New Roman" w:cs="Times New Roman"/>
          <w:b/>
          <w:sz w:val="24"/>
          <w:szCs w:val="24"/>
        </w:rPr>
        <w:t>3:</w:t>
      </w:r>
    </w:p>
    <w:p w14:paraId="5EC96978" w14:textId="0E97CC2D" w:rsidR="0036766C" w:rsidRPr="00393D32" w:rsidRDefault="00964A0A" w:rsidP="004B1FE8">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A</w:t>
      </w:r>
      <w:r w:rsidR="0036766C" w:rsidRPr="00393D32">
        <w:rPr>
          <w:rFonts w:ascii="Times New Roman" w:hAnsi="Times New Roman" w:cs="Times New Roman"/>
          <w:b/>
          <w:sz w:val="24"/>
          <w:szCs w:val="24"/>
        </w:rPr>
        <w:t xml:space="preserve">3.1 Integration of LEAP and WEAP </w:t>
      </w:r>
      <w:r w:rsidR="00D25A00">
        <w:rPr>
          <w:rFonts w:ascii="Times New Roman" w:hAnsi="Times New Roman" w:cs="Times New Roman"/>
          <w:b/>
          <w:sz w:val="24"/>
          <w:szCs w:val="24"/>
        </w:rPr>
        <w:t>Models</w:t>
      </w:r>
    </w:p>
    <w:p w14:paraId="6FE01B53" w14:textId="226838F7" w:rsidR="0036766C" w:rsidRPr="00393D32" w:rsidRDefault="0036766C" w:rsidP="0036766C">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      </w:t>
      </w:r>
      <w:r w:rsidR="00D25A00">
        <w:rPr>
          <w:rFonts w:ascii="Times New Roman" w:hAnsi="Times New Roman" w:cs="Times New Roman"/>
          <w:sz w:val="24"/>
          <w:szCs w:val="24"/>
        </w:rPr>
        <w:t>To</w:t>
      </w:r>
      <w:r w:rsidRPr="00393D32">
        <w:rPr>
          <w:rFonts w:ascii="Times New Roman" w:hAnsi="Times New Roman" w:cs="Times New Roman"/>
          <w:sz w:val="24"/>
          <w:szCs w:val="24"/>
        </w:rPr>
        <w:t xml:space="preserve"> form the nexus, it is necessary while developing the respective models in LEAP and WEAP to keep in mind that both the models will have to be integrated later on and the settings of both the models should be accordingly. These settings include similar time steps for both the models and </w:t>
      </w:r>
      <w:r w:rsidR="00D25A00">
        <w:rPr>
          <w:rFonts w:ascii="Times New Roman" w:hAnsi="Times New Roman" w:cs="Times New Roman"/>
          <w:sz w:val="24"/>
          <w:szCs w:val="24"/>
        </w:rPr>
        <w:t xml:space="preserve">the </w:t>
      </w:r>
      <w:r w:rsidRPr="00393D32">
        <w:rPr>
          <w:rFonts w:ascii="Times New Roman" w:hAnsi="Times New Roman" w:cs="Times New Roman"/>
          <w:sz w:val="24"/>
          <w:szCs w:val="24"/>
        </w:rPr>
        <w:t xml:space="preserve">same current accounts and scenario years for this study the base year was set to 2020 and the end year to 2050. In </w:t>
      </w:r>
      <w:r w:rsidR="00D25A00">
        <w:rPr>
          <w:rFonts w:ascii="Times New Roman" w:hAnsi="Times New Roman" w:cs="Times New Roman"/>
          <w:sz w:val="24"/>
          <w:szCs w:val="24"/>
        </w:rPr>
        <w:t xml:space="preserve">an </w:t>
      </w:r>
      <w:r w:rsidRPr="00393D32">
        <w:rPr>
          <w:rFonts w:ascii="Times New Roman" w:hAnsi="Times New Roman" w:cs="Times New Roman"/>
          <w:sz w:val="24"/>
          <w:szCs w:val="24"/>
        </w:rPr>
        <w:t xml:space="preserve">integrated model, both WEAP and LEAP exchange information with each other just like a closed loop. </w:t>
      </w:r>
      <w:r w:rsidR="00D25A00">
        <w:rPr>
          <w:rFonts w:ascii="Times New Roman" w:hAnsi="Times New Roman" w:cs="Times New Roman"/>
          <w:sz w:val="24"/>
          <w:szCs w:val="24"/>
        </w:rPr>
        <w:t>To</w:t>
      </w:r>
      <w:r w:rsidRPr="00393D32">
        <w:rPr>
          <w:rFonts w:ascii="Times New Roman" w:hAnsi="Times New Roman" w:cs="Times New Roman"/>
          <w:sz w:val="24"/>
          <w:szCs w:val="24"/>
        </w:rPr>
        <w:t xml:space="preserve"> calculate the water demand in a time step for energy generation, WEAP requires input from LEAP regarding the amount of energy generated in a time step. In some studies, LEAP and WEAP models were adopted to look into </w:t>
      </w:r>
      <w:r w:rsidR="00D25A00">
        <w:rPr>
          <w:rFonts w:ascii="Times New Roman" w:hAnsi="Times New Roman" w:cs="Times New Roman"/>
          <w:sz w:val="24"/>
          <w:szCs w:val="24"/>
        </w:rPr>
        <w:t xml:space="preserve">the </w:t>
      </w:r>
      <w:r w:rsidRPr="00393D32">
        <w:rPr>
          <w:rFonts w:ascii="Times New Roman" w:hAnsi="Times New Roman" w:cs="Times New Roman"/>
          <w:sz w:val="24"/>
          <w:szCs w:val="24"/>
        </w:rPr>
        <w:t>energy-water nexus at project, sector, urban</w:t>
      </w:r>
      <w:r w:rsidR="00D25A00">
        <w:rPr>
          <w:rFonts w:ascii="Times New Roman" w:hAnsi="Times New Roman" w:cs="Times New Roman"/>
          <w:sz w:val="24"/>
          <w:szCs w:val="24"/>
        </w:rPr>
        <w:t>,</w:t>
      </w:r>
      <w:r w:rsidRPr="00393D32">
        <w:rPr>
          <w:rFonts w:ascii="Times New Roman" w:hAnsi="Times New Roman" w:cs="Times New Roman"/>
          <w:sz w:val="24"/>
          <w:szCs w:val="24"/>
        </w:rPr>
        <w:t xml:space="preserve"> and regional scales. The impact of the developed solutions on energy consumption, water resources</w:t>
      </w:r>
      <w:r w:rsidR="00D25A00">
        <w:rPr>
          <w:rFonts w:ascii="Times New Roman" w:hAnsi="Times New Roman" w:cs="Times New Roman"/>
          <w:sz w:val="24"/>
          <w:szCs w:val="24"/>
        </w:rPr>
        <w:t>,</w:t>
      </w:r>
      <w:r w:rsidRPr="00393D32">
        <w:rPr>
          <w:rFonts w:ascii="Times New Roman" w:hAnsi="Times New Roman" w:cs="Times New Roman"/>
          <w:sz w:val="24"/>
          <w:szCs w:val="24"/>
        </w:rPr>
        <w:t xml:space="preserve"> and regional greenhouse gas emissions </w:t>
      </w:r>
      <w:r w:rsidR="00D25A00">
        <w:rPr>
          <w:rFonts w:ascii="Times New Roman" w:hAnsi="Times New Roman" w:cs="Times New Roman"/>
          <w:sz w:val="24"/>
          <w:szCs w:val="24"/>
        </w:rPr>
        <w:t>was</w:t>
      </w:r>
      <w:r w:rsidRPr="00393D32">
        <w:rPr>
          <w:rFonts w:ascii="Times New Roman" w:hAnsi="Times New Roman" w:cs="Times New Roman"/>
          <w:sz w:val="24"/>
          <w:szCs w:val="24"/>
        </w:rPr>
        <w:t xml:space="preserve"> also examined </w:t>
      </w:r>
      <w:r w:rsidR="003C6FC5">
        <w:rPr>
          <w:rFonts w:ascii="Times New Roman" w:hAnsi="Times New Roman" w:cs="Times New Roman"/>
          <w:sz w:val="24"/>
          <w:szCs w:val="24"/>
        </w:rPr>
        <w:t>[2]</w:t>
      </w:r>
      <w:r w:rsidRPr="00393D32">
        <w:rPr>
          <w:rFonts w:ascii="Times New Roman" w:hAnsi="Times New Roman" w:cs="Times New Roman"/>
          <w:sz w:val="24"/>
          <w:szCs w:val="24"/>
        </w:rPr>
        <w:t xml:space="preserve">. </w:t>
      </w:r>
    </w:p>
    <w:p w14:paraId="03852D3A" w14:textId="27250827" w:rsidR="00255C6B" w:rsidRDefault="0036766C" w:rsidP="006E33C3">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      To integrate LEAP and WEAP, users can utilize the advanced options available in either the LEAP or WEAP model interface. This integration can be achieved through the LEAP link screen within WEAP or the WEAP link screen within LEAP. Initially, a connection is established between the LEAP area and the corresponding WEAP area. Subsequently, all scenarios requiring integration are linked together. During this process, it is essential to ensure that the base years and end years are identical in both models. Additionally, the yearly time frame should remain consistent, maintaining alignment from the same month and date to mitigate potential errors and ensure proper linkage between the two models.</w:t>
      </w:r>
    </w:p>
    <w:p w14:paraId="2724B71B" w14:textId="6FA3D376" w:rsidR="006E33C3" w:rsidRPr="00393D32" w:rsidRDefault="00F31C14" w:rsidP="004B1FE8">
      <w:pPr>
        <w:pStyle w:val="1"/>
        <w:numPr>
          <w:ilvl w:val="0"/>
          <w:numId w:val="0"/>
        </w:numPr>
        <w:snapToGrid w:val="0"/>
        <w:spacing w:beforeLines="0" w:afterLines="0" w:line="480" w:lineRule="auto"/>
        <w:jc w:val="both"/>
        <w:rPr>
          <w:rFonts w:eastAsia="仿宋"/>
          <w:b/>
          <w:sz w:val="24"/>
          <w:szCs w:val="24"/>
        </w:rPr>
      </w:pPr>
      <w:r w:rsidRPr="00F31C14">
        <w:rPr>
          <w:b/>
          <w:sz w:val="24"/>
        </w:rPr>
        <w:t>Section</w:t>
      </w:r>
      <w:r w:rsidR="004B1FE8" w:rsidRPr="00393D32">
        <w:rPr>
          <w:rFonts w:eastAsia="仿宋"/>
          <w:b/>
          <w:sz w:val="24"/>
          <w:szCs w:val="24"/>
        </w:rPr>
        <w:t xml:space="preserve"> </w:t>
      </w:r>
      <w:r w:rsidR="006E33C3" w:rsidRPr="00393D32">
        <w:rPr>
          <w:rFonts w:eastAsia="仿宋"/>
          <w:b/>
          <w:sz w:val="24"/>
          <w:szCs w:val="24"/>
        </w:rPr>
        <w:t>4</w:t>
      </w:r>
      <w:r w:rsidR="004B1FE8" w:rsidRPr="00393D32">
        <w:rPr>
          <w:rFonts w:eastAsia="仿宋"/>
          <w:b/>
          <w:sz w:val="24"/>
          <w:szCs w:val="24"/>
        </w:rPr>
        <w:t xml:space="preserve">: </w:t>
      </w:r>
    </w:p>
    <w:p w14:paraId="469140A7" w14:textId="7080A3A0" w:rsidR="004B1FE8" w:rsidRPr="00393D32" w:rsidRDefault="002162D3" w:rsidP="004B1FE8">
      <w:pPr>
        <w:pStyle w:val="1"/>
        <w:numPr>
          <w:ilvl w:val="0"/>
          <w:numId w:val="0"/>
        </w:numPr>
        <w:snapToGrid w:val="0"/>
        <w:spacing w:beforeLines="0" w:afterLines="0" w:line="480" w:lineRule="auto"/>
        <w:jc w:val="both"/>
        <w:rPr>
          <w:rFonts w:eastAsia="仿宋"/>
          <w:b/>
          <w:sz w:val="24"/>
          <w:szCs w:val="24"/>
        </w:rPr>
      </w:pPr>
      <w:r w:rsidRPr="00393D32">
        <w:rPr>
          <w:rFonts w:eastAsia="仿宋"/>
          <w:b/>
          <w:sz w:val="24"/>
          <w:szCs w:val="24"/>
        </w:rPr>
        <w:t>A</w:t>
      </w:r>
      <w:r w:rsidR="006E33C3" w:rsidRPr="00393D32">
        <w:rPr>
          <w:rFonts w:eastAsia="仿宋"/>
          <w:b/>
          <w:sz w:val="24"/>
          <w:szCs w:val="24"/>
        </w:rPr>
        <w:t xml:space="preserve">4.1. </w:t>
      </w:r>
      <w:r w:rsidR="004B1FE8" w:rsidRPr="00393D32">
        <w:rPr>
          <w:rFonts w:eastAsia="仿宋"/>
          <w:b/>
          <w:sz w:val="24"/>
          <w:szCs w:val="24"/>
        </w:rPr>
        <w:t>Parameters and details for scenario setting</w:t>
      </w:r>
    </w:p>
    <w:p w14:paraId="4D6A2933" w14:textId="675AECB4" w:rsidR="004B1FE8" w:rsidRPr="00393D32" w:rsidRDefault="004B1FE8" w:rsidP="00255C6B">
      <w:pPr>
        <w:jc w:val="center"/>
        <w:rPr>
          <w:rFonts w:ascii="Times New Roman" w:hAnsi="Times New Roman" w:cs="Times New Roman"/>
          <w:sz w:val="24"/>
          <w:szCs w:val="24"/>
        </w:rPr>
      </w:pPr>
      <w:r w:rsidRPr="00393D32">
        <w:rPr>
          <w:rFonts w:ascii="Times New Roman" w:hAnsi="Times New Roman" w:cs="Times New Roman"/>
          <w:sz w:val="24"/>
          <w:szCs w:val="24"/>
        </w:rPr>
        <w:t>Table</w:t>
      </w:r>
      <w:r w:rsidR="00964A0A" w:rsidRPr="00393D32">
        <w:rPr>
          <w:rFonts w:ascii="Times New Roman" w:hAnsi="Times New Roman" w:cs="Times New Roman"/>
          <w:sz w:val="24"/>
          <w:szCs w:val="24"/>
        </w:rPr>
        <w:t xml:space="preserve"> </w:t>
      </w:r>
      <w:r w:rsidR="00D21B31">
        <w:rPr>
          <w:rFonts w:ascii="Times New Roman" w:hAnsi="Times New Roman" w:cs="Times New Roman" w:hint="eastAsia"/>
          <w:sz w:val="24"/>
          <w:szCs w:val="24"/>
        </w:rPr>
        <w:t>S</w:t>
      </w:r>
      <w:r w:rsidRPr="00393D32">
        <w:rPr>
          <w:rFonts w:ascii="Times New Roman" w:hAnsi="Times New Roman" w:cs="Times New Roman"/>
          <w:sz w:val="24"/>
          <w:szCs w:val="24"/>
        </w:rPr>
        <w:t>1</w:t>
      </w:r>
      <w:r w:rsidR="00255C6B" w:rsidRPr="00393D32">
        <w:rPr>
          <w:rFonts w:ascii="Times New Roman" w:hAnsi="Times New Roman" w:cs="Times New Roman"/>
          <w:sz w:val="24"/>
          <w:szCs w:val="24"/>
        </w:rPr>
        <w:t>.</w:t>
      </w:r>
      <w:r w:rsidR="00964A0A" w:rsidRPr="00393D32">
        <w:rPr>
          <w:rFonts w:ascii="Times New Roman" w:hAnsi="Times New Roman" w:cs="Times New Roman"/>
          <w:sz w:val="24"/>
          <w:szCs w:val="24"/>
        </w:rPr>
        <w:t xml:space="preserve"> </w:t>
      </w:r>
      <w:r w:rsidRPr="00393D32">
        <w:rPr>
          <w:rFonts w:ascii="Times New Roman" w:hAnsi="Times New Roman" w:cs="Times New Roman"/>
          <w:sz w:val="24"/>
          <w:szCs w:val="24"/>
        </w:rPr>
        <w:t>LEAP scenarios and parameters setting</w:t>
      </w:r>
    </w:p>
    <w:tbl>
      <w:tblPr>
        <w:tblStyle w:val="a3"/>
        <w:tblW w:w="0" w:type="auto"/>
        <w:jc w:val="center"/>
        <w:tblLook w:val="04A0" w:firstRow="1" w:lastRow="0" w:firstColumn="1" w:lastColumn="0" w:noHBand="0" w:noVBand="1"/>
      </w:tblPr>
      <w:tblGrid>
        <w:gridCol w:w="830"/>
        <w:gridCol w:w="3680"/>
        <w:gridCol w:w="4840"/>
      </w:tblGrid>
      <w:tr w:rsidR="00393D32" w:rsidRPr="00393D32" w14:paraId="09319D82" w14:textId="77777777" w:rsidTr="006E33C3">
        <w:trPr>
          <w:jc w:val="center"/>
        </w:trPr>
        <w:tc>
          <w:tcPr>
            <w:tcW w:w="830" w:type="dxa"/>
          </w:tcPr>
          <w:p w14:paraId="7CBB5DE5"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lastRenderedPageBreak/>
              <w:t>Name</w:t>
            </w:r>
          </w:p>
        </w:tc>
        <w:tc>
          <w:tcPr>
            <w:tcW w:w="3680" w:type="dxa"/>
          </w:tcPr>
          <w:p w14:paraId="3B0E0843"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Scenarios</w:t>
            </w:r>
          </w:p>
        </w:tc>
        <w:tc>
          <w:tcPr>
            <w:tcW w:w="4840" w:type="dxa"/>
          </w:tcPr>
          <w:p w14:paraId="245FC5BD"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Setting</w:t>
            </w:r>
          </w:p>
        </w:tc>
      </w:tr>
      <w:tr w:rsidR="00393D32" w:rsidRPr="00393D32" w14:paraId="06E749A4" w14:textId="77777777" w:rsidTr="006E33C3">
        <w:trPr>
          <w:jc w:val="center"/>
        </w:trPr>
        <w:tc>
          <w:tcPr>
            <w:tcW w:w="830" w:type="dxa"/>
          </w:tcPr>
          <w:p w14:paraId="4F744065"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ES1</w:t>
            </w:r>
          </w:p>
        </w:tc>
        <w:tc>
          <w:tcPr>
            <w:tcW w:w="3680" w:type="dxa"/>
          </w:tcPr>
          <w:p w14:paraId="39D73710"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Baseline</w:t>
            </w:r>
          </w:p>
        </w:tc>
        <w:tc>
          <w:tcPr>
            <w:tcW w:w="4840" w:type="dxa"/>
          </w:tcPr>
          <w:p w14:paraId="10682886"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In model validation and future forecasting on current energy data from the year 2015 to 2025. In model validation of energy data for 5 years 2015 to 2020 with the reference of energy year book energy data from 2015 to 2020.</w:t>
            </w:r>
          </w:p>
        </w:tc>
      </w:tr>
      <w:tr w:rsidR="00393D32" w:rsidRPr="00393D32" w14:paraId="6CC965FE" w14:textId="77777777" w:rsidTr="006E33C3">
        <w:trPr>
          <w:jc w:val="center"/>
        </w:trPr>
        <w:tc>
          <w:tcPr>
            <w:tcW w:w="830" w:type="dxa"/>
          </w:tcPr>
          <w:p w14:paraId="7200CB74"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ES2</w:t>
            </w:r>
          </w:p>
        </w:tc>
        <w:tc>
          <w:tcPr>
            <w:tcW w:w="3680" w:type="dxa"/>
          </w:tcPr>
          <w:p w14:paraId="238A07CB"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Energy Settlement Scenario</w:t>
            </w:r>
          </w:p>
        </w:tc>
        <w:tc>
          <w:tcPr>
            <w:tcW w:w="4840" w:type="dxa"/>
          </w:tcPr>
          <w:p w14:paraId="0159CAE5"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Energy Settlement scenario (focused on the national plan for the access of population to the energy to enhance the availability of energy to the domestic users),</w:t>
            </w:r>
          </w:p>
        </w:tc>
      </w:tr>
      <w:tr w:rsidR="00393D32" w:rsidRPr="00393D32" w14:paraId="220BD60D" w14:textId="77777777" w:rsidTr="006E33C3">
        <w:trPr>
          <w:jc w:val="center"/>
        </w:trPr>
        <w:tc>
          <w:tcPr>
            <w:tcW w:w="830" w:type="dxa"/>
          </w:tcPr>
          <w:p w14:paraId="055AA0F6" w14:textId="77777777" w:rsidR="004B1FE8" w:rsidRPr="00393D32" w:rsidRDefault="004B1FE8" w:rsidP="00166885">
            <w:pPr>
              <w:snapToGrid w:val="0"/>
              <w:spacing w:line="360" w:lineRule="auto"/>
              <w:jc w:val="both"/>
              <w:rPr>
                <w:rFonts w:ascii="Times New Roman" w:hAnsi="Times New Roman" w:cs="Times New Roman"/>
                <w:sz w:val="24"/>
                <w:szCs w:val="24"/>
              </w:rPr>
            </w:pPr>
            <w:bookmarkStart w:id="2" w:name="OLE_LINK1"/>
            <w:r w:rsidRPr="00393D32">
              <w:rPr>
                <w:rFonts w:ascii="Times New Roman" w:hAnsi="Times New Roman" w:cs="Times New Roman"/>
                <w:sz w:val="24"/>
                <w:szCs w:val="24"/>
              </w:rPr>
              <w:t>ES2.1</w:t>
            </w:r>
            <w:bookmarkEnd w:id="2"/>
          </w:p>
        </w:tc>
        <w:tc>
          <w:tcPr>
            <w:tcW w:w="3680" w:type="dxa"/>
          </w:tcPr>
          <w:p w14:paraId="00DDBABD"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Powering the country</w:t>
            </w:r>
          </w:p>
          <w:p w14:paraId="55518F12" w14:textId="77777777" w:rsidR="004B1FE8" w:rsidRPr="00393D32" w:rsidRDefault="004B1FE8" w:rsidP="00166885">
            <w:pPr>
              <w:snapToGrid w:val="0"/>
              <w:spacing w:line="360" w:lineRule="auto"/>
              <w:jc w:val="both"/>
              <w:rPr>
                <w:rFonts w:ascii="Times New Roman" w:hAnsi="Times New Roman" w:cs="Times New Roman"/>
                <w:sz w:val="24"/>
                <w:szCs w:val="24"/>
              </w:rPr>
            </w:pPr>
          </w:p>
        </w:tc>
        <w:tc>
          <w:tcPr>
            <w:tcW w:w="4840" w:type="dxa"/>
          </w:tcPr>
          <w:p w14:paraId="34EA780A"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Extension of electricity supply to 100% of household user by 2030 according to National Action Plan.</w:t>
            </w:r>
          </w:p>
        </w:tc>
      </w:tr>
      <w:tr w:rsidR="00393D32" w:rsidRPr="00393D32" w14:paraId="03E8386F" w14:textId="77777777" w:rsidTr="006E33C3">
        <w:trPr>
          <w:jc w:val="center"/>
        </w:trPr>
        <w:tc>
          <w:tcPr>
            <w:tcW w:w="830" w:type="dxa"/>
          </w:tcPr>
          <w:p w14:paraId="3B1F6FF6"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ES2.2</w:t>
            </w:r>
          </w:p>
        </w:tc>
        <w:tc>
          <w:tcPr>
            <w:tcW w:w="3680" w:type="dxa"/>
          </w:tcPr>
          <w:p w14:paraId="401715E5"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Efficient household appliances usage</w:t>
            </w:r>
          </w:p>
        </w:tc>
        <w:tc>
          <w:tcPr>
            <w:tcW w:w="4840" w:type="dxa"/>
          </w:tcPr>
          <w:p w14:paraId="50AFD0C0"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Use of energy efficient appliances to save up to 0.5 MOTE in the building sector by 2023 according to NEECA.</w:t>
            </w:r>
          </w:p>
        </w:tc>
      </w:tr>
      <w:tr w:rsidR="00393D32" w:rsidRPr="00393D32" w14:paraId="308F0F63" w14:textId="77777777" w:rsidTr="006E33C3">
        <w:trPr>
          <w:jc w:val="center"/>
        </w:trPr>
        <w:tc>
          <w:tcPr>
            <w:tcW w:w="830" w:type="dxa"/>
          </w:tcPr>
          <w:p w14:paraId="7EC9B643"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ES2.3</w:t>
            </w:r>
          </w:p>
        </w:tc>
        <w:tc>
          <w:tcPr>
            <w:tcW w:w="3680" w:type="dxa"/>
          </w:tcPr>
          <w:p w14:paraId="1B623489"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Natural gas accessibility   </w:t>
            </w:r>
          </w:p>
        </w:tc>
        <w:tc>
          <w:tcPr>
            <w:tcW w:w="4840" w:type="dxa"/>
          </w:tcPr>
          <w:p w14:paraId="2186198E"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Extension of electricity supply to 75% of household user by 2030 according to National Action Plan.</w:t>
            </w:r>
          </w:p>
        </w:tc>
      </w:tr>
      <w:tr w:rsidR="00393D32" w:rsidRPr="00393D32" w14:paraId="22EF4971" w14:textId="77777777" w:rsidTr="006E33C3">
        <w:trPr>
          <w:jc w:val="center"/>
        </w:trPr>
        <w:tc>
          <w:tcPr>
            <w:tcW w:w="830" w:type="dxa"/>
          </w:tcPr>
          <w:p w14:paraId="7B4E28A5"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ES3</w:t>
            </w:r>
          </w:p>
        </w:tc>
        <w:tc>
          <w:tcPr>
            <w:tcW w:w="3680" w:type="dxa"/>
          </w:tcPr>
          <w:p w14:paraId="007A406D"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Eco-sustainable Transport Scenario</w:t>
            </w:r>
          </w:p>
        </w:tc>
        <w:tc>
          <w:tcPr>
            <w:tcW w:w="4840" w:type="dxa"/>
          </w:tcPr>
          <w:p w14:paraId="6D063A16"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Based on “S1.2” the future plan for the injection of hybrid and electric cars which will be eco-friendly by 30% to 2030 and 90% to 2040) according to National Electric Vehicle Policy-2019,</w:t>
            </w:r>
          </w:p>
        </w:tc>
      </w:tr>
      <w:tr w:rsidR="00393D32" w:rsidRPr="00393D32" w14:paraId="53C5899B" w14:textId="77777777" w:rsidTr="006E33C3">
        <w:trPr>
          <w:jc w:val="center"/>
        </w:trPr>
        <w:tc>
          <w:tcPr>
            <w:tcW w:w="830" w:type="dxa"/>
          </w:tcPr>
          <w:p w14:paraId="50E14533"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ES3.1</w:t>
            </w:r>
          </w:p>
        </w:tc>
        <w:tc>
          <w:tcPr>
            <w:tcW w:w="3680" w:type="dxa"/>
          </w:tcPr>
          <w:p w14:paraId="6D288480"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Electric cars </w:t>
            </w:r>
          </w:p>
        </w:tc>
        <w:tc>
          <w:tcPr>
            <w:tcW w:w="4840" w:type="dxa"/>
          </w:tcPr>
          <w:p w14:paraId="46700D93"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Introducing electric cars 30% up to 2030 and 90% up to 2040.</w:t>
            </w:r>
          </w:p>
        </w:tc>
      </w:tr>
      <w:tr w:rsidR="00393D32" w:rsidRPr="00393D32" w14:paraId="5407432C" w14:textId="77777777" w:rsidTr="006E33C3">
        <w:trPr>
          <w:jc w:val="center"/>
        </w:trPr>
        <w:tc>
          <w:tcPr>
            <w:tcW w:w="830" w:type="dxa"/>
          </w:tcPr>
          <w:p w14:paraId="5C3CEAE7"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ES3.2</w:t>
            </w:r>
          </w:p>
        </w:tc>
        <w:tc>
          <w:tcPr>
            <w:tcW w:w="3680" w:type="dxa"/>
          </w:tcPr>
          <w:p w14:paraId="280C99D4"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Electric two and three-wheelers </w:t>
            </w:r>
          </w:p>
          <w:p w14:paraId="067621CD" w14:textId="77777777" w:rsidR="004B1FE8" w:rsidRPr="00393D32" w:rsidRDefault="004B1FE8" w:rsidP="00166885">
            <w:pPr>
              <w:snapToGrid w:val="0"/>
              <w:spacing w:line="360" w:lineRule="auto"/>
              <w:jc w:val="both"/>
              <w:rPr>
                <w:rFonts w:ascii="Times New Roman" w:hAnsi="Times New Roman" w:cs="Times New Roman"/>
                <w:sz w:val="24"/>
                <w:szCs w:val="24"/>
              </w:rPr>
            </w:pPr>
          </w:p>
        </w:tc>
        <w:tc>
          <w:tcPr>
            <w:tcW w:w="4840" w:type="dxa"/>
          </w:tcPr>
          <w:p w14:paraId="7CFB6965"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Introducing electric cars 50% up to 2030 and 90% up to 2040.</w:t>
            </w:r>
          </w:p>
        </w:tc>
      </w:tr>
      <w:tr w:rsidR="00393D32" w:rsidRPr="00393D32" w14:paraId="6DBE2368" w14:textId="77777777" w:rsidTr="006E33C3">
        <w:trPr>
          <w:jc w:val="center"/>
        </w:trPr>
        <w:tc>
          <w:tcPr>
            <w:tcW w:w="830" w:type="dxa"/>
          </w:tcPr>
          <w:p w14:paraId="35A8D603"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ES3.3</w:t>
            </w:r>
          </w:p>
        </w:tc>
        <w:tc>
          <w:tcPr>
            <w:tcW w:w="3680" w:type="dxa"/>
          </w:tcPr>
          <w:p w14:paraId="29270191"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Electric buses </w:t>
            </w:r>
          </w:p>
        </w:tc>
        <w:tc>
          <w:tcPr>
            <w:tcW w:w="4840" w:type="dxa"/>
          </w:tcPr>
          <w:p w14:paraId="5873CE4C"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Introducing electric buses 50% up to 2030 and 90% up to 2040.</w:t>
            </w:r>
          </w:p>
        </w:tc>
      </w:tr>
      <w:tr w:rsidR="00393D32" w:rsidRPr="00393D32" w14:paraId="144F1013" w14:textId="77777777" w:rsidTr="006E33C3">
        <w:trPr>
          <w:jc w:val="center"/>
        </w:trPr>
        <w:tc>
          <w:tcPr>
            <w:tcW w:w="830" w:type="dxa"/>
          </w:tcPr>
          <w:p w14:paraId="326138E7"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lastRenderedPageBreak/>
              <w:t>ES3.4</w:t>
            </w:r>
          </w:p>
        </w:tc>
        <w:tc>
          <w:tcPr>
            <w:tcW w:w="3680" w:type="dxa"/>
          </w:tcPr>
          <w:p w14:paraId="56D0D3F4"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Electric trucks</w:t>
            </w:r>
          </w:p>
        </w:tc>
        <w:tc>
          <w:tcPr>
            <w:tcW w:w="4840" w:type="dxa"/>
          </w:tcPr>
          <w:p w14:paraId="24600FE8"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Introducing electric trucks 50% up to 2030 and 90% up to 2040.</w:t>
            </w:r>
          </w:p>
        </w:tc>
      </w:tr>
      <w:tr w:rsidR="00393D32" w:rsidRPr="00393D32" w14:paraId="4358FAD7" w14:textId="77777777" w:rsidTr="006E33C3">
        <w:trPr>
          <w:jc w:val="center"/>
        </w:trPr>
        <w:tc>
          <w:tcPr>
            <w:tcW w:w="830" w:type="dxa"/>
          </w:tcPr>
          <w:p w14:paraId="382865BF"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ES4</w:t>
            </w:r>
          </w:p>
        </w:tc>
        <w:tc>
          <w:tcPr>
            <w:tcW w:w="3680" w:type="dxa"/>
          </w:tcPr>
          <w:p w14:paraId="00D416C0"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b/>
                <w:sz w:val="24"/>
                <w:szCs w:val="24"/>
              </w:rPr>
              <w:t xml:space="preserve">Go-Green Agriculture Scenario   </w:t>
            </w:r>
          </w:p>
        </w:tc>
        <w:tc>
          <w:tcPr>
            <w:tcW w:w="4840" w:type="dxa"/>
          </w:tcPr>
          <w:p w14:paraId="6379665D"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To save up to 0.3 MTOE in the agriculture sector </w:t>
            </w:r>
            <w:r w:rsidR="00256109">
              <w:rPr>
                <w:rFonts w:ascii="Times New Roman" w:hAnsi="Times New Roman" w:cs="Times New Roman"/>
                <w:sz w:val="24"/>
                <w:szCs w:val="24"/>
              </w:rPr>
              <w:t xml:space="preserve">in </w:t>
            </w:r>
            <w:r w:rsidRPr="00393D32">
              <w:rPr>
                <w:rFonts w:ascii="Times New Roman" w:hAnsi="Times New Roman" w:cs="Times New Roman"/>
                <w:sz w:val="24"/>
                <w:szCs w:val="24"/>
              </w:rPr>
              <w:t xml:space="preserve">2023 according to NEECA. </w:t>
            </w:r>
          </w:p>
        </w:tc>
      </w:tr>
      <w:tr w:rsidR="00393D32" w:rsidRPr="00393D32" w14:paraId="42850EC6" w14:textId="77777777" w:rsidTr="006E33C3">
        <w:trPr>
          <w:jc w:val="center"/>
        </w:trPr>
        <w:tc>
          <w:tcPr>
            <w:tcW w:w="830" w:type="dxa"/>
          </w:tcPr>
          <w:p w14:paraId="479BF57A"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ES4.1</w:t>
            </w:r>
          </w:p>
        </w:tc>
        <w:tc>
          <w:tcPr>
            <w:tcW w:w="3680" w:type="dxa"/>
          </w:tcPr>
          <w:p w14:paraId="45252E53" w14:textId="77777777" w:rsidR="004B1FE8" w:rsidRPr="00393D32" w:rsidRDefault="004B1FE8" w:rsidP="00166885">
            <w:pPr>
              <w:tabs>
                <w:tab w:val="left" w:pos="1704"/>
              </w:tabs>
              <w:snapToGrid w:val="0"/>
              <w:spacing w:line="360" w:lineRule="auto"/>
              <w:jc w:val="both"/>
              <w:rPr>
                <w:rFonts w:ascii="Times New Roman" w:hAnsi="Times New Roman" w:cs="Times New Roman"/>
                <w:sz w:val="24"/>
                <w:szCs w:val="24"/>
              </w:rPr>
            </w:pPr>
            <w:bookmarkStart w:id="3" w:name="_Hlk158649682"/>
            <w:r w:rsidRPr="00393D32">
              <w:rPr>
                <w:rFonts w:ascii="Times New Roman" w:hAnsi="Times New Roman" w:cs="Times New Roman"/>
                <w:sz w:val="24"/>
                <w:szCs w:val="24"/>
              </w:rPr>
              <w:t xml:space="preserve">Mechanical </w:t>
            </w:r>
            <w:r w:rsidR="00256109">
              <w:rPr>
                <w:rFonts w:ascii="Times New Roman" w:hAnsi="Times New Roman" w:cs="Times New Roman"/>
                <w:sz w:val="24"/>
                <w:szCs w:val="24"/>
              </w:rPr>
              <w:t>pump</w:t>
            </w:r>
            <w:r w:rsidRPr="00393D32">
              <w:rPr>
                <w:rFonts w:ascii="Times New Roman" w:hAnsi="Times New Roman" w:cs="Times New Roman"/>
                <w:sz w:val="24"/>
                <w:szCs w:val="24"/>
              </w:rPr>
              <w:t xml:space="preserve"> installation and maintenance</w:t>
            </w:r>
            <w:bookmarkEnd w:id="3"/>
          </w:p>
        </w:tc>
        <w:tc>
          <w:tcPr>
            <w:tcW w:w="4840" w:type="dxa"/>
          </w:tcPr>
          <w:p w14:paraId="3E6EFA4C"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Based on “S4” to save 12% of energy up to 2030</w:t>
            </w:r>
          </w:p>
        </w:tc>
      </w:tr>
      <w:tr w:rsidR="00393D32" w:rsidRPr="00393D32" w14:paraId="2C659E44" w14:textId="77777777" w:rsidTr="006E33C3">
        <w:trPr>
          <w:jc w:val="center"/>
        </w:trPr>
        <w:tc>
          <w:tcPr>
            <w:tcW w:w="830" w:type="dxa"/>
          </w:tcPr>
          <w:p w14:paraId="0594A19E"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ES4.2</w:t>
            </w:r>
          </w:p>
        </w:tc>
        <w:tc>
          <w:tcPr>
            <w:tcW w:w="3680" w:type="dxa"/>
          </w:tcPr>
          <w:p w14:paraId="3208DC27" w14:textId="77777777" w:rsidR="004B1FE8" w:rsidRPr="00393D32" w:rsidRDefault="004B1FE8" w:rsidP="00166885">
            <w:pPr>
              <w:tabs>
                <w:tab w:val="left" w:pos="1704"/>
              </w:tabs>
              <w:snapToGrid w:val="0"/>
              <w:spacing w:line="360" w:lineRule="auto"/>
              <w:jc w:val="both"/>
              <w:rPr>
                <w:rFonts w:ascii="Times New Roman" w:hAnsi="Times New Roman" w:cs="Times New Roman"/>
                <w:sz w:val="24"/>
                <w:szCs w:val="24"/>
              </w:rPr>
            </w:pPr>
            <w:bookmarkStart w:id="4" w:name="_Hlk158649698"/>
            <w:r w:rsidRPr="00393D32">
              <w:rPr>
                <w:rFonts w:ascii="Times New Roman" w:hAnsi="Times New Roman" w:cs="Times New Roman"/>
                <w:sz w:val="24"/>
                <w:szCs w:val="24"/>
              </w:rPr>
              <w:t>Efficient electric motors and diesel engines</w:t>
            </w:r>
            <w:bookmarkEnd w:id="4"/>
          </w:p>
        </w:tc>
        <w:tc>
          <w:tcPr>
            <w:tcW w:w="4840" w:type="dxa"/>
          </w:tcPr>
          <w:p w14:paraId="18F28F06"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Based on “S4” to save 20% of energy up to 2030</w:t>
            </w:r>
          </w:p>
        </w:tc>
      </w:tr>
      <w:tr w:rsidR="00393D32" w:rsidRPr="00393D32" w14:paraId="79796F91" w14:textId="77777777" w:rsidTr="006E33C3">
        <w:trPr>
          <w:jc w:val="center"/>
        </w:trPr>
        <w:tc>
          <w:tcPr>
            <w:tcW w:w="830" w:type="dxa"/>
          </w:tcPr>
          <w:p w14:paraId="51755C50"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ES4.3</w:t>
            </w:r>
          </w:p>
        </w:tc>
        <w:tc>
          <w:tcPr>
            <w:tcW w:w="3680" w:type="dxa"/>
          </w:tcPr>
          <w:p w14:paraId="1E633917" w14:textId="77777777" w:rsidR="004B1FE8" w:rsidRPr="00393D32" w:rsidRDefault="004B1FE8" w:rsidP="00166885">
            <w:pPr>
              <w:tabs>
                <w:tab w:val="left" w:pos="1704"/>
              </w:tabs>
              <w:snapToGrid w:val="0"/>
              <w:spacing w:line="360" w:lineRule="auto"/>
              <w:jc w:val="both"/>
              <w:rPr>
                <w:rFonts w:ascii="Times New Roman" w:hAnsi="Times New Roman" w:cs="Times New Roman"/>
                <w:sz w:val="24"/>
                <w:szCs w:val="24"/>
              </w:rPr>
            </w:pPr>
            <w:bookmarkStart w:id="5" w:name="_Hlk158649719"/>
            <w:r w:rsidRPr="00393D32">
              <w:rPr>
                <w:rFonts w:ascii="Times New Roman" w:hAnsi="Times New Roman" w:cs="Times New Roman"/>
                <w:sz w:val="24"/>
                <w:szCs w:val="24"/>
              </w:rPr>
              <w:t>Installation of Variable Speed Drive</w:t>
            </w:r>
            <w:bookmarkEnd w:id="5"/>
          </w:p>
        </w:tc>
        <w:tc>
          <w:tcPr>
            <w:tcW w:w="4840" w:type="dxa"/>
          </w:tcPr>
          <w:p w14:paraId="5F91DA88"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Based on “S4” to save 5% of energy up to 2030</w:t>
            </w:r>
          </w:p>
        </w:tc>
      </w:tr>
      <w:tr w:rsidR="00393D32" w:rsidRPr="00393D32" w14:paraId="128B5677" w14:textId="77777777" w:rsidTr="006E33C3">
        <w:trPr>
          <w:jc w:val="center"/>
        </w:trPr>
        <w:tc>
          <w:tcPr>
            <w:tcW w:w="830" w:type="dxa"/>
          </w:tcPr>
          <w:p w14:paraId="42B9F78D"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ES5</w:t>
            </w:r>
          </w:p>
        </w:tc>
        <w:tc>
          <w:tcPr>
            <w:tcW w:w="3680" w:type="dxa"/>
          </w:tcPr>
          <w:p w14:paraId="735AA905"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Energy Saving Tech-Reform Scenario</w:t>
            </w:r>
          </w:p>
        </w:tc>
        <w:tc>
          <w:tcPr>
            <w:tcW w:w="4840" w:type="dxa"/>
          </w:tcPr>
          <w:p w14:paraId="78132BFC"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Energy Saving Tech-Reform Scenario (refer to </w:t>
            </w:r>
            <w:bookmarkStart w:id="6" w:name="_Hlk158659492"/>
            <w:r w:rsidRPr="00393D32">
              <w:rPr>
                <w:rFonts w:ascii="Times New Roman" w:hAnsi="Times New Roman" w:cs="Times New Roman"/>
                <w:sz w:val="24"/>
                <w:szCs w:val="24"/>
              </w:rPr>
              <w:t xml:space="preserve">the industrial sector is high in the consumption of energy, so the </w:t>
            </w:r>
            <w:r w:rsidR="00256109">
              <w:rPr>
                <w:rFonts w:ascii="Times New Roman" w:hAnsi="Times New Roman" w:cs="Times New Roman"/>
                <w:sz w:val="24"/>
                <w:szCs w:val="24"/>
              </w:rPr>
              <w:t>advanced</w:t>
            </w:r>
            <w:r w:rsidRPr="00393D32">
              <w:rPr>
                <w:rFonts w:ascii="Times New Roman" w:hAnsi="Times New Roman" w:cs="Times New Roman"/>
                <w:sz w:val="24"/>
                <w:szCs w:val="24"/>
              </w:rPr>
              <w:t xml:space="preserve"> technologies and </w:t>
            </w:r>
            <w:r w:rsidR="00256109">
              <w:rPr>
                <w:rFonts w:ascii="Times New Roman" w:hAnsi="Times New Roman" w:cs="Times New Roman"/>
                <w:sz w:val="24"/>
                <w:szCs w:val="24"/>
              </w:rPr>
              <w:t>advanced</w:t>
            </w:r>
            <w:r w:rsidRPr="00393D32">
              <w:rPr>
                <w:rFonts w:ascii="Times New Roman" w:hAnsi="Times New Roman" w:cs="Times New Roman"/>
                <w:sz w:val="24"/>
                <w:szCs w:val="24"/>
              </w:rPr>
              <w:t xml:space="preserve"> mechanization </w:t>
            </w:r>
            <w:r w:rsidR="00256109">
              <w:rPr>
                <w:rFonts w:ascii="Times New Roman" w:hAnsi="Times New Roman" w:cs="Times New Roman"/>
                <w:sz w:val="24"/>
                <w:szCs w:val="24"/>
              </w:rPr>
              <w:t>that</w:t>
            </w:r>
            <w:r w:rsidRPr="00393D32">
              <w:rPr>
                <w:rFonts w:ascii="Times New Roman" w:hAnsi="Times New Roman" w:cs="Times New Roman"/>
                <w:sz w:val="24"/>
                <w:szCs w:val="24"/>
              </w:rPr>
              <w:t xml:space="preserve"> are energy efficient are planned to </w:t>
            </w:r>
            <w:r w:rsidR="00256109">
              <w:rPr>
                <w:rFonts w:ascii="Times New Roman" w:hAnsi="Times New Roman" w:cs="Times New Roman"/>
                <w:sz w:val="24"/>
                <w:szCs w:val="24"/>
              </w:rPr>
              <w:t>be introduced</w:t>
            </w:r>
            <w:r w:rsidRPr="00393D32">
              <w:rPr>
                <w:rFonts w:ascii="Times New Roman" w:hAnsi="Times New Roman" w:cs="Times New Roman"/>
                <w:sz w:val="24"/>
                <w:szCs w:val="24"/>
              </w:rPr>
              <w:t xml:space="preserve"> in </w:t>
            </w:r>
            <w:r w:rsidR="00256109">
              <w:rPr>
                <w:rFonts w:ascii="Times New Roman" w:hAnsi="Times New Roman" w:cs="Times New Roman"/>
                <w:sz w:val="24"/>
                <w:szCs w:val="24"/>
              </w:rPr>
              <w:t xml:space="preserve">the </w:t>
            </w:r>
            <w:r w:rsidRPr="00393D32">
              <w:rPr>
                <w:rFonts w:ascii="Times New Roman" w:hAnsi="Times New Roman" w:cs="Times New Roman"/>
                <w:sz w:val="24"/>
                <w:szCs w:val="24"/>
              </w:rPr>
              <w:t>industrial sector</w:t>
            </w:r>
            <w:bookmarkEnd w:id="6"/>
            <w:r w:rsidRPr="00393D32">
              <w:rPr>
                <w:rFonts w:ascii="Times New Roman" w:hAnsi="Times New Roman" w:cs="Times New Roman"/>
                <w:sz w:val="24"/>
                <w:szCs w:val="24"/>
              </w:rPr>
              <w:t>) to save up to 1.3 MTOE 2023 according to NEECA.</w:t>
            </w:r>
          </w:p>
        </w:tc>
      </w:tr>
      <w:tr w:rsidR="00393D32" w:rsidRPr="00393D32" w14:paraId="68895B77" w14:textId="77777777" w:rsidTr="006E33C3">
        <w:trPr>
          <w:jc w:val="center"/>
        </w:trPr>
        <w:tc>
          <w:tcPr>
            <w:tcW w:w="830" w:type="dxa"/>
          </w:tcPr>
          <w:p w14:paraId="0680C6B6"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ES5.1</w:t>
            </w:r>
          </w:p>
        </w:tc>
        <w:tc>
          <w:tcPr>
            <w:tcW w:w="3680" w:type="dxa"/>
          </w:tcPr>
          <w:p w14:paraId="1553DF6E"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Textile industry reforms</w:t>
            </w:r>
          </w:p>
          <w:p w14:paraId="4DAF31FD" w14:textId="77777777" w:rsidR="004B1FE8" w:rsidRPr="00393D32" w:rsidRDefault="004B1FE8" w:rsidP="00166885">
            <w:pPr>
              <w:snapToGrid w:val="0"/>
              <w:spacing w:line="360" w:lineRule="auto"/>
              <w:jc w:val="both"/>
              <w:rPr>
                <w:rFonts w:ascii="Times New Roman" w:hAnsi="Times New Roman" w:cs="Times New Roman"/>
                <w:sz w:val="24"/>
                <w:szCs w:val="24"/>
              </w:rPr>
            </w:pPr>
          </w:p>
        </w:tc>
        <w:tc>
          <w:tcPr>
            <w:tcW w:w="4840" w:type="dxa"/>
          </w:tcPr>
          <w:p w14:paraId="551D8522"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 Energy savings of up to .2 MTOE by 2030.</w:t>
            </w:r>
          </w:p>
        </w:tc>
      </w:tr>
      <w:tr w:rsidR="00393D32" w:rsidRPr="00393D32" w14:paraId="1DC83CF3" w14:textId="77777777" w:rsidTr="006E33C3">
        <w:trPr>
          <w:jc w:val="center"/>
        </w:trPr>
        <w:tc>
          <w:tcPr>
            <w:tcW w:w="830" w:type="dxa"/>
          </w:tcPr>
          <w:p w14:paraId="7886D691"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ES5.2</w:t>
            </w:r>
          </w:p>
        </w:tc>
        <w:tc>
          <w:tcPr>
            <w:tcW w:w="3680" w:type="dxa"/>
          </w:tcPr>
          <w:p w14:paraId="67E27FEB"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Sugar mills reforms</w:t>
            </w:r>
          </w:p>
          <w:p w14:paraId="77525553" w14:textId="77777777" w:rsidR="004B1FE8" w:rsidRPr="00393D32" w:rsidRDefault="004B1FE8" w:rsidP="00166885">
            <w:pPr>
              <w:snapToGrid w:val="0"/>
              <w:spacing w:line="360" w:lineRule="auto"/>
              <w:jc w:val="both"/>
              <w:rPr>
                <w:rFonts w:ascii="Times New Roman" w:hAnsi="Times New Roman" w:cs="Times New Roman"/>
                <w:sz w:val="24"/>
                <w:szCs w:val="24"/>
              </w:rPr>
            </w:pPr>
          </w:p>
        </w:tc>
        <w:tc>
          <w:tcPr>
            <w:tcW w:w="4840" w:type="dxa"/>
          </w:tcPr>
          <w:p w14:paraId="2CA05421"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Energy savings of up to .1 MTOE by 2030.</w:t>
            </w:r>
          </w:p>
        </w:tc>
      </w:tr>
      <w:tr w:rsidR="00393D32" w:rsidRPr="00393D32" w14:paraId="4727C5CA" w14:textId="77777777" w:rsidTr="006E33C3">
        <w:trPr>
          <w:jc w:val="center"/>
        </w:trPr>
        <w:tc>
          <w:tcPr>
            <w:tcW w:w="830" w:type="dxa"/>
          </w:tcPr>
          <w:p w14:paraId="25D6EA48"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ES5.3</w:t>
            </w:r>
          </w:p>
        </w:tc>
        <w:tc>
          <w:tcPr>
            <w:tcW w:w="3680" w:type="dxa"/>
          </w:tcPr>
          <w:p w14:paraId="40E681E1"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Installation of Variable - </w:t>
            </w:r>
            <w:r w:rsidR="00256109">
              <w:rPr>
                <w:rFonts w:ascii="Times New Roman" w:hAnsi="Times New Roman" w:cs="Times New Roman"/>
                <w:sz w:val="24"/>
                <w:szCs w:val="24"/>
              </w:rPr>
              <w:t>variable-frequency drive</w:t>
            </w:r>
            <w:r w:rsidRPr="00393D32">
              <w:rPr>
                <w:rFonts w:ascii="Times New Roman" w:hAnsi="Times New Roman" w:cs="Times New Roman"/>
                <w:sz w:val="24"/>
                <w:szCs w:val="24"/>
              </w:rPr>
              <w:t xml:space="preserve"> (VFD) &amp; Thermal insulation of steam lines</w:t>
            </w:r>
          </w:p>
        </w:tc>
        <w:tc>
          <w:tcPr>
            <w:tcW w:w="4840" w:type="dxa"/>
          </w:tcPr>
          <w:p w14:paraId="661177A4"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Energy savings of up to .6 MTOE by 2030.</w:t>
            </w:r>
          </w:p>
        </w:tc>
      </w:tr>
      <w:tr w:rsidR="00393D32" w:rsidRPr="00393D32" w14:paraId="1DA1A3B4" w14:textId="77777777" w:rsidTr="006E33C3">
        <w:trPr>
          <w:jc w:val="center"/>
        </w:trPr>
        <w:tc>
          <w:tcPr>
            <w:tcW w:w="830" w:type="dxa"/>
          </w:tcPr>
          <w:p w14:paraId="5BDBAFD9"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ES5.4</w:t>
            </w:r>
          </w:p>
        </w:tc>
        <w:tc>
          <w:tcPr>
            <w:tcW w:w="3680" w:type="dxa"/>
          </w:tcPr>
          <w:p w14:paraId="15F5ED07"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Cement industry reforms</w:t>
            </w:r>
          </w:p>
        </w:tc>
        <w:tc>
          <w:tcPr>
            <w:tcW w:w="4840" w:type="dxa"/>
          </w:tcPr>
          <w:p w14:paraId="1692ED2D"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Energy savings of up to .18 MTOE by 2030.</w:t>
            </w:r>
          </w:p>
        </w:tc>
      </w:tr>
      <w:tr w:rsidR="00393D32" w:rsidRPr="00393D32" w14:paraId="7488D877" w14:textId="77777777" w:rsidTr="006E33C3">
        <w:trPr>
          <w:jc w:val="center"/>
        </w:trPr>
        <w:tc>
          <w:tcPr>
            <w:tcW w:w="830" w:type="dxa"/>
          </w:tcPr>
          <w:p w14:paraId="5D11E763"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ES5.5</w:t>
            </w:r>
          </w:p>
        </w:tc>
        <w:tc>
          <w:tcPr>
            <w:tcW w:w="3680" w:type="dxa"/>
          </w:tcPr>
          <w:p w14:paraId="12E6A73F"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Pulp and Paper industry reforms</w:t>
            </w:r>
          </w:p>
        </w:tc>
        <w:tc>
          <w:tcPr>
            <w:tcW w:w="4840" w:type="dxa"/>
          </w:tcPr>
          <w:p w14:paraId="35AACD0A"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Energy savings of up to .1 MTOE by 2030.</w:t>
            </w:r>
          </w:p>
        </w:tc>
      </w:tr>
      <w:tr w:rsidR="00393D32" w:rsidRPr="00393D32" w14:paraId="2326F3C9" w14:textId="77777777" w:rsidTr="006E33C3">
        <w:trPr>
          <w:jc w:val="center"/>
        </w:trPr>
        <w:tc>
          <w:tcPr>
            <w:tcW w:w="830" w:type="dxa"/>
          </w:tcPr>
          <w:p w14:paraId="40E53348"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ES5.6</w:t>
            </w:r>
          </w:p>
        </w:tc>
        <w:tc>
          <w:tcPr>
            <w:tcW w:w="3680" w:type="dxa"/>
          </w:tcPr>
          <w:p w14:paraId="33ED3A48"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Fertilizer Industry reform</w:t>
            </w:r>
          </w:p>
        </w:tc>
        <w:tc>
          <w:tcPr>
            <w:tcW w:w="4840" w:type="dxa"/>
          </w:tcPr>
          <w:p w14:paraId="2EE1AFED"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Energy savings of up to .5 MTOE by 2030.</w:t>
            </w:r>
          </w:p>
        </w:tc>
      </w:tr>
      <w:tr w:rsidR="00393D32" w:rsidRPr="00393D32" w14:paraId="0FEF8AA9" w14:textId="77777777" w:rsidTr="006E33C3">
        <w:trPr>
          <w:jc w:val="center"/>
        </w:trPr>
        <w:tc>
          <w:tcPr>
            <w:tcW w:w="830" w:type="dxa"/>
          </w:tcPr>
          <w:p w14:paraId="286333F2"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ES5.7</w:t>
            </w:r>
          </w:p>
        </w:tc>
        <w:tc>
          <w:tcPr>
            <w:tcW w:w="3680" w:type="dxa"/>
          </w:tcPr>
          <w:p w14:paraId="00CCA129"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Brick Kilns reforms</w:t>
            </w:r>
          </w:p>
        </w:tc>
        <w:tc>
          <w:tcPr>
            <w:tcW w:w="4840" w:type="dxa"/>
          </w:tcPr>
          <w:p w14:paraId="454F57FE"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30% of the energy efficiency gains from total energy used up to 2030.</w:t>
            </w:r>
          </w:p>
        </w:tc>
      </w:tr>
      <w:tr w:rsidR="00393D32" w:rsidRPr="00393D32" w14:paraId="3E446B42" w14:textId="77777777" w:rsidTr="006E33C3">
        <w:trPr>
          <w:jc w:val="center"/>
        </w:trPr>
        <w:tc>
          <w:tcPr>
            <w:tcW w:w="830" w:type="dxa"/>
          </w:tcPr>
          <w:p w14:paraId="73A73D19"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ES6</w:t>
            </w:r>
          </w:p>
        </w:tc>
        <w:tc>
          <w:tcPr>
            <w:tcW w:w="3680" w:type="dxa"/>
          </w:tcPr>
          <w:p w14:paraId="71DFE1C3" w14:textId="77777777" w:rsidR="004B1FE8" w:rsidRPr="00393D32" w:rsidRDefault="004B1FE8" w:rsidP="00166885">
            <w:pPr>
              <w:snapToGrid w:val="0"/>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Efficient Energy Generation Scenario</w:t>
            </w:r>
          </w:p>
          <w:p w14:paraId="34E4F572" w14:textId="77777777" w:rsidR="004B1FE8" w:rsidRPr="00393D32" w:rsidRDefault="004B1FE8" w:rsidP="00166885">
            <w:pPr>
              <w:snapToGrid w:val="0"/>
              <w:spacing w:line="360" w:lineRule="auto"/>
              <w:jc w:val="both"/>
              <w:rPr>
                <w:rFonts w:ascii="Times New Roman" w:hAnsi="Times New Roman" w:cs="Times New Roman"/>
                <w:sz w:val="24"/>
                <w:szCs w:val="24"/>
              </w:rPr>
            </w:pPr>
          </w:p>
        </w:tc>
        <w:tc>
          <w:tcPr>
            <w:tcW w:w="4840" w:type="dxa"/>
          </w:tcPr>
          <w:p w14:paraId="4EA8D6C7"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lastRenderedPageBreak/>
              <w:t xml:space="preserve">Based on future renewable energy </w:t>
            </w:r>
            <w:r w:rsidR="00256109">
              <w:rPr>
                <w:rFonts w:ascii="Times New Roman" w:hAnsi="Times New Roman" w:cs="Times New Roman"/>
                <w:sz w:val="24"/>
                <w:szCs w:val="24"/>
              </w:rPr>
              <w:t>projections</w:t>
            </w:r>
            <w:r w:rsidRPr="00393D32">
              <w:rPr>
                <w:rFonts w:ascii="Times New Roman" w:hAnsi="Times New Roman" w:cs="Times New Roman"/>
                <w:sz w:val="24"/>
                <w:szCs w:val="24"/>
              </w:rPr>
              <w:t xml:space="preserve"> given by the IGCEP 2021-2030.</w:t>
            </w:r>
          </w:p>
        </w:tc>
      </w:tr>
      <w:tr w:rsidR="00393D32" w:rsidRPr="00393D32" w14:paraId="658F40FD" w14:textId="77777777" w:rsidTr="006E33C3">
        <w:trPr>
          <w:jc w:val="center"/>
        </w:trPr>
        <w:tc>
          <w:tcPr>
            <w:tcW w:w="830" w:type="dxa"/>
          </w:tcPr>
          <w:p w14:paraId="61D38A15"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ES6.1</w:t>
            </w:r>
          </w:p>
        </w:tc>
        <w:tc>
          <w:tcPr>
            <w:tcW w:w="3680" w:type="dxa"/>
          </w:tcPr>
          <w:p w14:paraId="0B652FEF"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Renewable Energy</w:t>
            </w:r>
          </w:p>
        </w:tc>
        <w:tc>
          <w:tcPr>
            <w:tcW w:w="4840" w:type="dxa"/>
          </w:tcPr>
          <w:p w14:paraId="43EC914E" w14:textId="77777777" w:rsidR="004B1FE8" w:rsidRPr="00393D32" w:rsidRDefault="004B1FE8" w:rsidP="00166885">
            <w:pPr>
              <w:snapToGrid w:val="0"/>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Based on </w:t>
            </w:r>
            <w:r w:rsidRPr="00393D32">
              <w:rPr>
                <w:rFonts w:ascii="Times New Roman" w:hAnsi="Times New Roman" w:cs="Times New Roman"/>
              </w:rPr>
              <w:t>ARE Policy 2019, over 20% generation by 2030. ARE technologies by 2025 and 30% by 2030 (20X25 and 30X30 target).</w:t>
            </w:r>
          </w:p>
        </w:tc>
      </w:tr>
    </w:tbl>
    <w:p w14:paraId="43BD1A14" w14:textId="77777777" w:rsidR="004B1FE8" w:rsidRPr="00393D32" w:rsidRDefault="004B1FE8"/>
    <w:p w14:paraId="489E47E2" w14:textId="2637AF00" w:rsidR="004B1FE8" w:rsidRPr="00393D32" w:rsidRDefault="004B1FE8" w:rsidP="00255C6B">
      <w:pPr>
        <w:jc w:val="center"/>
        <w:rPr>
          <w:rFonts w:ascii="Times New Roman" w:hAnsi="Times New Roman" w:cs="Times New Roman"/>
          <w:sz w:val="24"/>
          <w:szCs w:val="24"/>
        </w:rPr>
      </w:pPr>
      <w:r w:rsidRPr="00393D32">
        <w:rPr>
          <w:rFonts w:ascii="Times New Roman" w:hAnsi="Times New Roman" w:cs="Times New Roman"/>
          <w:sz w:val="24"/>
          <w:szCs w:val="24"/>
        </w:rPr>
        <w:t>Table</w:t>
      </w:r>
      <w:r w:rsidR="00964A0A" w:rsidRPr="00393D32">
        <w:rPr>
          <w:rFonts w:ascii="Times New Roman" w:hAnsi="Times New Roman" w:cs="Times New Roman"/>
          <w:sz w:val="24"/>
          <w:szCs w:val="24"/>
        </w:rPr>
        <w:t xml:space="preserve"> </w:t>
      </w:r>
      <w:r w:rsidR="00D21B31" w:rsidRPr="00F31C14">
        <w:rPr>
          <w:rFonts w:ascii="Times New Roman" w:hAnsi="Times New Roman" w:cs="Times New Roman"/>
          <w:bCs/>
          <w:sz w:val="24"/>
          <w:szCs w:val="24"/>
        </w:rPr>
        <w:t>S</w:t>
      </w:r>
      <w:r w:rsidR="00255C6B" w:rsidRPr="00393D32">
        <w:rPr>
          <w:rFonts w:ascii="Times New Roman" w:hAnsi="Times New Roman" w:cs="Times New Roman"/>
          <w:sz w:val="24"/>
          <w:szCs w:val="24"/>
        </w:rPr>
        <w:t>2. WEAP</w:t>
      </w:r>
      <w:r w:rsidRPr="00393D32">
        <w:rPr>
          <w:rFonts w:ascii="Times New Roman" w:hAnsi="Times New Roman" w:cs="Times New Roman"/>
          <w:sz w:val="24"/>
          <w:szCs w:val="24"/>
        </w:rPr>
        <w:t xml:space="preserve"> scenarios and parameters setting</w:t>
      </w:r>
    </w:p>
    <w:tbl>
      <w:tblPr>
        <w:tblStyle w:val="a3"/>
        <w:tblW w:w="9355" w:type="dxa"/>
        <w:jc w:val="center"/>
        <w:tblLook w:val="04A0" w:firstRow="1" w:lastRow="0" w:firstColumn="1" w:lastColumn="0" w:noHBand="0" w:noVBand="1"/>
      </w:tblPr>
      <w:tblGrid>
        <w:gridCol w:w="1056"/>
        <w:gridCol w:w="1723"/>
        <w:gridCol w:w="6576"/>
      </w:tblGrid>
      <w:tr w:rsidR="00393D32" w:rsidRPr="00393D32" w14:paraId="75A90F9D" w14:textId="77777777" w:rsidTr="006E33C3">
        <w:trPr>
          <w:trHeight w:val="539"/>
          <w:jc w:val="center"/>
        </w:trPr>
        <w:tc>
          <w:tcPr>
            <w:tcW w:w="1056" w:type="dxa"/>
          </w:tcPr>
          <w:p w14:paraId="7B38820A" w14:textId="77777777" w:rsidR="004B1FE8" w:rsidRPr="00393D32" w:rsidRDefault="004B1FE8" w:rsidP="00166885">
            <w:pPr>
              <w:spacing w:line="360" w:lineRule="auto"/>
              <w:jc w:val="center"/>
              <w:rPr>
                <w:rFonts w:ascii="Times New Roman" w:hAnsi="Times New Roman" w:cs="Times New Roman"/>
                <w:sz w:val="24"/>
                <w:szCs w:val="24"/>
              </w:rPr>
            </w:pPr>
            <w:r w:rsidRPr="00393D32">
              <w:rPr>
                <w:rFonts w:ascii="Times New Roman" w:hAnsi="Times New Roman" w:cs="Times New Roman"/>
                <w:b/>
                <w:sz w:val="24"/>
                <w:szCs w:val="24"/>
              </w:rPr>
              <w:t>Name</w:t>
            </w:r>
          </w:p>
        </w:tc>
        <w:tc>
          <w:tcPr>
            <w:tcW w:w="1723" w:type="dxa"/>
          </w:tcPr>
          <w:p w14:paraId="41E1AAC6" w14:textId="77777777" w:rsidR="004B1FE8" w:rsidRPr="00393D32" w:rsidRDefault="004B1FE8" w:rsidP="00166885">
            <w:pPr>
              <w:spacing w:line="360" w:lineRule="auto"/>
              <w:jc w:val="center"/>
              <w:rPr>
                <w:rFonts w:ascii="Times New Roman" w:hAnsi="Times New Roman" w:cs="Times New Roman"/>
                <w:sz w:val="24"/>
                <w:szCs w:val="24"/>
              </w:rPr>
            </w:pPr>
            <w:r w:rsidRPr="00393D32">
              <w:rPr>
                <w:rFonts w:ascii="Times New Roman" w:hAnsi="Times New Roman" w:cs="Times New Roman"/>
                <w:b/>
                <w:sz w:val="24"/>
                <w:szCs w:val="24"/>
              </w:rPr>
              <w:t>Scenarios</w:t>
            </w:r>
          </w:p>
        </w:tc>
        <w:tc>
          <w:tcPr>
            <w:tcW w:w="6576" w:type="dxa"/>
          </w:tcPr>
          <w:p w14:paraId="09615290" w14:textId="77777777" w:rsidR="004B1FE8" w:rsidRPr="00393D32" w:rsidRDefault="004B1FE8" w:rsidP="00166885">
            <w:pPr>
              <w:spacing w:line="360" w:lineRule="auto"/>
              <w:jc w:val="center"/>
              <w:rPr>
                <w:rFonts w:ascii="Times New Roman" w:hAnsi="Times New Roman" w:cs="Times New Roman"/>
                <w:sz w:val="24"/>
                <w:szCs w:val="24"/>
              </w:rPr>
            </w:pPr>
            <w:r w:rsidRPr="00393D32">
              <w:rPr>
                <w:rFonts w:ascii="Times New Roman" w:hAnsi="Times New Roman" w:cs="Times New Roman"/>
                <w:b/>
                <w:sz w:val="24"/>
                <w:szCs w:val="24"/>
              </w:rPr>
              <w:t>Setting</w:t>
            </w:r>
          </w:p>
        </w:tc>
      </w:tr>
      <w:tr w:rsidR="00393D32" w:rsidRPr="00393D32" w14:paraId="71D4FEAB" w14:textId="77777777" w:rsidTr="006E33C3">
        <w:trPr>
          <w:trHeight w:val="539"/>
          <w:jc w:val="center"/>
        </w:trPr>
        <w:tc>
          <w:tcPr>
            <w:tcW w:w="1056" w:type="dxa"/>
          </w:tcPr>
          <w:p w14:paraId="71C8E7CD"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WS1</w:t>
            </w:r>
          </w:p>
        </w:tc>
        <w:tc>
          <w:tcPr>
            <w:tcW w:w="1723" w:type="dxa"/>
          </w:tcPr>
          <w:p w14:paraId="4371A7B9"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BAU Scenario</w:t>
            </w:r>
          </w:p>
        </w:tc>
        <w:tc>
          <w:tcPr>
            <w:tcW w:w="6576" w:type="dxa"/>
          </w:tcPr>
          <w:p w14:paraId="7A3C2E9C"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Keep </w:t>
            </w:r>
            <w:r w:rsidR="00256109">
              <w:rPr>
                <w:rFonts w:ascii="Times New Roman" w:hAnsi="Times New Roman" w:cs="Times New Roman"/>
                <w:sz w:val="24"/>
                <w:szCs w:val="24"/>
              </w:rPr>
              <w:t xml:space="preserve">a </w:t>
            </w:r>
            <w:r w:rsidRPr="00393D32">
              <w:rPr>
                <w:rFonts w:ascii="Times New Roman" w:hAnsi="Times New Roman" w:cs="Times New Roman"/>
                <w:sz w:val="24"/>
                <w:szCs w:val="24"/>
              </w:rPr>
              <w:t xml:space="preserve">normal growth trend for projecting water consumption from 2020 to 2050.  </w:t>
            </w:r>
          </w:p>
        </w:tc>
      </w:tr>
      <w:tr w:rsidR="00393D32" w:rsidRPr="00393D32" w14:paraId="28D6C948" w14:textId="77777777" w:rsidTr="006E33C3">
        <w:trPr>
          <w:trHeight w:val="539"/>
          <w:jc w:val="center"/>
        </w:trPr>
        <w:tc>
          <w:tcPr>
            <w:tcW w:w="1056" w:type="dxa"/>
          </w:tcPr>
          <w:p w14:paraId="133AEAD2"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WS2</w:t>
            </w:r>
          </w:p>
        </w:tc>
        <w:tc>
          <w:tcPr>
            <w:tcW w:w="1723" w:type="dxa"/>
          </w:tcPr>
          <w:p w14:paraId="564F4823"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Residential Water Optimization Scenario</w:t>
            </w:r>
          </w:p>
        </w:tc>
        <w:tc>
          <w:tcPr>
            <w:tcW w:w="6576" w:type="dxa"/>
          </w:tcPr>
          <w:p w14:paraId="3A8F5C5A"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Based on the per government plan for water consumption and saving potential is estimated by adjusting the following parameters considering government plans and policy. (National Water Policy 2018) 12</w:t>
            </w:r>
            <w:r w:rsidRPr="00393D32">
              <w:rPr>
                <w:rFonts w:ascii="Times New Roman" w:hAnsi="Times New Roman" w:cs="Times New Roman"/>
                <w:sz w:val="24"/>
                <w:szCs w:val="24"/>
                <w:vertAlign w:val="superscript"/>
              </w:rPr>
              <w:t>th</w:t>
            </w:r>
            <w:r w:rsidRPr="00393D32">
              <w:rPr>
                <w:rFonts w:ascii="Times New Roman" w:hAnsi="Times New Roman" w:cs="Times New Roman"/>
                <w:sz w:val="24"/>
                <w:szCs w:val="24"/>
              </w:rPr>
              <w:t xml:space="preserve"> and 13</w:t>
            </w:r>
            <w:r w:rsidRPr="00393D32">
              <w:rPr>
                <w:rFonts w:ascii="Times New Roman" w:hAnsi="Times New Roman" w:cs="Times New Roman"/>
                <w:sz w:val="24"/>
                <w:szCs w:val="24"/>
                <w:vertAlign w:val="superscript"/>
              </w:rPr>
              <w:t>th</w:t>
            </w:r>
            <w:r w:rsidRPr="00393D32">
              <w:rPr>
                <w:rFonts w:ascii="Times New Roman" w:hAnsi="Times New Roman" w:cs="Times New Roman"/>
                <w:sz w:val="24"/>
                <w:szCs w:val="24"/>
              </w:rPr>
              <w:t xml:space="preserve"> year plan, (National Climate Change Policy 2021), (National Water Conservation Strategy 2023-2027).</w:t>
            </w:r>
          </w:p>
        </w:tc>
      </w:tr>
      <w:tr w:rsidR="00393D32" w:rsidRPr="00393D32" w14:paraId="2219F6C2" w14:textId="77777777" w:rsidTr="006E33C3">
        <w:trPr>
          <w:trHeight w:val="539"/>
          <w:jc w:val="center"/>
        </w:trPr>
        <w:tc>
          <w:tcPr>
            <w:tcW w:w="1056" w:type="dxa"/>
          </w:tcPr>
          <w:p w14:paraId="52F487CD"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WS2.1</w:t>
            </w:r>
          </w:p>
        </w:tc>
        <w:tc>
          <w:tcPr>
            <w:tcW w:w="1723" w:type="dxa"/>
          </w:tcPr>
          <w:p w14:paraId="0A0AA99B"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Technological Advancement </w:t>
            </w:r>
          </w:p>
        </w:tc>
        <w:tc>
          <w:tcPr>
            <w:tcW w:w="6576" w:type="dxa"/>
          </w:tcPr>
          <w:p w14:paraId="56194286"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Water saving through installation of meters to (to promote need base) policy and the water saving efficiency of 1.2% annually.</w:t>
            </w:r>
          </w:p>
        </w:tc>
      </w:tr>
      <w:tr w:rsidR="00393D32" w:rsidRPr="00393D32" w14:paraId="1A887E64" w14:textId="77777777" w:rsidTr="006E33C3">
        <w:trPr>
          <w:trHeight w:val="539"/>
          <w:jc w:val="center"/>
        </w:trPr>
        <w:tc>
          <w:tcPr>
            <w:tcW w:w="1056" w:type="dxa"/>
          </w:tcPr>
          <w:p w14:paraId="591C2F6A"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WS2.1</w:t>
            </w:r>
          </w:p>
        </w:tc>
        <w:tc>
          <w:tcPr>
            <w:tcW w:w="1723" w:type="dxa"/>
          </w:tcPr>
          <w:p w14:paraId="2953E587"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Change in Human Behavior</w:t>
            </w:r>
          </w:p>
        </w:tc>
        <w:tc>
          <w:tcPr>
            <w:tcW w:w="6576" w:type="dxa"/>
          </w:tcPr>
          <w:p w14:paraId="129934BA" w14:textId="77777777" w:rsidR="004B1FE8" w:rsidRPr="00393D32" w:rsidRDefault="00A62738" w:rsidP="00166885">
            <w:pPr>
              <w:spacing w:line="360" w:lineRule="auto"/>
              <w:jc w:val="both"/>
              <w:rPr>
                <w:rFonts w:ascii="Times New Roman" w:hAnsi="Times New Roman" w:cs="Times New Roman"/>
                <w:sz w:val="24"/>
                <w:szCs w:val="24"/>
              </w:rPr>
            </w:pPr>
            <w:r>
              <w:rPr>
                <w:rFonts w:ascii="Times New Roman" w:hAnsi="Times New Roman" w:cs="Times New Roman"/>
                <w:sz w:val="24"/>
                <w:szCs w:val="24"/>
              </w:rPr>
              <w:t>Water-saving</w:t>
            </w:r>
            <w:r w:rsidR="004B1FE8" w:rsidRPr="00393D32">
              <w:rPr>
                <w:rFonts w:ascii="Times New Roman" w:hAnsi="Times New Roman" w:cs="Times New Roman"/>
                <w:sz w:val="24"/>
                <w:szCs w:val="24"/>
              </w:rPr>
              <w:t xml:space="preserve"> awareness program will be started and the </w:t>
            </w:r>
            <w:r>
              <w:rPr>
                <w:rFonts w:ascii="Times New Roman" w:hAnsi="Times New Roman" w:cs="Times New Roman"/>
                <w:sz w:val="24"/>
                <w:szCs w:val="24"/>
              </w:rPr>
              <w:t>water-saving</w:t>
            </w:r>
            <w:r w:rsidR="004B1FE8" w:rsidRPr="00393D32">
              <w:rPr>
                <w:rFonts w:ascii="Times New Roman" w:hAnsi="Times New Roman" w:cs="Times New Roman"/>
                <w:sz w:val="24"/>
                <w:szCs w:val="24"/>
              </w:rPr>
              <w:t xml:space="preserve"> efficiency </w:t>
            </w:r>
            <w:r>
              <w:rPr>
                <w:rFonts w:ascii="Times New Roman" w:hAnsi="Times New Roman" w:cs="Times New Roman"/>
                <w:sz w:val="24"/>
                <w:szCs w:val="24"/>
              </w:rPr>
              <w:t>will be</w:t>
            </w:r>
            <w:r w:rsidR="004B1FE8" w:rsidRPr="00393D32">
              <w:rPr>
                <w:rFonts w:ascii="Times New Roman" w:hAnsi="Times New Roman" w:cs="Times New Roman"/>
                <w:sz w:val="24"/>
                <w:szCs w:val="24"/>
              </w:rPr>
              <w:t xml:space="preserve"> adjusted to 1%.</w:t>
            </w:r>
          </w:p>
        </w:tc>
      </w:tr>
      <w:tr w:rsidR="00393D32" w:rsidRPr="00393D32" w14:paraId="42B5D128" w14:textId="77777777" w:rsidTr="006E33C3">
        <w:trPr>
          <w:trHeight w:val="1106"/>
          <w:jc w:val="center"/>
        </w:trPr>
        <w:tc>
          <w:tcPr>
            <w:tcW w:w="1056" w:type="dxa"/>
          </w:tcPr>
          <w:p w14:paraId="01658C5D"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WS3</w:t>
            </w:r>
          </w:p>
        </w:tc>
        <w:tc>
          <w:tcPr>
            <w:tcW w:w="1723" w:type="dxa"/>
          </w:tcPr>
          <w:p w14:paraId="2FC66A95"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Agriculture Water Transmission Scenario</w:t>
            </w:r>
          </w:p>
        </w:tc>
        <w:tc>
          <w:tcPr>
            <w:tcW w:w="6576" w:type="dxa"/>
          </w:tcPr>
          <w:p w14:paraId="69F3A2B4" w14:textId="77777777" w:rsidR="004B1FE8" w:rsidRPr="00393D32" w:rsidRDefault="00A62738" w:rsidP="00166885">
            <w:pPr>
              <w:spacing w:line="360" w:lineRule="auto"/>
              <w:jc w:val="both"/>
              <w:rPr>
                <w:rFonts w:ascii="Times New Roman" w:hAnsi="Times New Roman" w:cs="Times New Roman"/>
                <w:sz w:val="24"/>
                <w:szCs w:val="24"/>
              </w:rPr>
            </w:pPr>
            <w:r>
              <w:rPr>
                <w:rFonts w:ascii="Times New Roman" w:hAnsi="Times New Roman" w:cs="Times New Roman"/>
                <w:sz w:val="24"/>
                <w:szCs w:val="24"/>
              </w:rPr>
              <w:t>The agriculture</w:t>
            </w:r>
            <w:r w:rsidR="004B1FE8" w:rsidRPr="00393D32">
              <w:rPr>
                <w:rFonts w:ascii="Times New Roman" w:hAnsi="Times New Roman" w:cs="Times New Roman"/>
                <w:sz w:val="24"/>
                <w:szCs w:val="24"/>
              </w:rPr>
              <w:t xml:space="preserve"> sector is the largest water consumer, </w:t>
            </w:r>
            <w:r>
              <w:rPr>
                <w:rFonts w:ascii="Times New Roman" w:hAnsi="Times New Roman" w:cs="Times New Roman"/>
                <w:sz w:val="24"/>
                <w:szCs w:val="24"/>
              </w:rPr>
              <w:t>and water-saving</w:t>
            </w:r>
            <w:r w:rsidR="004B1FE8" w:rsidRPr="00393D32">
              <w:rPr>
                <w:rFonts w:ascii="Times New Roman" w:hAnsi="Times New Roman" w:cs="Times New Roman"/>
                <w:sz w:val="24"/>
                <w:szCs w:val="24"/>
              </w:rPr>
              <w:t xml:space="preserve"> plans are considered without </w:t>
            </w:r>
            <w:r w:rsidR="00256109">
              <w:rPr>
                <w:rFonts w:ascii="Times New Roman" w:hAnsi="Times New Roman" w:cs="Times New Roman"/>
                <w:sz w:val="24"/>
                <w:szCs w:val="24"/>
              </w:rPr>
              <w:t>affecting</w:t>
            </w:r>
            <w:r w:rsidR="004B1FE8" w:rsidRPr="00393D32">
              <w:rPr>
                <w:rFonts w:ascii="Times New Roman" w:hAnsi="Times New Roman" w:cs="Times New Roman"/>
                <w:sz w:val="24"/>
                <w:szCs w:val="24"/>
              </w:rPr>
              <w:t xml:space="preserve"> </w:t>
            </w:r>
            <w:r>
              <w:rPr>
                <w:rFonts w:ascii="Times New Roman" w:hAnsi="Times New Roman" w:cs="Times New Roman"/>
                <w:sz w:val="24"/>
                <w:szCs w:val="24"/>
              </w:rPr>
              <w:t>crop</w:t>
            </w:r>
            <w:r w:rsidR="004B1FE8" w:rsidRPr="00393D32">
              <w:rPr>
                <w:rFonts w:ascii="Times New Roman" w:hAnsi="Times New Roman" w:cs="Times New Roman"/>
                <w:sz w:val="24"/>
                <w:szCs w:val="24"/>
              </w:rPr>
              <w:t xml:space="preserve"> productivity. (National Water Policy 2018) 12</w:t>
            </w:r>
            <w:r w:rsidR="004B1FE8" w:rsidRPr="00393D32">
              <w:rPr>
                <w:rFonts w:ascii="Times New Roman" w:hAnsi="Times New Roman" w:cs="Times New Roman"/>
                <w:sz w:val="24"/>
                <w:szCs w:val="24"/>
                <w:vertAlign w:val="superscript"/>
              </w:rPr>
              <w:t>th</w:t>
            </w:r>
            <w:r w:rsidR="004B1FE8" w:rsidRPr="00393D32">
              <w:rPr>
                <w:rFonts w:ascii="Times New Roman" w:hAnsi="Times New Roman" w:cs="Times New Roman"/>
                <w:sz w:val="24"/>
                <w:szCs w:val="24"/>
              </w:rPr>
              <w:t xml:space="preserve"> and 13</w:t>
            </w:r>
            <w:r w:rsidR="004B1FE8" w:rsidRPr="00393D32">
              <w:rPr>
                <w:rFonts w:ascii="Times New Roman" w:hAnsi="Times New Roman" w:cs="Times New Roman"/>
                <w:sz w:val="24"/>
                <w:szCs w:val="24"/>
                <w:vertAlign w:val="superscript"/>
              </w:rPr>
              <w:t>th</w:t>
            </w:r>
            <w:r w:rsidR="004B1FE8" w:rsidRPr="00393D32">
              <w:rPr>
                <w:rFonts w:ascii="Times New Roman" w:hAnsi="Times New Roman" w:cs="Times New Roman"/>
                <w:sz w:val="24"/>
                <w:szCs w:val="24"/>
              </w:rPr>
              <w:t xml:space="preserve"> year plan, (National Climate Change Policy 2021), (National Water Conservation Strategy 2023-2027). (The State of Pakistan’s Agriculture 2023)</w:t>
            </w:r>
          </w:p>
        </w:tc>
      </w:tr>
      <w:tr w:rsidR="00393D32" w:rsidRPr="00393D32" w14:paraId="28230667" w14:textId="77777777" w:rsidTr="006E33C3">
        <w:trPr>
          <w:trHeight w:val="567"/>
          <w:jc w:val="center"/>
        </w:trPr>
        <w:tc>
          <w:tcPr>
            <w:tcW w:w="1056" w:type="dxa"/>
          </w:tcPr>
          <w:p w14:paraId="5425D421"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WS3.1</w:t>
            </w:r>
          </w:p>
        </w:tc>
        <w:tc>
          <w:tcPr>
            <w:tcW w:w="1723" w:type="dxa"/>
          </w:tcPr>
          <w:p w14:paraId="4A47E5B5"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Modern Technologies Usage</w:t>
            </w:r>
          </w:p>
        </w:tc>
        <w:tc>
          <w:tcPr>
            <w:tcW w:w="6576" w:type="dxa"/>
          </w:tcPr>
          <w:p w14:paraId="434423ED"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Introduction of drip watering technology Which </w:t>
            </w:r>
            <w:r w:rsidR="00A62738">
              <w:rPr>
                <w:rFonts w:ascii="Times New Roman" w:hAnsi="Times New Roman" w:cs="Times New Roman"/>
                <w:sz w:val="24"/>
                <w:szCs w:val="24"/>
              </w:rPr>
              <w:t>has</w:t>
            </w:r>
            <w:r w:rsidRPr="00393D32">
              <w:rPr>
                <w:rFonts w:ascii="Times New Roman" w:hAnsi="Times New Roman" w:cs="Times New Roman"/>
                <w:sz w:val="24"/>
                <w:szCs w:val="24"/>
              </w:rPr>
              <w:t xml:space="preserve"> </w:t>
            </w:r>
            <w:r w:rsidR="00A62738">
              <w:rPr>
                <w:rFonts w:ascii="Times New Roman" w:hAnsi="Times New Roman" w:cs="Times New Roman"/>
                <w:sz w:val="24"/>
                <w:szCs w:val="24"/>
              </w:rPr>
              <w:t xml:space="preserve">an </w:t>
            </w:r>
            <w:r w:rsidRPr="00393D32">
              <w:rPr>
                <w:rFonts w:ascii="Times New Roman" w:hAnsi="Times New Roman" w:cs="Times New Roman"/>
                <w:sz w:val="24"/>
                <w:szCs w:val="24"/>
              </w:rPr>
              <w:t>efficiency of saving water up to 6 %.</w:t>
            </w:r>
          </w:p>
        </w:tc>
      </w:tr>
      <w:tr w:rsidR="00393D32" w:rsidRPr="00393D32" w14:paraId="1281C134" w14:textId="77777777" w:rsidTr="006E33C3">
        <w:trPr>
          <w:trHeight w:val="539"/>
          <w:jc w:val="center"/>
        </w:trPr>
        <w:tc>
          <w:tcPr>
            <w:tcW w:w="1056" w:type="dxa"/>
          </w:tcPr>
          <w:p w14:paraId="62B965F2"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WS3.2</w:t>
            </w:r>
          </w:p>
        </w:tc>
        <w:tc>
          <w:tcPr>
            <w:tcW w:w="1723" w:type="dxa"/>
          </w:tcPr>
          <w:p w14:paraId="7D88EE85"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Land Use and Non-conventional </w:t>
            </w:r>
            <w:r w:rsidR="00A62738">
              <w:rPr>
                <w:rFonts w:ascii="Times New Roman" w:hAnsi="Times New Roman" w:cs="Times New Roman"/>
                <w:sz w:val="24"/>
                <w:szCs w:val="24"/>
              </w:rPr>
              <w:lastRenderedPageBreak/>
              <w:t>Water Source Use</w:t>
            </w:r>
          </w:p>
        </w:tc>
        <w:tc>
          <w:tcPr>
            <w:tcW w:w="6576" w:type="dxa"/>
          </w:tcPr>
          <w:p w14:paraId="09335CF4"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lastRenderedPageBreak/>
              <w:t xml:space="preserve">Up-scale land leveling, which enables 1% </w:t>
            </w:r>
            <w:r w:rsidR="00A62738">
              <w:rPr>
                <w:rFonts w:ascii="Times New Roman" w:hAnsi="Times New Roman" w:cs="Times New Roman"/>
                <w:sz w:val="24"/>
                <w:szCs w:val="24"/>
              </w:rPr>
              <w:t>annual</w:t>
            </w:r>
            <w:r w:rsidRPr="00393D32">
              <w:rPr>
                <w:rFonts w:ascii="Times New Roman" w:hAnsi="Times New Roman" w:cs="Times New Roman"/>
                <w:sz w:val="24"/>
                <w:szCs w:val="24"/>
              </w:rPr>
              <w:t xml:space="preserve"> water saving with corresponding increases in productivity.  Domestic </w:t>
            </w:r>
            <w:r w:rsidR="00A62738">
              <w:rPr>
                <w:rFonts w:ascii="Times New Roman" w:hAnsi="Times New Roman" w:cs="Times New Roman"/>
                <w:sz w:val="24"/>
                <w:szCs w:val="24"/>
              </w:rPr>
              <w:t>wastewater</w:t>
            </w:r>
            <w:r w:rsidRPr="00393D32">
              <w:rPr>
                <w:rFonts w:ascii="Times New Roman" w:hAnsi="Times New Roman" w:cs="Times New Roman"/>
                <w:sz w:val="24"/>
                <w:szCs w:val="24"/>
              </w:rPr>
              <w:t xml:space="preserve"> reuse for agriculture after treatment </w:t>
            </w:r>
            <w:r w:rsidR="00A62738">
              <w:rPr>
                <w:rFonts w:ascii="Times New Roman" w:hAnsi="Times New Roman" w:cs="Times New Roman"/>
                <w:sz w:val="24"/>
                <w:szCs w:val="24"/>
              </w:rPr>
              <w:t>totals</w:t>
            </w:r>
            <w:r w:rsidRPr="00393D32">
              <w:rPr>
                <w:rFonts w:ascii="Times New Roman" w:hAnsi="Times New Roman" w:cs="Times New Roman"/>
                <w:sz w:val="24"/>
                <w:szCs w:val="24"/>
              </w:rPr>
              <w:t xml:space="preserve"> 3.06 BCM annually, </w:t>
            </w:r>
            <w:r w:rsidRPr="00393D32">
              <w:rPr>
                <w:rFonts w:ascii="Times New Roman" w:hAnsi="Times New Roman" w:cs="Times New Roman"/>
                <w:sz w:val="24"/>
                <w:szCs w:val="24"/>
              </w:rPr>
              <w:lastRenderedPageBreak/>
              <w:t>which is equal to 1.78% of total water usage for agriculture annually.</w:t>
            </w:r>
          </w:p>
        </w:tc>
      </w:tr>
      <w:tr w:rsidR="00393D32" w:rsidRPr="00393D32" w14:paraId="3410F952" w14:textId="77777777" w:rsidTr="006E33C3">
        <w:trPr>
          <w:trHeight w:val="567"/>
          <w:jc w:val="center"/>
        </w:trPr>
        <w:tc>
          <w:tcPr>
            <w:tcW w:w="1056" w:type="dxa"/>
          </w:tcPr>
          <w:p w14:paraId="16DDA316"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lastRenderedPageBreak/>
              <w:t>WS4</w:t>
            </w:r>
          </w:p>
        </w:tc>
        <w:tc>
          <w:tcPr>
            <w:tcW w:w="1723" w:type="dxa"/>
          </w:tcPr>
          <w:p w14:paraId="4FC64980" w14:textId="77777777" w:rsidR="004B1FE8" w:rsidRPr="00393D32" w:rsidRDefault="004B1FE8" w:rsidP="00166885">
            <w:pPr>
              <w:spacing w:line="360" w:lineRule="auto"/>
              <w:jc w:val="both"/>
              <w:rPr>
                <w:rFonts w:ascii="Times New Roman" w:hAnsi="Times New Roman" w:cs="Times New Roman"/>
                <w:b/>
                <w:sz w:val="24"/>
                <w:szCs w:val="24"/>
              </w:rPr>
            </w:pPr>
            <w:r w:rsidRPr="00393D32">
              <w:rPr>
                <w:rFonts w:ascii="Times New Roman" w:hAnsi="Times New Roman" w:cs="Times New Roman"/>
                <w:b/>
                <w:sz w:val="24"/>
                <w:szCs w:val="24"/>
              </w:rPr>
              <w:t>Industrial Water Optimization Scenario</w:t>
            </w:r>
          </w:p>
        </w:tc>
        <w:tc>
          <w:tcPr>
            <w:tcW w:w="6576" w:type="dxa"/>
          </w:tcPr>
          <w:p w14:paraId="04FE8A6C"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Based on the </w:t>
            </w:r>
            <w:r w:rsidR="00A62738">
              <w:rPr>
                <w:rFonts w:ascii="Times New Roman" w:hAnsi="Times New Roman" w:cs="Times New Roman"/>
                <w:sz w:val="24"/>
                <w:szCs w:val="24"/>
              </w:rPr>
              <w:t>wastewater</w:t>
            </w:r>
            <w:r w:rsidRPr="00393D32">
              <w:rPr>
                <w:rFonts w:ascii="Times New Roman" w:hAnsi="Times New Roman" w:cs="Times New Roman"/>
                <w:sz w:val="24"/>
                <w:szCs w:val="24"/>
              </w:rPr>
              <w:t xml:space="preserve"> treatment plants installation and to promote “Zero Liquid Discharge” Policy in industries. National Water Policy 2018) 12</w:t>
            </w:r>
            <w:r w:rsidRPr="00393D32">
              <w:rPr>
                <w:rFonts w:ascii="Times New Roman" w:hAnsi="Times New Roman" w:cs="Times New Roman"/>
                <w:sz w:val="24"/>
                <w:szCs w:val="24"/>
                <w:vertAlign w:val="superscript"/>
              </w:rPr>
              <w:t>th</w:t>
            </w:r>
            <w:r w:rsidRPr="00393D32">
              <w:rPr>
                <w:rFonts w:ascii="Times New Roman" w:hAnsi="Times New Roman" w:cs="Times New Roman"/>
                <w:sz w:val="24"/>
                <w:szCs w:val="24"/>
              </w:rPr>
              <w:t xml:space="preserve"> and </w:t>
            </w:r>
            <w:r w:rsidR="00A62738">
              <w:rPr>
                <w:rFonts w:ascii="Times New Roman" w:hAnsi="Times New Roman" w:cs="Times New Roman"/>
                <w:sz w:val="24"/>
                <w:szCs w:val="24"/>
              </w:rPr>
              <w:t>13th-year</w:t>
            </w:r>
            <w:r w:rsidRPr="00393D32">
              <w:rPr>
                <w:rFonts w:ascii="Times New Roman" w:hAnsi="Times New Roman" w:cs="Times New Roman"/>
                <w:sz w:val="24"/>
                <w:szCs w:val="24"/>
              </w:rPr>
              <w:t xml:space="preserve"> plan, (National Climate Change Policy 2021), (National Water Conservation Strategy 2023-2027). (IGCEP 2021-2030), (ARE Policy 2019)</w:t>
            </w:r>
          </w:p>
        </w:tc>
      </w:tr>
      <w:tr w:rsidR="00393D32" w:rsidRPr="00393D32" w14:paraId="0D5E8133" w14:textId="77777777" w:rsidTr="006E33C3">
        <w:trPr>
          <w:trHeight w:val="539"/>
          <w:jc w:val="center"/>
        </w:trPr>
        <w:tc>
          <w:tcPr>
            <w:tcW w:w="1056" w:type="dxa"/>
          </w:tcPr>
          <w:p w14:paraId="0A399F73"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WS4.1</w:t>
            </w:r>
          </w:p>
        </w:tc>
        <w:tc>
          <w:tcPr>
            <w:tcW w:w="1723" w:type="dxa"/>
          </w:tcPr>
          <w:p w14:paraId="5FA6BE64"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Waste Water Reuse</w:t>
            </w:r>
          </w:p>
        </w:tc>
        <w:tc>
          <w:tcPr>
            <w:tcW w:w="6576" w:type="dxa"/>
          </w:tcPr>
          <w:p w14:paraId="1AE2E456"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Currently</w:t>
            </w:r>
            <w:r w:rsidR="00A62738">
              <w:rPr>
                <w:rFonts w:ascii="Times New Roman" w:hAnsi="Times New Roman" w:cs="Times New Roman"/>
                <w:sz w:val="24"/>
                <w:szCs w:val="24"/>
              </w:rPr>
              <w:t>,</w:t>
            </w:r>
            <w:r w:rsidRPr="00393D32">
              <w:rPr>
                <w:rFonts w:ascii="Times New Roman" w:hAnsi="Times New Roman" w:cs="Times New Roman"/>
                <w:sz w:val="24"/>
                <w:szCs w:val="24"/>
              </w:rPr>
              <w:t xml:space="preserve"> 1% of </w:t>
            </w:r>
            <w:r w:rsidR="00A62738">
              <w:rPr>
                <w:rFonts w:ascii="Times New Roman" w:hAnsi="Times New Roman" w:cs="Times New Roman"/>
                <w:sz w:val="24"/>
                <w:szCs w:val="24"/>
              </w:rPr>
              <w:t>wastewater</w:t>
            </w:r>
            <w:r w:rsidRPr="00393D32">
              <w:rPr>
                <w:rFonts w:ascii="Times New Roman" w:hAnsi="Times New Roman" w:cs="Times New Roman"/>
                <w:sz w:val="24"/>
                <w:szCs w:val="24"/>
              </w:rPr>
              <w:t xml:space="preserve"> </w:t>
            </w:r>
            <w:r w:rsidR="00A62738">
              <w:rPr>
                <w:rFonts w:ascii="Times New Roman" w:hAnsi="Times New Roman" w:cs="Times New Roman"/>
                <w:sz w:val="24"/>
                <w:szCs w:val="24"/>
              </w:rPr>
              <w:t>is</w:t>
            </w:r>
            <w:r w:rsidRPr="00393D32">
              <w:rPr>
                <w:rFonts w:ascii="Times New Roman" w:hAnsi="Times New Roman" w:cs="Times New Roman"/>
                <w:sz w:val="24"/>
                <w:szCs w:val="24"/>
              </w:rPr>
              <w:t xml:space="preserve"> treated which will </w:t>
            </w:r>
            <w:r w:rsidR="00A62738">
              <w:rPr>
                <w:rFonts w:ascii="Times New Roman" w:hAnsi="Times New Roman" w:cs="Times New Roman"/>
                <w:sz w:val="24"/>
                <w:szCs w:val="24"/>
              </w:rPr>
              <w:t>be promoted</w:t>
            </w:r>
            <w:r w:rsidRPr="00393D32">
              <w:rPr>
                <w:rFonts w:ascii="Times New Roman" w:hAnsi="Times New Roman" w:cs="Times New Roman"/>
                <w:sz w:val="24"/>
                <w:szCs w:val="24"/>
              </w:rPr>
              <w:t xml:space="preserve"> to 100% treatment. Based on the </w:t>
            </w:r>
            <w:r w:rsidR="00A62738">
              <w:rPr>
                <w:rFonts w:ascii="Times New Roman" w:hAnsi="Times New Roman" w:cs="Times New Roman"/>
                <w:sz w:val="24"/>
                <w:szCs w:val="24"/>
              </w:rPr>
              <w:t>wastewater</w:t>
            </w:r>
            <w:r w:rsidRPr="00393D32">
              <w:rPr>
                <w:rFonts w:ascii="Times New Roman" w:hAnsi="Times New Roman" w:cs="Times New Roman"/>
                <w:sz w:val="24"/>
                <w:szCs w:val="24"/>
              </w:rPr>
              <w:t xml:space="preserve"> treatment plants installation and to promote “Zero Liquid Discharge” Policy in industries. Current water consumption without reuse of </w:t>
            </w:r>
            <w:r w:rsidR="00A62738">
              <w:rPr>
                <w:rFonts w:ascii="Times New Roman" w:hAnsi="Times New Roman" w:cs="Times New Roman"/>
                <w:sz w:val="24"/>
                <w:szCs w:val="24"/>
              </w:rPr>
              <w:t>wastewater</w:t>
            </w:r>
            <w:r w:rsidRPr="00393D32">
              <w:rPr>
                <w:rFonts w:ascii="Times New Roman" w:hAnsi="Times New Roman" w:cs="Times New Roman"/>
                <w:sz w:val="24"/>
                <w:szCs w:val="24"/>
              </w:rPr>
              <w:t xml:space="preserve"> with </w:t>
            </w:r>
            <w:r w:rsidR="00A62738">
              <w:rPr>
                <w:rFonts w:ascii="Times New Roman" w:hAnsi="Times New Roman" w:cs="Times New Roman"/>
                <w:sz w:val="24"/>
                <w:szCs w:val="24"/>
              </w:rPr>
              <w:t xml:space="preserve">an </w:t>
            </w:r>
            <w:r w:rsidRPr="00393D32">
              <w:rPr>
                <w:rFonts w:ascii="Times New Roman" w:hAnsi="Times New Roman" w:cs="Times New Roman"/>
                <w:sz w:val="24"/>
                <w:szCs w:val="24"/>
              </w:rPr>
              <w:t>average rate of 3.9%. Currently</w:t>
            </w:r>
            <w:r w:rsidR="00A62738">
              <w:rPr>
                <w:rFonts w:ascii="Times New Roman" w:hAnsi="Times New Roman" w:cs="Times New Roman"/>
                <w:sz w:val="24"/>
                <w:szCs w:val="24"/>
              </w:rPr>
              <w:t>,</w:t>
            </w:r>
            <w:r w:rsidRPr="00393D32">
              <w:rPr>
                <w:rFonts w:ascii="Times New Roman" w:hAnsi="Times New Roman" w:cs="Times New Roman"/>
                <w:sz w:val="24"/>
                <w:szCs w:val="24"/>
              </w:rPr>
              <w:t xml:space="preserve"> 1% of </w:t>
            </w:r>
            <w:r w:rsidR="00A62738">
              <w:rPr>
                <w:rFonts w:ascii="Times New Roman" w:hAnsi="Times New Roman" w:cs="Times New Roman"/>
                <w:sz w:val="24"/>
                <w:szCs w:val="24"/>
              </w:rPr>
              <w:t>wastewater</w:t>
            </w:r>
            <w:r w:rsidRPr="00393D32">
              <w:rPr>
                <w:rFonts w:ascii="Times New Roman" w:hAnsi="Times New Roman" w:cs="Times New Roman"/>
                <w:sz w:val="24"/>
                <w:szCs w:val="24"/>
              </w:rPr>
              <w:t xml:space="preserve"> </w:t>
            </w:r>
            <w:r w:rsidR="00A62738">
              <w:rPr>
                <w:rFonts w:ascii="Times New Roman" w:hAnsi="Times New Roman" w:cs="Times New Roman"/>
                <w:sz w:val="24"/>
                <w:szCs w:val="24"/>
              </w:rPr>
              <w:t>is</w:t>
            </w:r>
            <w:r w:rsidRPr="00393D32">
              <w:rPr>
                <w:rFonts w:ascii="Times New Roman" w:hAnsi="Times New Roman" w:cs="Times New Roman"/>
                <w:sz w:val="24"/>
                <w:szCs w:val="24"/>
              </w:rPr>
              <w:t xml:space="preserve"> treated which will </w:t>
            </w:r>
            <w:r w:rsidR="00A62738">
              <w:rPr>
                <w:rFonts w:ascii="Times New Roman" w:hAnsi="Times New Roman" w:cs="Times New Roman"/>
                <w:sz w:val="24"/>
                <w:szCs w:val="24"/>
              </w:rPr>
              <w:t>be promoted</w:t>
            </w:r>
            <w:r w:rsidRPr="00393D32">
              <w:rPr>
                <w:rFonts w:ascii="Times New Roman" w:hAnsi="Times New Roman" w:cs="Times New Roman"/>
                <w:sz w:val="24"/>
                <w:szCs w:val="24"/>
              </w:rPr>
              <w:t xml:space="preserve"> to 100% treatment.</w:t>
            </w:r>
          </w:p>
        </w:tc>
      </w:tr>
      <w:tr w:rsidR="00393D32" w:rsidRPr="00393D32" w14:paraId="3ED8B990" w14:textId="77777777" w:rsidTr="006E33C3">
        <w:trPr>
          <w:trHeight w:val="539"/>
          <w:jc w:val="center"/>
        </w:trPr>
        <w:tc>
          <w:tcPr>
            <w:tcW w:w="1056" w:type="dxa"/>
          </w:tcPr>
          <w:p w14:paraId="7D8F3FB7"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WS4.2</w:t>
            </w:r>
          </w:p>
        </w:tc>
        <w:tc>
          <w:tcPr>
            <w:tcW w:w="1723" w:type="dxa"/>
          </w:tcPr>
          <w:p w14:paraId="7B8C468A"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Green Energy Generation</w:t>
            </w:r>
          </w:p>
        </w:tc>
        <w:tc>
          <w:tcPr>
            <w:tcW w:w="6576" w:type="dxa"/>
          </w:tcPr>
          <w:p w14:paraId="4F7B0E19" w14:textId="77777777" w:rsidR="004B1FE8" w:rsidRPr="00393D32" w:rsidRDefault="004B1FE8" w:rsidP="00166885">
            <w:pPr>
              <w:spacing w:line="360" w:lineRule="auto"/>
              <w:jc w:val="both"/>
              <w:rPr>
                <w:rFonts w:ascii="Times New Roman" w:hAnsi="Times New Roman" w:cs="Times New Roman"/>
                <w:sz w:val="24"/>
                <w:szCs w:val="24"/>
              </w:rPr>
            </w:pPr>
            <w:r w:rsidRPr="00393D32">
              <w:rPr>
                <w:rFonts w:ascii="Times New Roman" w:hAnsi="Times New Roman" w:cs="Times New Roman"/>
                <w:sz w:val="24"/>
                <w:szCs w:val="24"/>
              </w:rPr>
              <w:t xml:space="preserve">Based on future renewable energy </w:t>
            </w:r>
            <w:r w:rsidR="00A62738">
              <w:rPr>
                <w:rFonts w:ascii="Times New Roman" w:hAnsi="Times New Roman" w:cs="Times New Roman"/>
                <w:sz w:val="24"/>
                <w:szCs w:val="24"/>
              </w:rPr>
              <w:t>projections</w:t>
            </w:r>
            <w:r w:rsidRPr="00393D32">
              <w:rPr>
                <w:rFonts w:ascii="Times New Roman" w:hAnsi="Times New Roman" w:cs="Times New Roman"/>
                <w:sz w:val="24"/>
                <w:szCs w:val="24"/>
              </w:rPr>
              <w:t xml:space="preserve"> given by the IGCEP 2021-2030. ARE technologies by 2025 and 30% by 2030 (20X25 and 30X30 target). Based on ARE Policy 2019, over 20% generation of Hydropower by 2030.</w:t>
            </w:r>
          </w:p>
        </w:tc>
      </w:tr>
    </w:tbl>
    <w:p w14:paraId="1B53930B" w14:textId="75FA297D" w:rsidR="00255C6B" w:rsidRPr="00393D32" w:rsidRDefault="00F31C14">
      <w:pPr>
        <w:rPr>
          <w:rFonts w:ascii="Times New Roman" w:hAnsi="Times New Roman" w:cs="Times New Roman"/>
          <w:b/>
          <w:sz w:val="24"/>
        </w:rPr>
      </w:pPr>
      <w:r w:rsidRPr="00F31C14">
        <w:rPr>
          <w:rFonts w:ascii="Times New Roman" w:hAnsi="Times New Roman" w:cs="Times New Roman"/>
          <w:b/>
          <w:sz w:val="24"/>
        </w:rPr>
        <w:t>Section</w:t>
      </w:r>
      <w:r w:rsidR="00255C6B" w:rsidRPr="00393D32">
        <w:rPr>
          <w:rFonts w:ascii="Times New Roman" w:hAnsi="Times New Roman" w:cs="Times New Roman"/>
          <w:b/>
          <w:sz w:val="24"/>
        </w:rPr>
        <w:t xml:space="preserve"> 5: </w:t>
      </w:r>
    </w:p>
    <w:tbl>
      <w:tblPr>
        <w:tblW w:w="9319" w:type="dxa"/>
        <w:tblInd w:w="-10" w:type="dxa"/>
        <w:tblLook w:val="04A0" w:firstRow="1" w:lastRow="0" w:firstColumn="1" w:lastColumn="0" w:noHBand="0" w:noVBand="1"/>
      </w:tblPr>
      <w:tblGrid>
        <w:gridCol w:w="1153"/>
        <w:gridCol w:w="1830"/>
        <w:gridCol w:w="1759"/>
        <w:gridCol w:w="1153"/>
        <w:gridCol w:w="1737"/>
        <w:gridCol w:w="1738"/>
      </w:tblGrid>
      <w:tr w:rsidR="00393D32" w:rsidRPr="00393D32" w14:paraId="3E5387EB" w14:textId="77777777" w:rsidTr="00166885">
        <w:trPr>
          <w:trHeight w:val="236"/>
        </w:trPr>
        <w:tc>
          <w:tcPr>
            <w:tcW w:w="9319" w:type="dxa"/>
            <w:gridSpan w:val="6"/>
            <w:tcBorders>
              <w:bottom w:val="single" w:sz="8" w:space="0" w:color="auto"/>
            </w:tcBorders>
            <w:shd w:val="clear" w:color="auto" w:fill="auto"/>
            <w:vAlign w:val="center"/>
          </w:tcPr>
          <w:p w14:paraId="703CDCA4" w14:textId="41416546" w:rsidR="00255C6B" w:rsidRPr="00393D32" w:rsidRDefault="00255C6B" w:rsidP="00166885">
            <w:pPr>
              <w:spacing w:after="0" w:line="240" w:lineRule="auto"/>
              <w:jc w:val="center"/>
              <w:rPr>
                <w:rFonts w:ascii="Times New Roman" w:eastAsia="Times New Roman" w:hAnsi="Times New Roman" w:cs="Times New Roman"/>
                <w:bCs/>
                <w:sz w:val="24"/>
                <w:szCs w:val="24"/>
              </w:rPr>
            </w:pPr>
            <w:r w:rsidRPr="00393D32">
              <w:rPr>
                <w:rFonts w:ascii="Times New Roman" w:eastAsia="Times New Roman" w:hAnsi="Times New Roman" w:cs="Times New Roman"/>
                <w:bCs/>
                <w:sz w:val="24"/>
                <w:szCs w:val="24"/>
              </w:rPr>
              <w:t>Table</w:t>
            </w:r>
            <w:r w:rsidRPr="00D21B31">
              <w:rPr>
                <w:rFonts w:ascii="Times New Roman" w:eastAsia="Times New Roman" w:hAnsi="Times New Roman" w:cs="Times New Roman"/>
                <w:bCs/>
                <w:sz w:val="24"/>
                <w:szCs w:val="24"/>
              </w:rPr>
              <w:t xml:space="preserve"> </w:t>
            </w:r>
            <w:r w:rsidR="00D21B31" w:rsidRPr="00F31C14">
              <w:rPr>
                <w:rFonts w:ascii="Times New Roman" w:hAnsi="Times New Roman" w:cs="Times New Roman"/>
                <w:bCs/>
                <w:sz w:val="24"/>
                <w:szCs w:val="24"/>
              </w:rPr>
              <w:t>S</w:t>
            </w:r>
            <w:r w:rsidR="00D21B31">
              <w:rPr>
                <w:rFonts w:ascii="Times New Roman" w:hAnsi="Times New Roman" w:cs="Times New Roman" w:hint="eastAsia"/>
                <w:bCs/>
                <w:sz w:val="24"/>
                <w:szCs w:val="24"/>
              </w:rPr>
              <w:t>3</w:t>
            </w:r>
            <w:r w:rsidRPr="00393D32">
              <w:rPr>
                <w:rFonts w:ascii="Times New Roman" w:eastAsia="Times New Roman" w:hAnsi="Times New Roman" w:cs="Times New Roman"/>
                <w:bCs/>
                <w:sz w:val="24"/>
                <w:szCs w:val="24"/>
              </w:rPr>
              <w:t xml:space="preserve">. </w:t>
            </w:r>
            <w:r w:rsidRPr="0092065D">
              <w:rPr>
                <w:rFonts w:ascii="Times New Roman" w:eastAsia="Times New Roman" w:hAnsi="Times New Roman" w:cs="Times New Roman"/>
                <w:bCs/>
                <w:sz w:val="24"/>
                <w:szCs w:val="24"/>
              </w:rPr>
              <w:t xml:space="preserve">Analysis of nexus interaction  </w:t>
            </w:r>
          </w:p>
          <w:p w14:paraId="69E98300" w14:textId="77777777" w:rsidR="00255C6B" w:rsidRPr="00393D32" w:rsidRDefault="00255C6B" w:rsidP="00166885">
            <w:pPr>
              <w:spacing w:after="0" w:line="240" w:lineRule="auto"/>
              <w:jc w:val="center"/>
              <w:rPr>
                <w:rFonts w:ascii="Times New Roman" w:eastAsia="Times New Roman" w:hAnsi="Times New Roman" w:cs="Times New Roman"/>
                <w:bCs/>
                <w:sz w:val="24"/>
                <w:szCs w:val="24"/>
              </w:rPr>
            </w:pPr>
          </w:p>
        </w:tc>
      </w:tr>
      <w:tr w:rsidR="00393D32" w:rsidRPr="00393D32" w14:paraId="4AFBE640" w14:textId="77777777" w:rsidTr="00166885">
        <w:trPr>
          <w:trHeight w:val="236"/>
        </w:trPr>
        <w:tc>
          <w:tcPr>
            <w:tcW w:w="472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59211F2"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bookmarkStart w:id="7" w:name="RANGE!C80"/>
            <w:r w:rsidRPr="00393D32">
              <w:rPr>
                <w:rFonts w:ascii="Times New Roman" w:eastAsia="Times New Roman" w:hAnsi="Times New Roman" w:cs="Times New Roman"/>
                <w:b/>
                <w:bCs/>
                <w:sz w:val="24"/>
                <w:szCs w:val="24"/>
              </w:rPr>
              <w:t>Energy-Water Nexus</w:t>
            </w:r>
            <w:bookmarkEnd w:id="7"/>
          </w:p>
        </w:tc>
        <w:tc>
          <w:tcPr>
            <w:tcW w:w="4599" w:type="dxa"/>
            <w:gridSpan w:val="3"/>
            <w:tcBorders>
              <w:top w:val="single" w:sz="8" w:space="0" w:color="auto"/>
              <w:left w:val="nil"/>
              <w:bottom w:val="single" w:sz="8" w:space="0" w:color="auto"/>
              <w:right w:val="single" w:sz="8" w:space="0" w:color="000000"/>
            </w:tcBorders>
            <w:shd w:val="clear" w:color="auto" w:fill="auto"/>
            <w:vAlign w:val="center"/>
            <w:hideMark/>
          </w:tcPr>
          <w:p w14:paraId="6FC74701"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Water-Energy Nexus</w:t>
            </w:r>
          </w:p>
        </w:tc>
      </w:tr>
      <w:tr w:rsidR="00393D32" w:rsidRPr="00393D32" w14:paraId="7B67BDE9" w14:textId="77777777" w:rsidTr="00166885">
        <w:trPr>
          <w:trHeight w:val="1276"/>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3CBD0CE0"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Scenarios</w:t>
            </w:r>
          </w:p>
        </w:tc>
        <w:tc>
          <w:tcPr>
            <w:tcW w:w="1915" w:type="dxa"/>
            <w:tcBorders>
              <w:top w:val="nil"/>
              <w:left w:val="nil"/>
              <w:bottom w:val="single" w:sz="8" w:space="0" w:color="auto"/>
              <w:right w:val="single" w:sz="8" w:space="0" w:color="auto"/>
            </w:tcBorders>
            <w:shd w:val="clear" w:color="auto" w:fill="auto"/>
            <w:vAlign w:val="center"/>
            <w:hideMark/>
          </w:tcPr>
          <w:p w14:paraId="3BA3CF3B"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Energy Saving Through Energy Saving Measures (Mtoe)</w:t>
            </w:r>
          </w:p>
        </w:tc>
        <w:tc>
          <w:tcPr>
            <w:tcW w:w="1841" w:type="dxa"/>
            <w:tcBorders>
              <w:top w:val="nil"/>
              <w:left w:val="nil"/>
              <w:bottom w:val="single" w:sz="8" w:space="0" w:color="auto"/>
              <w:right w:val="single" w:sz="8" w:space="0" w:color="auto"/>
            </w:tcBorders>
            <w:shd w:val="clear" w:color="auto" w:fill="auto"/>
            <w:vAlign w:val="center"/>
            <w:hideMark/>
          </w:tcPr>
          <w:p w14:paraId="1651ECD1"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Water Saving Through Energy Saving Measures (BCM)</w:t>
            </w:r>
          </w:p>
        </w:tc>
        <w:tc>
          <w:tcPr>
            <w:tcW w:w="964" w:type="dxa"/>
            <w:tcBorders>
              <w:top w:val="nil"/>
              <w:left w:val="nil"/>
              <w:bottom w:val="single" w:sz="8" w:space="0" w:color="auto"/>
              <w:right w:val="single" w:sz="8" w:space="0" w:color="auto"/>
            </w:tcBorders>
            <w:shd w:val="clear" w:color="auto" w:fill="auto"/>
            <w:vAlign w:val="center"/>
            <w:hideMark/>
          </w:tcPr>
          <w:p w14:paraId="5FF6D45B"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Scenarios</w:t>
            </w:r>
          </w:p>
        </w:tc>
        <w:tc>
          <w:tcPr>
            <w:tcW w:w="1817" w:type="dxa"/>
            <w:tcBorders>
              <w:top w:val="nil"/>
              <w:left w:val="nil"/>
              <w:bottom w:val="single" w:sz="8" w:space="0" w:color="auto"/>
              <w:right w:val="single" w:sz="8" w:space="0" w:color="auto"/>
            </w:tcBorders>
            <w:shd w:val="clear" w:color="auto" w:fill="auto"/>
            <w:vAlign w:val="center"/>
            <w:hideMark/>
          </w:tcPr>
          <w:p w14:paraId="1B3D9D5F"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Energy Saving Through Water Saving Measures (Mtoe)</w:t>
            </w:r>
          </w:p>
        </w:tc>
        <w:tc>
          <w:tcPr>
            <w:tcW w:w="1818" w:type="dxa"/>
            <w:tcBorders>
              <w:top w:val="nil"/>
              <w:left w:val="nil"/>
              <w:bottom w:val="single" w:sz="8" w:space="0" w:color="auto"/>
              <w:right w:val="single" w:sz="8" w:space="0" w:color="auto"/>
            </w:tcBorders>
            <w:shd w:val="clear" w:color="auto" w:fill="auto"/>
            <w:vAlign w:val="center"/>
            <w:hideMark/>
          </w:tcPr>
          <w:p w14:paraId="25CB1816" w14:textId="77777777" w:rsidR="00255C6B" w:rsidRPr="00393D32" w:rsidRDefault="00255C6B" w:rsidP="00166885">
            <w:pPr>
              <w:spacing w:after="0" w:line="240" w:lineRule="auto"/>
              <w:jc w:val="center"/>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Water Saving Through Water Saving Measures (BCM)</w:t>
            </w:r>
          </w:p>
        </w:tc>
      </w:tr>
      <w:tr w:rsidR="00393D32" w:rsidRPr="00393D32" w14:paraId="265459A3"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55ED7D24"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ES1</w:t>
            </w:r>
          </w:p>
        </w:tc>
        <w:tc>
          <w:tcPr>
            <w:tcW w:w="1915" w:type="dxa"/>
            <w:tcBorders>
              <w:top w:val="nil"/>
              <w:left w:val="nil"/>
              <w:bottom w:val="single" w:sz="8" w:space="0" w:color="auto"/>
              <w:right w:val="single" w:sz="8" w:space="0" w:color="auto"/>
            </w:tcBorders>
            <w:shd w:val="clear" w:color="auto" w:fill="auto"/>
            <w:noWrap/>
            <w:vAlign w:val="center"/>
            <w:hideMark/>
          </w:tcPr>
          <w:p w14:paraId="12E6C4B1"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475</w:t>
            </w:r>
          </w:p>
        </w:tc>
        <w:tc>
          <w:tcPr>
            <w:tcW w:w="1841" w:type="dxa"/>
            <w:tcBorders>
              <w:top w:val="nil"/>
              <w:left w:val="nil"/>
              <w:bottom w:val="single" w:sz="8" w:space="0" w:color="auto"/>
              <w:right w:val="single" w:sz="8" w:space="0" w:color="auto"/>
            </w:tcBorders>
            <w:shd w:val="clear" w:color="auto" w:fill="auto"/>
            <w:noWrap/>
            <w:vAlign w:val="center"/>
            <w:hideMark/>
          </w:tcPr>
          <w:p w14:paraId="3A148262"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single" w:sz="8" w:space="0" w:color="auto"/>
              <w:right w:val="single" w:sz="8" w:space="0" w:color="auto"/>
            </w:tcBorders>
            <w:shd w:val="clear" w:color="auto" w:fill="auto"/>
            <w:vAlign w:val="center"/>
            <w:hideMark/>
          </w:tcPr>
          <w:p w14:paraId="3FDAB967"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WS1</w:t>
            </w:r>
          </w:p>
        </w:tc>
        <w:tc>
          <w:tcPr>
            <w:tcW w:w="1817" w:type="dxa"/>
            <w:tcBorders>
              <w:top w:val="nil"/>
              <w:left w:val="nil"/>
              <w:bottom w:val="single" w:sz="8" w:space="0" w:color="auto"/>
              <w:right w:val="single" w:sz="8" w:space="0" w:color="auto"/>
            </w:tcBorders>
            <w:shd w:val="clear" w:color="auto" w:fill="auto"/>
            <w:noWrap/>
            <w:vAlign w:val="center"/>
            <w:hideMark/>
          </w:tcPr>
          <w:p w14:paraId="4507690D"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1818" w:type="dxa"/>
            <w:tcBorders>
              <w:top w:val="nil"/>
              <w:left w:val="nil"/>
              <w:bottom w:val="single" w:sz="8" w:space="0" w:color="auto"/>
              <w:right w:val="single" w:sz="8" w:space="0" w:color="auto"/>
            </w:tcBorders>
            <w:shd w:val="clear" w:color="auto" w:fill="auto"/>
            <w:noWrap/>
            <w:vAlign w:val="center"/>
            <w:hideMark/>
          </w:tcPr>
          <w:p w14:paraId="4856003F"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284.06</w:t>
            </w:r>
          </w:p>
        </w:tc>
      </w:tr>
      <w:tr w:rsidR="00393D32" w:rsidRPr="00393D32" w14:paraId="0219205E"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0CFF9982"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ES2</w:t>
            </w:r>
          </w:p>
        </w:tc>
        <w:tc>
          <w:tcPr>
            <w:tcW w:w="1915" w:type="dxa"/>
            <w:tcBorders>
              <w:top w:val="nil"/>
              <w:left w:val="nil"/>
              <w:bottom w:val="single" w:sz="8" w:space="0" w:color="auto"/>
              <w:right w:val="single" w:sz="8" w:space="0" w:color="auto"/>
            </w:tcBorders>
            <w:shd w:val="clear" w:color="auto" w:fill="auto"/>
            <w:noWrap/>
            <w:vAlign w:val="center"/>
            <w:hideMark/>
          </w:tcPr>
          <w:p w14:paraId="44B0DB28"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-101.2</w:t>
            </w:r>
          </w:p>
        </w:tc>
        <w:tc>
          <w:tcPr>
            <w:tcW w:w="1841" w:type="dxa"/>
            <w:tcBorders>
              <w:top w:val="nil"/>
              <w:left w:val="nil"/>
              <w:bottom w:val="single" w:sz="8" w:space="0" w:color="auto"/>
              <w:right w:val="single" w:sz="8" w:space="0" w:color="auto"/>
            </w:tcBorders>
            <w:shd w:val="clear" w:color="auto" w:fill="auto"/>
            <w:noWrap/>
            <w:vAlign w:val="center"/>
            <w:hideMark/>
          </w:tcPr>
          <w:p w14:paraId="4FD4599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-6.45</w:t>
            </w:r>
          </w:p>
        </w:tc>
        <w:tc>
          <w:tcPr>
            <w:tcW w:w="964" w:type="dxa"/>
            <w:tcBorders>
              <w:top w:val="nil"/>
              <w:left w:val="nil"/>
              <w:bottom w:val="single" w:sz="8" w:space="0" w:color="auto"/>
              <w:right w:val="single" w:sz="8" w:space="0" w:color="auto"/>
            </w:tcBorders>
            <w:shd w:val="clear" w:color="auto" w:fill="auto"/>
            <w:vAlign w:val="center"/>
            <w:hideMark/>
          </w:tcPr>
          <w:p w14:paraId="207D90FB"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WS2</w:t>
            </w:r>
          </w:p>
        </w:tc>
        <w:tc>
          <w:tcPr>
            <w:tcW w:w="1817" w:type="dxa"/>
            <w:tcBorders>
              <w:top w:val="nil"/>
              <w:left w:val="nil"/>
              <w:bottom w:val="single" w:sz="8" w:space="0" w:color="auto"/>
              <w:right w:val="single" w:sz="8" w:space="0" w:color="auto"/>
            </w:tcBorders>
            <w:shd w:val="clear" w:color="auto" w:fill="auto"/>
            <w:noWrap/>
            <w:vAlign w:val="center"/>
            <w:hideMark/>
          </w:tcPr>
          <w:p w14:paraId="0C2FBD96"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-18.1</w:t>
            </w:r>
          </w:p>
        </w:tc>
        <w:tc>
          <w:tcPr>
            <w:tcW w:w="1818" w:type="dxa"/>
            <w:tcBorders>
              <w:top w:val="nil"/>
              <w:left w:val="nil"/>
              <w:bottom w:val="single" w:sz="8" w:space="0" w:color="auto"/>
              <w:right w:val="single" w:sz="8" w:space="0" w:color="auto"/>
            </w:tcBorders>
            <w:shd w:val="clear" w:color="auto" w:fill="auto"/>
            <w:noWrap/>
            <w:vAlign w:val="center"/>
            <w:hideMark/>
          </w:tcPr>
          <w:p w14:paraId="1E88D326"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-14.84</w:t>
            </w:r>
          </w:p>
        </w:tc>
      </w:tr>
      <w:tr w:rsidR="00393D32" w:rsidRPr="00393D32" w14:paraId="7760052F"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18FB552C"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ES2.1</w:t>
            </w:r>
          </w:p>
        </w:tc>
        <w:tc>
          <w:tcPr>
            <w:tcW w:w="1915" w:type="dxa"/>
            <w:tcBorders>
              <w:top w:val="nil"/>
              <w:left w:val="nil"/>
              <w:bottom w:val="single" w:sz="8" w:space="0" w:color="auto"/>
              <w:right w:val="single" w:sz="8" w:space="0" w:color="auto"/>
            </w:tcBorders>
            <w:shd w:val="clear" w:color="auto" w:fill="auto"/>
            <w:noWrap/>
            <w:vAlign w:val="center"/>
            <w:hideMark/>
          </w:tcPr>
          <w:p w14:paraId="7CFF341A"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26</w:t>
            </w:r>
          </w:p>
        </w:tc>
        <w:tc>
          <w:tcPr>
            <w:tcW w:w="1841" w:type="dxa"/>
            <w:tcBorders>
              <w:top w:val="nil"/>
              <w:left w:val="nil"/>
              <w:bottom w:val="single" w:sz="8" w:space="0" w:color="auto"/>
              <w:right w:val="single" w:sz="8" w:space="0" w:color="auto"/>
            </w:tcBorders>
            <w:shd w:val="clear" w:color="auto" w:fill="auto"/>
            <w:noWrap/>
            <w:vAlign w:val="center"/>
            <w:hideMark/>
          </w:tcPr>
          <w:p w14:paraId="657EC659"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single" w:sz="8" w:space="0" w:color="auto"/>
              <w:right w:val="single" w:sz="8" w:space="0" w:color="auto"/>
            </w:tcBorders>
            <w:shd w:val="clear" w:color="auto" w:fill="auto"/>
            <w:vAlign w:val="center"/>
            <w:hideMark/>
          </w:tcPr>
          <w:p w14:paraId="4B8C3CBE"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WS2.1</w:t>
            </w:r>
          </w:p>
        </w:tc>
        <w:tc>
          <w:tcPr>
            <w:tcW w:w="1817" w:type="dxa"/>
            <w:tcBorders>
              <w:top w:val="nil"/>
              <w:left w:val="nil"/>
              <w:bottom w:val="single" w:sz="8" w:space="0" w:color="auto"/>
              <w:right w:val="single" w:sz="8" w:space="0" w:color="auto"/>
            </w:tcBorders>
            <w:shd w:val="clear" w:color="auto" w:fill="auto"/>
            <w:noWrap/>
            <w:vAlign w:val="center"/>
            <w:hideMark/>
          </w:tcPr>
          <w:p w14:paraId="5E031AE4"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-8</w:t>
            </w:r>
          </w:p>
        </w:tc>
        <w:tc>
          <w:tcPr>
            <w:tcW w:w="1818" w:type="dxa"/>
            <w:tcBorders>
              <w:top w:val="nil"/>
              <w:left w:val="nil"/>
              <w:bottom w:val="single" w:sz="8" w:space="0" w:color="auto"/>
              <w:right w:val="single" w:sz="8" w:space="0" w:color="auto"/>
            </w:tcBorders>
            <w:shd w:val="clear" w:color="auto" w:fill="auto"/>
            <w:noWrap/>
            <w:vAlign w:val="center"/>
            <w:hideMark/>
          </w:tcPr>
          <w:p w14:paraId="382B7CD0"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-7.27</w:t>
            </w:r>
          </w:p>
        </w:tc>
      </w:tr>
      <w:tr w:rsidR="00393D32" w:rsidRPr="00393D32" w14:paraId="7A1B8C4B"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39B3E32C"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ES2.2</w:t>
            </w:r>
          </w:p>
        </w:tc>
        <w:tc>
          <w:tcPr>
            <w:tcW w:w="1915" w:type="dxa"/>
            <w:tcBorders>
              <w:top w:val="nil"/>
              <w:left w:val="nil"/>
              <w:bottom w:val="single" w:sz="8" w:space="0" w:color="auto"/>
              <w:right w:val="single" w:sz="8" w:space="0" w:color="auto"/>
            </w:tcBorders>
            <w:shd w:val="clear" w:color="auto" w:fill="auto"/>
            <w:noWrap/>
            <w:vAlign w:val="center"/>
            <w:hideMark/>
          </w:tcPr>
          <w:p w14:paraId="451ED5A4"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-51</w:t>
            </w:r>
          </w:p>
        </w:tc>
        <w:tc>
          <w:tcPr>
            <w:tcW w:w="1841" w:type="dxa"/>
            <w:tcBorders>
              <w:top w:val="nil"/>
              <w:left w:val="nil"/>
              <w:bottom w:val="single" w:sz="8" w:space="0" w:color="auto"/>
              <w:right w:val="single" w:sz="8" w:space="0" w:color="auto"/>
            </w:tcBorders>
            <w:shd w:val="clear" w:color="auto" w:fill="auto"/>
            <w:noWrap/>
            <w:vAlign w:val="center"/>
            <w:hideMark/>
          </w:tcPr>
          <w:p w14:paraId="4AF6D96E"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-2.58</w:t>
            </w:r>
          </w:p>
        </w:tc>
        <w:tc>
          <w:tcPr>
            <w:tcW w:w="964" w:type="dxa"/>
            <w:tcBorders>
              <w:top w:val="nil"/>
              <w:left w:val="nil"/>
              <w:bottom w:val="single" w:sz="8" w:space="0" w:color="auto"/>
              <w:right w:val="single" w:sz="8" w:space="0" w:color="auto"/>
            </w:tcBorders>
            <w:shd w:val="clear" w:color="auto" w:fill="auto"/>
            <w:vAlign w:val="center"/>
            <w:hideMark/>
          </w:tcPr>
          <w:p w14:paraId="7B003D87"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WS2.2</w:t>
            </w:r>
          </w:p>
        </w:tc>
        <w:tc>
          <w:tcPr>
            <w:tcW w:w="1817" w:type="dxa"/>
            <w:tcBorders>
              <w:top w:val="nil"/>
              <w:left w:val="nil"/>
              <w:bottom w:val="single" w:sz="8" w:space="0" w:color="auto"/>
              <w:right w:val="single" w:sz="8" w:space="0" w:color="auto"/>
            </w:tcBorders>
            <w:shd w:val="clear" w:color="auto" w:fill="auto"/>
            <w:noWrap/>
            <w:vAlign w:val="center"/>
            <w:hideMark/>
          </w:tcPr>
          <w:p w14:paraId="53456BD0"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-10.1</w:t>
            </w:r>
          </w:p>
        </w:tc>
        <w:tc>
          <w:tcPr>
            <w:tcW w:w="1818" w:type="dxa"/>
            <w:tcBorders>
              <w:top w:val="nil"/>
              <w:left w:val="nil"/>
              <w:bottom w:val="single" w:sz="8" w:space="0" w:color="auto"/>
              <w:right w:val="single" w:sz="8" w:space="0" w:color="auto"/>
            </w:tcBorders>
            <w:shd w:val="clear" w:color="auto" w:fill="auto"/>
            <w:noWrap/>
            <w:vAlign w:val="center"/>
            <w:hideMark/>
          </w:tcPr>
          <w:p w14:paraId="2945E980"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-7.57</w:t>
            </w:r>
          </w:p>
        </w:tc>
      </w:tr>
      <w:tr w:rsidR="00393D32" w:rsidRPr="00393D32" w14:paraId="7D9E5E2C"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0DE20D50"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ES2.3</w:t>
            </w:r>
          </w:p>
        </w:tc>
        <w:tc>
          <w:tcPr>
            <w:tcW w:w="1915" w:type="dxa"/>
            <w:tcBorders>
              <w:top w:val="nil"/>
              <w:left w:val="nil"/>
              <w:bottom w:val="single" w:sz="8" w:space="0" w:color="auto"/>
              <w:right w:val="single" w:sz="8" w:space="0" w:color="auto"/>
            </w:tcBorders>
            <w:shd w:val="clear" w:color="auto" w:fill="auto"/>
            <w:noWrap/>
            <w:vAlign w:val="center"/>
            <w:hideMark/>
          </w:tcPr>
          <w:p w14:paraId="3425777A"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-76.2</w:t>
            </w:r>
          </w:p>
        </w:tc>
        <w:tc>
          <w:tcPr>
            <w:tcW w:w="1841" w:type="dxa"/>
            <w:tcBorders>
              <w:top w:val="nil"/>
              <w:left w:val="nil"/>
              <w:bottom w:val="single" w:sz="8" w:space="0" w:color="auto"/>
              <w:right w:val="single" w:sz="8" w:space="0" w:color="auto"/>
            </w:tcBorders>
            <w:shd w:val="clear" w:color="auto" w:fill="auto"/>
            <w:noWrap/>
            <w:vAlign w:val="center"/>
            <w:hideMark/>
          </w:tcPr>
          <w:p w14:paraId="1C654CC1"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-3.87</w:t>
            </w:r>
          </w:p>
        </w:tc>
        <w:tc>
          <w:tcPr>
            <w:tcW w:w="964" w:type="dxa"/>
            <w:tcBorders>
              <w:top w:val="nil"/>
              <w:left w:val="nil"/>
              <w:bottom w:val="single" w:sz="8" w:space="0" w:color="auto"/>
              <w:right w:val="single" w:sz="8" w:space="0" w:color="auto"/>
            </w:tcBorders>
            <w:shd w:val="clear" w:color="auto" w:fill="auto"/>
            <w:vAlign w:val="center"/>
            <w:hideMark/>
          </w:tcPr>
          <w:p w14:paraId="753E3BE3"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WS3</w:t>
            </w:r>
          </w:p>
        </w:tc>
        <w:tc>
          <w:tcPr>
            <w:tcW w:w="1817" w:type="dxa"/>
            <w:tcBorders>
              <w:top w:val="nil"/>
              <w:left w:val="nil"/>
              <w:bottom w:val="single" w:sz="8" w:space="0" w:color="auto"/>
              <w:right w:val="single" w:sz="8" w:space="0" w:color="auto"/>
            </w:tcBorders>
            <w:shd w:val="clear" w:color="auto" w:fill="auto"/>
            <w:noWrap/>
            <w:vAlign w:val="center"/>
            <w:hideMark/>
          </w:tcPr>
          <w:p w14:paraId="6F8C6102"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2.8</w:t>
            </w:r>
          </w:p>
        </w:tc>
        <w:tc>
          <w:tcPr>
            <w:tcW w:w="1818" w:type="dxa"/>
            <w:tcBorders>
              <w:top w:val="nil"/>
              <w:left w:val="nil"/>
              <w:bottom w:val="single" w:sz="8" w:space="0" w:color="auto"/>
              <w:right w:val="single" w:sz="8" w:space="0" w:color="auto"/>
            </w:tcBorders>
            <w:shd w:val="clear" w:color="auto" w:fill="auto"/>
            <w:noWrap/>
            <w:vAlign w:val="center"/>
            <w:hideMark/>
          </w:tcPr>
          <w:p w14:paraId="77727924"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-117.36</w:t>
            </w:r>
          </w:p>
        </w:tc>
      </w:tr>
      <w:tr w:rsidR="00393D32" w:rsidRPr="00393D32" w14:paraId="3473F060"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3F8FC72E"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ES3</w:t>
            </w:r>
          </w:p>
        </w:tc>
        <w:tc>
          <w:tcPr>
            <w:tcW w:w="1915" w:type="dxa"/>
            <w:tcBorders>
              <w:top w:val="nil"/>
              <w:left w:val="nil"/>
              <w:bottom w:val="single" w:sz="8" w:space="0" w:color="auto"/>
              <w:right w:val="single" w:sz="8" w:space="0" w:color="auto"/>
            </w:tcBorders>
            <w:shd w:val="clear" w:color="auto" w:fill="auto"/>
            <w:noWrap/>
            <w:vAlign w:val="center"/>
            <w:hideMark/>
          </w:tcPr>
          <w:p w14:paraId="09D8F9AB"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-144.9</w:t>
            </w:r>
          </w:p>
        </w:tc>
        <w:tc>
          <w:tcPr>
            <w:tcW w:w="1841" w:type="dxa"/>
            <w:tcBorders>
              <w:top w:val="nil"/>
              <w:left w:val="nil"/>
              <w:bottom w:val="single" w:sz="8" w:space="0" w:color="auto"/>
              <w:right w:val="single" w:sz="8" w:space="0" w:color="auto"/>
            </w:tcBorders>
            <w:shd w:val="clear" w:color="auto" w:fill="auto"/>
            <w:noWrap/>
            <w:vAlign w:val="center"/>
            <w:hideMark/>
          </w:tcPr>
          <w:p w14:paraId="63EED34F"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single" w:sz="8" w:space="0" w:color="auto"/>
              <w:right w:val="single" w:sz="8" w:space="0" w:color="auto"/>
            </w:tcBorders>
            <w:shd w:val="clear" w:color="auto" w:fill="auto"/>
            <w:vAlign w:val="center"/>
            <w:hideMark/>
          </w:tcPr>
          <w:p w14:paraId="5C2D74C2"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WS3.1</w:t>
            </w:r>
          </w:p>
        </w:tc>
        <w:tc>
          <w:tcPr>
            <w:tcW w:w="1817" w:type="dxa"/>
            <w:tcBorders>
              <w:top w:val="nil"/>
              <w:left w:val="nil"/>
              <w:bottom w:val="single" w:sz="8" w:space="0" w:color="auto"/>
              <w:right w:val="single" w:sz="8" w:space="0" w:color="auto"/>
            </w:tcBorders>
            <w:shd w:val="clear" w:color="auto" w:fill="auto"/>
            <w:noWrap/>
            <w:vAlign w:val="center"/>
            <w:hideMark/>
          </w:tcPr>
          <w:p w14:paraId="56E5285E"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w:t>
            </w:r>
          </w:p>
        </w:tc>
        <w:tc>
          <w:tcPr>
            <w:tcW w:w="1818" w:type="dxa"/>
            <w:tcBorders>
              <w:top w:val="nil"/>
              <w:left w:val="nil"/>
              <w:bottom w:val="single" w:sz="8" w:space="0" w:color="auto"/>
              <w:right w:val="single" w:sz="8" w:space="0" w:color="auto"/>
            </w:tcBorders>
            <w:shd w:val="clear" w:color="auto" w:fill="auto"/>
            <w:noWrap/>
            <w:vAlign w:val="center"/>
            <w:hideMark/>
          </w:tcPr>
          <w:p w14:paraId="304A7B96"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-40.82</w:t>
            </w:r>
          </w:p>
        </w:tc>
      </w:tr>
      <w:tr w:rsidR="00393D32" w:rsidRPr="00393D32" w14:paraId="6A0A9CC3"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5ED96645"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ES3.1</w:t>
            </w:r>
          </w:p>
        </w:tc>
        <w:tc>
          <w:tcPr>
            <w:tcW w:w="1915" w:type="dxa"/>
            <w:tcBorders>
              <w:top w:val="nil"/>
              <w:left w:val="nil"/>
              <w:bottom w:val="single" w:sz="8" w:space="0" w:color="auto"/>
              <w:right w:val="single" w:sz="8" w:space="0" w:color="auto"/>
            </w:tcBorders>
            <w:shd w:val="clear" w:color="auto" w:fill="auto"/>
            <w:noWrap/>
            <w:vAlign w:val="center"/>
            <w:hideMark/>
          </w:tcPr>
          <w:p w14:paraId="55354546"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-43.2</w:t>
            </w:r>
          </w:p>
        </w:tc>
        <w:tc>
          <w:tcPr>
            <w:tcW w:w="1841" w:type="dxa"/>
            <w:tcBorders>
              <w:top w:val="nil"/>
              <w:left w:val="nil"/>
              <w:bottom w:val="single" w:sz="8" w:space="0" w:color="auto"/>
              <w:right w:val="single" w:sz="8" w:space="0" w:color="auto"/>
            </w:tcBorders>
            <w:shd w:val="clear" w:color="auto" w:fill="auto"/>
            <w:noWrap/>
            <w:vAlign w:val="center"/>
            <w:hideMark/>
          </w:tcPr>
          <w:p w14:paraId="77AF70F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single" w:sz="8" w:space="0" w:color="auto"/>
              <w:right w:val="single" w:sz="8" w:space="0" w:color="auto"/>
            </w:tcBorders>
            <w:shd w:val="clear" w:color="auto" w:fill="auto"/>
            <w:vAlign w:val="center"/>
            <w:hideMark/>
          </w:tcPr>
          <w:p w14:paraId="208D61BD"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WS3.2</w:t>
            </w:r>
          </w:p>
        </w:tc>
        <w:tc>
          <w:tcPr>
            <w:tcW w:w="1817" w:type="dxa"/>
            <w:tcBorders>
              <w:top w:val="nil"/>
              <w:left w:val="nil"/>
              <w:bottom w:val="single" w:sz="8" w:space="0" w:color="auto"/>
              <w:right w:val="single" w:sz="8" w:space="0" w:color="auto"/>
            </w:tcBorders>
            <w:shd w:val="clear" w:color="auto" w:fill="auto"/>
            <w:noWrap/>
            <w:vAlign w:val="center"/>
            <w:hideMark/>
          </w:tcPr>
          <w:p w14:paraId="6AEB5784"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3.8</w:t>
            </w:r>
          </w:p>
        </w:tc>
        <w:tc>
          <w:tcPr>
            <w:tcW w:w="1818" w:type="dxa"/>
            <w:tcBorders>
              <w:top w:val="nil"/>
              <w:left w:val="nil"/>
              <w:bottom w:val="single" w:sz="8" w:space="0" w:color="auto"/>
              <w:right w:val="single" w:sz="8" w:space="0" w:color="auto"/>
            </w:tcBorders>
            <w:shd w:val="clear" w:color="auto" w:fill="auto"/>
            <w:noWrap/>
            <w:vAlign w:val="center"/>
            <w:hideMark/>
          </w:tcPr>
          <w:p w14:paraId="6189443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-76.54</w:t>
            </w:r>
          </w:p>
        </w:tc>
      </w:tr>
      <w:tr w:rsidR="00393D32" w:rsidRPr="00393D32" w14:paraId="4A447FEC"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342CDA2E"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ES3.2</w:t>
            </w:r>
          </w:p>
        </w:tc>
        <w:tc>
          <w:tcPr>
            <w:tcW w:w="1915" w:type="dxa"/>
            <w:tcBorders>
              <w:top w:val="nil"/>
              <w:left w:val="nil"/>
              <w:bottom w:val="single" w:sz="8" w:space="0" w:color="auto"/>
              <w:right w:val="single" w:sz="8" w:space="0" w:color="auto"/>
            </w:tcBorders>
            <w:shd w:val="clear" w:color="auto" w:fill="auto"/>
            <w:noWrap/>
            <w:vAlign w:val="center"/>
            <w:hideMark/>
          </w:tcPr>
          <w:p w14:paraId="37BADB6C"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-44.7</w:t>
            </w:r>
          </w:p>
        </w:tc>
        <w:tc>
          <w:tcPr>
            <w:tcW w:w="1841" w:type="dxa"/>
            <w:tcBorders>
              <w:top w:val="nil"/>
              <w:left w:val="nil"/>
              <w:bottom w:val="single" w:sz="8" w:space="0" w:color="auto"/>
              <w:right w:val="single" w:sz="8" w:space="0" w:color="auto"/>
            </w:tcBorders>
            <w:shd w:val="clear" w:color="auto" w:fill="auto"/>
            <w:noWrap/>
            <w:vAlign w:val="center"/>
            <w:hideMark/>
          </w:tcPr>
          <w:p w14:paraId="1680875E"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single" w:sz="8" w:space="0" w:color="auto"/>
              <w:right w:val="single" w:sz="8" w:space="0" w:color="auto"/>
            </w:tcBorders>
            <w:shd w:val="clear" w:color="auto" w:fill="auto"/>
            <w:vAlign w:val="center"/>
            <w:hideMark/>
          </w:tcPr>
          <w:p w14:paraId="5BD5DF6A"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WS4</w:t>
            </w:r>
          </w:p>
        </w:tc>
        <w:tc>
          <w:tcPr>
            <w:tcW w:w="1817" w:type="dxa"/>
            <w:tcBorders>
              <w:top w:val="nil"/>
              <w:left w:val="nil"/>
              <w:bottom w:val="single" w:sz="8" w:space="0" w:color="auto"/>
              <w:right w:val="single" w:sz="8" w:space="0" w:color="auto"/>
            </w:tcBorders>
            <w:shd w:val="clear" w:color="auto" w:fill="auto"/>
            <w:noWrap/>
            <w:vAlign w:val="center"/>
            <w:hideMark/>
          </w:tcPr>
          <w:p w14:paraId="36E8BD2D"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0.01012</w:t>
            </w:r>
          </w:p>
        </w:tc>
        <w:tc>
          <w:tcPr>
            <w:tcW w:w="1818" w:type="dxa"/>
            <w:tcBorders>
              <w:top w:val="nil"/>
              <w:left w:val="nil"/>
              <w:bottom w:val="single" w:sz="8" w:space="0" w:color="auto"/>
              <w:right w:val="single" w:sz="8" w:space="0" w:color="auto"/>
            </w:tcBorders>
            <w:shd w:val="clear" w:color="auto" w:fill="auto"/>
            <w:noWrap/>
            <w:vAlign w:val="center"/>
            <w:hideMark/>
          </w:tcPr>
          <w:p w14:paraId="19AE2EC2"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-4.97</w:t>
            </w:r>
          </w:p>
        </w:tc>
      </w:tr>
      <w:tr w:rsidR="00393D32" w:rsidRPr="00393D32" w14:paraId="2C0D7159"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40EC6A75"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ES3.3</w:t>
            </w:r>
          </w:p>
        </w:tc>
        <w:tc>
          <w:tcPr>
            <w:tcW w:w="1915" w:type="dxa"/>
            <w:tcBorders>
              <w:top w:val="nil"/>
              <w:left w:val="nil"/>
              <w:bottom w:val="single" w:sz="8" w:space="0" w:color="auto"/>
              <w:right w:val="single" w:sz="8" w:space="0" w:color="auto"/>
            </w:tcBorders>
            <w:shd w:val="clear" w:color="auto" w:fill="auto"/>
            <w:noWrap/>
            <w:vAlign w:val="center"/>
            <w:hideMark/>
          </w:tcPr>
          <w:p w14:paraId="48BCEFA8"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-37.3</w:t>
            </w:r>
          </w:p>
        </w:tc>
        <w:tc>
          <w:tcPr>
            <w:tcW w:w="1841" w:type="dxa"/>
            <w:tcBorders>
              <w:top w:val="nil"/>
              <w:left w:val="nil"/>
              <w:bottom w:val="single" w:sz="8" w:space="0" w:color="auto"/>
              <w:right w:val="single" w:sz="8" w:space="0" w:color="auto"/>
            </w:tcBorders>
            <w:shd w:val="clear" w:color="auto" w:fill="auto"/>
            <w:noWrap/>
            <w:vAlign w:val="center"/>
            <w:hideMark/>
          </w:tcPr>
          <w:p w14:paraId="1342E21E"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single" w:sz="8" w:space="0" w:color="auto"/>
              <w:right w:val="single" w:sz="8" w:space="0" w:color="auto"/>
            </w:tcBorders>
            <w:shd w:val="clear" w:color="auto" w:fill="auto"/>
            <w:vAlign w:val="center"/>
            <w:hideMark/>
          </w:tcPr>
          <w:p w14:paraId="07E94376"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WS4.1</w:t>
            </w:r>
          </w:p>
        </w:tc>
        <w:tc>
          <w:tcPr>
            <w:tcW w:w="1817" w:type="dxa"/>
            <w:tcBorders>
              <w:top w:val="nil"/>
              <w:left w:val="nil"/>
              <w:bottom w:val="single" w:sz="8" w:space="0" w:color="auto"/>
              <w:right w:val="single" w:sz="8" w:space="0" w:color="auto"/>
            </w:tcBorders>
            <w:shd w:val="clear" w:color="auto" w:fill="auto"/>
            <w:noWrap/>
            <w:vAlign w:val="center"/>
            <w:hideMark/>
          </w:tcPr>
          <w:p w14:paraId="1ACDBFF0"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0.01012</w:t>
            </w:r>
          </w:p>
        </w:tc>
        <w:tc>
          <w:tcPr>
            <w:tcW w:w="1818" w:type="dxa"/>
            <w:tcBorders>
              <w:top w:val="nil"/>
              <w:left w:val="nil"/>
              <w:bottom w:val="single" w:sz="8" w:space="0" w:color="auto"/>
              <w:right w:val="single" w:sz="8" w:space="0" w:color="auto"/>
            </w:tcBorders>
            <w:shd w:val="clear" w:color="auto" w:fill="auto"/>
            <w:noWrap/>
            <w:vAlign w:val="center"/>
            <w:hideMark/>
          </w:tcPr>
          <w:p w14:paraId="62492B42"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-4.79</w:t>
            </w:r>
          </w:p>
        </w:tc>
      </w:tr>
      <w:tr w:rsidR="00393D32" w:rsidRPr="00393D32" w14:paraId="3D3AC85F"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1AC22C2A"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ES3.4</w:t>
            </w:r>
          </w:p>
        </w:tc>
        <w:tc>
          <w:tcPr>
            <w:tcW w:w="1915" w:type="dxa"/>
            <w:tcBorders>
              <w:top w:val="nil"/>
              <w:left w:val="nil"/>
              <w:bottom w:val="single" w:sz="8" w:space="0" w:color="auto"/>
              <w:right w:val="single" w:sz="8" w:space="0" w:color="auto"/>
            </w:tcBorders>
            <w:shd w:val="clear" w:color="auto" w:fill="auto"/>
            <w:noWrap/>
            <w:vAlign w:val="center"/>
            <w:hideMark/>
          </w:tcPr>
          <w:p w14:paraId="26251004"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-19.7</w:t>
            </w:r>
          </w:p>
        </w:tc>
        <w:tc>
          <w:tcPr>
            <w:tcW w:w="1841" w:type="dxa"/>
            <w:tcBorders>
              <w:top w:val="nil"/>
              <w:left w:val="nil"/>
              <w:bottom w:val="single" w:sz="8" w:space="0" w:color="auto"/>
              <w:right w:val="single" w:sz="8" w:space="0" w:color="auto"/>
            </w:tcBorders>
            <w:shd w:val="clear" w:color="auto" w:fill="auto"/>
            <w:noWrap/>
            <w:vAlign w:val="center"/>
            <w:hideMark/>
          </w:tcPr>
          <w:p w14:paraId="76E42B3D"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single" w:sz="8" w:space="0" w:color="auto"/>
              <w:right w:val="single" w:sz="8" w:space="0" w:color="auto"/>
            </w:tcBorders>
            <w:shd w:val="clear" w:color="auto" w:fill="auto"/>
            <w:vAlign w:val="center"/>
            <w:hideMark/>
          </w:tcPr>
          <w:p w14:paraId="2A5BAF6F"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WS4.2</w:t>
            </w:r>
          </w:p>
        </w:tc>
        <w:tc>
          <w:tcPr>
            <w:tcW w:w="1817" w:type="dxa"/>
            <w:tcBorders>
              <w:top w:val="nil"/>
              <w:left w:val="nil"/>
              <w:bottom w:val="single" w:sz="8" w:space="0" w:color="auto"/>
              <w:right w:val="single" w:sz="8" w:space="0" w:color="auto"/>
            </w:tcBorders>
            <w:shd w:val="clear" w:color="auto" w:fill="auto"/>
            <w:noWrap/>
            <w:vAlign w:val="center"/>
            <w:hideMark/>
          </w:tcPr>
          <w:p w14:paraId="1A65FAEF"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1818" w:type="dxa"/>
            <w:tcBorders>
              <w:top w:val="nil"/>
              <w:left w:val="nil"/>
              <w:bottom w:val="single" w:sz="8" w:space="0" w:color="auto"/>
              <w:right w:val="single" w:sz="8" w:space="0" w:color="auto"/>
            </w:tcBorders>
            <w:shd w:val="clear" w:color="auto" w:fill="auto"/>
            <w:noWrap/>
            <w:vAlign w:val="center"/>
            <w:hideMark/>
          </w:tcPr>
          <w:p w14:paraId="555872D9"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-0.18</w:t>
            </w:r>
          </w:p>
        </w:tc>
      </w:tr>
      <w:tr w:rsidR="00393D32" w:rsidRPr="00393D32" w14:paraId="397103D3"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1325C0AD"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lastRenderedPageBreak/>
              <w:t>ES4</w:t>
            </w:r>
          </w:p>
        </w:tc>
        <w:tc>
          <w:tcPr>
            <w:tcW w:w="1915" w:type="dxa"/>
            <w:tcBorders>
              <w:top w:val="nil"/>
              <w:left w:val="nil"/>
              <w:bottom w:val="single" w:sz="8" w:space="0" w:color="auto"/>
              <w:right w:val="single" w:sz="8" w:space="0" w:color="auto"/>
            </w:tcBorders>
            <w:shd w:val="clear" w:color="auto" w:fill="auto"/>
            <w:noWrap/>
            <w:vAlign w:val="center"/>
            <w:hideMark/>
          </w:tcPr>
          <w:p w14:paraId="2A5D705C"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-6.5</w:t>
            </w:r>
          </w:p>
        </w:tc>
        <w:tc>
          <w:tcPr>
            <w:tcW w:w="1841" w:type="dxa"/>
            <w:tcBorders>
              <w:top w:val="nil"/>
              <w:left w:val="nil"/>
              <w:bottom w:val="single" w:sz="8" w:space="0" w:color="auto"/>
              <w:right w:val="single" w:sz="8" w:space="0" w:color="auto"/>
            </w:tcBorders>
            <w:shd w:val="clear" w:color="auto" w:fill="auto"/>
            <w:noWrap/>
            <w:vAlign w:val="center"/>
            <w:hideMark/>
          </w:tcPr>
          <w:p w14:paraId="5DAC4626"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-18.45</w:t>
            </w:r>
          </w:p>
        </w:tc>
        <w:tc>
          <w:tcPr>
            <w:tcW w:w="964" w:type="dxa"/>
            <w:tcBorders>
              <w:top w:val="nil"/>
              <w:left w:val="nil"/>
              <w:bottom w:val="nil"/>
              <w:right w:val="nil"/>
            </w:tcBorders>
            <w:shd w:val="clear" w:color="auto" w:fill="auto"/>
            <w:noWrap/>
            <w:vAlign w:val="bottom"/>
            <w:hideMark/>
          </w:tcPr>
          <w:p w14:paraId="350BF9A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2775009D"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4EA5606D"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297C4E84"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3FAC8168"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ES4.1</w:t>
            </w:r>
          </w:p>
        </w:tc>
        <w:tc>
          <w:tcPr>
            <w:tcW w:w="1915" w:type="dxa"/>
            <w:tcBorders>
              <w:top w:val="nil"/>
              <w:left w:val="nil"/>
              <w:bottom w:val="single" w:sz="8" w:space="0" w:color="auto"/>
              <w:right w:val="single" w:sz="8" w:space="0" w:color="auto"/>
            </w:tcBorders>
            <w:shd w:val="clear" w:color="auto" w:fill="auto"/>
            <w:noWrap/>
            <w:vAlign w:val="center"/>
            <w:hideMark/>
          </w:tcPr>
          <w:p w14:paraId="57ED3EC2"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-2.5</w:t>
            </w:r>
          </w:p>
        </w:tc>
        <w:tc>
          <w:tcPr>
            <w:tcW w:w="1841" w:type="dxa"/>
            <w:tcBorders>
              <w:top w:val="nil"/>
              <w:left w:val="nil"/>
              <w:bottom w:val="single" w:sz="8" w:space="0" w:color="auto"/>
              <w:right w:val="single" w:sz="8" w:space="0" w:color="auto"/>
            </w:tcBorders>
            <w:shd w:val="clear" w:color="auto" w:fill="auto"/>
            <w:noWrap/>
            <w:vAlign w:val="center"/>
            <w:hideMark/>
          </w:tcPr>
          <w:p w14:paraId="438D795C"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257592F1"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2A92FD32"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6408323E"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46F0A7F5"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20DCD733"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ES4.2</w:t>
            </w:r>
          </w:p>
        </w:tc>
        <w:tc>
          <w:tcPr>
            <w:tcW w:w="1915" w:type="dxa"/>
            <w:tcBorders>
              <w:top w:val="nil"/>
              <w:left w:val="nil"/>
              <w:bottom w:val="single" w:sz="8" w:space="0" w:color="auto"/>
              <w:right w:val="single" w:sz="8" w:space="0" w:color="auto"/>
            </w:tcBorders>
            <w:shd w:val="clear" w:color="auto" w:fill="auto"/>
            <w:noWrap/>
            <w:vAlign w:val="center"/>
            <w:hideMark/>
          </w:tcPr>
          <w:p w14:paraId="533890AD"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-1.6</w:t>
            </w:r>
          </w:p>
        </w:tc>
        <w:tc>
          <w:tcPr>
            <w:tcW w:w="1841" w:type="dxa"/>
            <w:tcBorders>
              <w:top w:val="nil"/>
              <w:left w:val="nil"/>
              <w:bottom w:val="single" w:sz="8" w:space="0" w:color="auto"/>
              <w:right w:val="single" w:sz="8" w:space="0" w:color="auto"/>
            </w:tcBorders>
            <w:shd w:val="clear" w:color="auto" w:fill="auto"/>
            <w:noWrap/>
            <w:vAlign w:val="center"/>
            <w:hideMark/>
          </w:tcPr>
          <w:p w14:paraId="3C130BD3"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41B9625D"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7FFF52E9"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011CBFA4"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448F858B"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19683062"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ES4.3</w:t>
            </w:r>
          </w:p>
        </w:tc>
        <w:tc>
          <w:tcPr>
            <w:tcW w:w="1915" w:type="dxa"/>
            <w:tcBorders>
              <w:top w:val="nil"/>
              <w:left w:val="nil"/>
              <w:bottom w:val="single" w:sz="8" w:space="0" w:color="auto"/>
              <w:right w:val="single" w:sz="8" w:space="0" w:color="auto"/>
            </w:tcBorders>
            <w:shd w:val="clear" w:color="auto" w:fill="auto"/>
            <w:noWrap/>
            <w:vAlign w:val="center"/>
            <w:hideMark/>
          </w:tcPr>
          <w:p w14:paraId="4D14DE64"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-2.4</w:t>
            </w:r>
          </w:p>
        </w:tc>
        <w:tc>
          <w:tcPr>
            <w:tcW w:w="1841" w:type="dxa"/>
            <w:tcBorders>
              <w:top w:val="nil"/>
              <w:left w:val="nil"/>
              <w:bottom w:val="single" w:sz="8" w:space="0" w:color="auto"/>
              <w:right w:val="single" w:sz="8" w:space="0" w:color="auto"/>
            </w:tcBorders>
            <w:shd w:val="clear" w:color="auto" w:fill="auto"/>
            <w:noWrap/>
            <w:vAlign w:val="center"/>
            <w:hideMark/>
          </w:tcPr>
          <w:p w14:paraId="34A48469"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-18.45</w:t>
            </w:r>
          </w:p>
        </w:tc>
        <w:tc>
          <w:tcPr>
            <w:tcW w:w="964" w:type="dxa"/>
            <w:tcBorders>
              <w:top w:val="nil"/>
              <w:left w:val="nil"/>
              <w:bottom w:val="nil"/>
              <w:right w:val="nil"/>
            </w:tcBorders>
            <w:shd w:val="clear" w:color="auto" w:fill="auto"/>
            <w:noWrap/>
            <w:vAlign w:val="bottom"/>
            <w:hideMark/>
          </w:tcPr>
          <w:p w14:paraId="26788112"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77FC499B"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24A0B6BF"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7DEF114F"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5102FC43"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ES5</w:t>
            </w:r>
          </w:p>
        </w:tc>
        <w:tc>
          <w:tcPr>
            <w:tcW w:w="1915" w:type="dxa"/>
            <w:tcBorders>
              <w:top w:val="nil"/>
              <w:left w:val="nil"/>
              <w:bottom w:val="single" w:sz="8" w:space="0" w:color="auto"/>
              <w:right w:val="single" w:sz="8" w:space="0" w:color="auto"/>
            </w:tcBorders>
            <w:shd w:val="clear" w:color="auto" w:fill="auto"/>
            <w:noWrap/>
            <w:vAlign w:val="center"/>
            <w:hideMark/>
          </w:tcPr>
          <w:p w14:paraId="7A947D37"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-126.4</w:t>
            </w:r>
          </w:p>
        </w:tc>
        <w:tc>
          <w:tcPr>
            <w:tcW w:w="1841" w:type="dxa"/>
            <w:tcBorders>
              <w:top w:val="nil"/>
              <w:left w:val="nil"/>
              <w:bottom w:val="single" w:sz="8" w:space="0" w:color="auto"/>
              <w:right w:val="single" w:sz="8" w:space="0" w:color="auto"/>
            </w:tcBorders>
            <w:shd w:val="clear" w:color="auto" w:fill="auto"/>
            <w:noWrap/>
            <w:vAlign w:val="center"/>
            <w:hideMark/>
          </w:tcPr>
          <w:p w14:paraId="2D948FE2"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-2.89</w:t>
            </w:r>
          </w:p>
        </w:tc>
        <w:tc>
          <w:tcPr>
            <w:tcW w:w="964" w:type="dxa"/>
            <w:tcBorders>
              <w:top w:val="nil"/>
              <w:left w:val="nil"/>
              <w:bottom w:val="nil"/>
              <w:right w:val="nil"/>
            </w:tcBorders>
            <w:shd w:val="clear" w:color="auto" w:fill="auto"/>
            <w:noWrap/>
            <w:vAlign w:val="bottom"/>
            <w:hideMark/>
          </w:tcPr>
          <w:p w14:paraId="37608FF8"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0E7FDFC9"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5AB8C875"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43D54361"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5777F79D"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ES5.1</w:t>
            </w:r>
          </w:p>
        </w:tc>
        <w:tc>
          <w:tcPr>
            <w:tcW w:w="1915" w:type="dxa"/>
            <w:tcBorders>
              <w:top w:val="nil"/>
              <w:left w:val="nil"/>
              <w:bottom w:val="single" w:sz="8" w:space="0" w:color="auto"/>
              <w:right w:val="single" w:sz="8" w:space="0" w:color="auto"/>
            </w:tcBorders>
            <w:shd w:val="clear" w:color="auto" w:fill="auto"/>
            <w:noWrap/>
            <w:vAlign w:val="center"/>
            <w:hideMark/>
          </w:tcPr>
          <w:p w14:paraId="30631BE0"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-22.4</w:t>
            </w:r>
          </w:p>
        </w:tc>
        <w:tc>
          <w:tcPr>
            <w:tcW w:w="1841" w:type="dxa"/>
            <w:tcBorders>
              <w:top w:val="nil"/>
              <w:left w:val="nil"/>
              <w:bottom w:val="single" w:sz="8" w:space="0" w:color="auto"/>
              <w:right w:val="single" w:sz="8" w:space="0" w:color="auto"/>
            </w:tcBorders>
            <w:shd w:val="clear" w:color="auto" w:fill="auto"/>
            <w:noWrap/>
            <w:vAlign w:val="center"/>
            <w:hideMark/>
          </w:tcPr>
          <w:p w14:paraId="6531320B"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2B59CFC0"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2F83C6FA"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6D753092"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03578308"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6786C145"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ES5.2</w:t>
            </w:r>
          </w:p>
        </w:tc>
        <w:tc>
          <w:tcPr>
            <w:tcW w:w="1915" w:type="dxa"/>
            <w:tcBorders>
              <w:top w:val="nil"/>
              <w:left w:val="nil"/>
              <w:bottom w:val="single" w:sz="8" w:space="0" w:color="auto"/>
              <w:right w:val="single" w:sz="8" w:space="0" w:color="auto"/>
            </w:tcBorders>
            <w:shd w:val="clear" w:color="auto" w:fill="auto"/>
            <w:noWrap/>
            <w:vAlign w:val="center"/>
            <w:hideMark/>
          </w:tcPr>
          <w:p w14:paraId="37B15686"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-1.6</w:t>
            </w:r>
          </w:p>
        </w:tc>
        <w:tc>
          <w:tcPr>
            <w:tcW w:w="1841" w:type="dxa"/>
            <w:tcBorders>
              <w:top w:val="nil"/>
              <w:left w:val="nil"/>
              <w:bottom w:val="single" w:sz="8" w:space="0" w:color="auto"/>
              <w:right w:val="single" w:sz="8" w:space="0" w:color="auto"/>
            </w:tcBorders>
            <w:shd w:val="clear" w:color="auto" w:fill="auto"/>
            <w:noWrap/>
            <w:vAlign w:val="center"/>
            <w:hideMark/>
          </w:tcPr>
          <w:p w14:paraId="2951201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2848917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03010874"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59AE008A"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31FEC06B"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4F4A8CAB"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ES5.3</w:t>
            </w:r>
          </w:p>
        </w:tc>
        <w:tc>
          <w:tcPr>
            <w:tcW w:w="1915" w:type="dxa"/>
            <w:tcBorders>
              <w:top w:val="nil"/>
              <w:left w:val="nil"/>
              <w:bottom w:val="single" w:sz="8" w:space="0" w:color="auto"/>
              <w:right w:val="single" w:sz="8" w:space="0" w:color="auto"/>
            </w:tcBorders>
            <w:shd w:val="clear" w:color="auto" w:fill="auto"/>
            <w:noWrap/>
            <w:vAlign w:val="center"/>
            <w:hideMark/>
          </w:tcPr>
          <w:p w14:paraId="7A034FE3"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-41.2</w:t>
            </w:r>
          </w:p>
        </w:tc>
        <w:tc>
          <w:tcPr>
            <w:tcW w:w="1841" w:type="dxa"/>
            <w:tcBorders>
              <w:top w:val="nil"/>
              <w:left w:val="nil"/>
              <w:bottom w:val="single" w:sz="8" w:space="0" w:color="auto"/>
              <w:right w:val="single" w:sz="8" w:space="0" w:color="auto"/>
            </w:tcBorders>
            <w:shd w:val="clear" w:color="auto" w:fill="auto"/>
            <w:noWrap/>
            <w:vAlign w:val="center"/>
            <w:hideMark/>
          </w:tcPr>
          <w:p w14:paraId="6C1CBA83"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-2.89</w:t>
            </w:r>
          </w:p>
        </w:tc>
        <w:tc>
          <w:tcPr>
            <w:tcW w:w="964" w:type="dxa"/>
            <w:tcBorders>
              <w:top w:val="nil"/>
              <w:left w:val="nil"/>
              <w:bottom w:val="nil"/>
              <w:right w:val="nil"/>
            </w:tcBorders>
            <w:shd w:val="clear" w:color="auto" w:fill="auto"/>
            <w:noWrap/>
            <w:vAlign w:val="bottom"/>
            <w:hideMark/>
          </w:tcPr>
          <w:p w14:paraId="252C27F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2A0598EE"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33C89B68"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60A117AD"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1528A855"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ES5.4</w:t>
            </w:r>
          </w:p>
        </w:tc>
        <w:tc>
          <w:tcPr>
            <w:tcW w:w="1915" w:type="dxa"/>
            <w:tcBorders>
              <w:top w:val="nil"/>
              <w:left w:val="nil"/>
              <w:bottom w:val="single" w:sz="8" w:space="0" w:color="auto"/>
              <w:right w:val="single" w:sz="8" w:space="0" w:color="auto"/>
            </w:tcBorders>
            <w:shd w:val="clear" w:color="auto" w:fill="auto"/>
            <w:noWrap/>
            <w:vAlign w:val="center"/>
            <w:hideMark/>
          </w:tcPr>
          <w:p w14:paraId="53CE8817"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-32</w:t>
            </w:r>
          </w:p>
        </w:tc>
        <w:tc>
          <w:tcPr>
            <w:tcW w:w="1841" w:type="dxa"/>
            <w:tcBorders>
              <w:top w:val="nil"/>
              <w:left w:val="nil"/>
              <w:bottom w:val="single" w:sz="8" w:space="0" w:color="auto"/>
              <w:right w:val="single" w:sz="8" w:space="0" w:color="auto"/>
            </w:tcBorders>
            <w:shd w:val="clear" w:color="auto" w:fill="auto"/>
            <w:noWrap/>
            <w:vAlign w:val="center"/>
            <w:hideMark/>
          </w:tcPr>
          <w:p w14:paraId="3547B193"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1A74185D"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72D777F5"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4F21D97B"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597D4365"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1F163971"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ES5.5</w:t>
            </w:r>
          </w:p>
        </w:tc>
        <w:tc>
          <w:tcPr>
            <w:tcW w:w="1915" w:type="dxa"/>
            <w:tcBorders>
              <w:top w:val="nil"/>
              <w:left w:val="nil"/>
              <w:bottom w:val="single" w:sz="8" w:space="0" w:color="auto"/>
              <w:right w:val="single" w:sz="8" w:space="0" w:color="auto"/>
            </w:tcBorders>
            <w:shd w:val="clear" w:color="auto" w:fill="auto"/>
            <w:noWrap/>
            <w:vAlign w:val="center"/>
            <w:hideMark/>
          </w:tcPr>
          <w:p w14:paraId="32A6659D"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-6.9</w:t>
            </w:r>
          </w:p>
        </w:tc>
        <w:tc>
          <w:tcPr>
            <w:tcW w:w="1841" w:type="dxa"/>
            <w:tcBorders>
              <w:top w:val="nil"/>
              <w:left w:val="nil"/>
              <w:bottom w:val="single" w:sz="8" w:space="0" w:color="auto"/>
              <w:right w:val="single" w:sz="8" w:space="0" w:color="auto"/>
            </w:tcBorders>
            <w:shd w:val="clear" w:color="auto" w:fill="auto"/>
            <w:noWrap/>
            <w:vAlign w:val="center"/>
            <w:hideMark/>
          </w:tcPr>
          <w:p w14:paraId="34950F67"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557CB450"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2C1E4F5C"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21D73E49"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0D6F2D21"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358F6178"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ES5.6</w:t>
            </w:r>
          </w:p>
        </w:tc>
        <w:tc>
          <w:tcPr>
            <w:tcW w:w="1915" w:type="dxa"/>
            <w:tcBorders>
              <w:top w:val="nil"/>
              <w:left w:val="nil"/>
              <w:bottom w:val="single" w:sz="8" w:space="0" w:color="auto"/>
              <w:right w:val="single" w:sz="8" w:space="0" w:color="auto"/>
            </w:tcBorders>
            <w:shd w:val="clear" w:color="auto" w:fill="auto"/>
            <w:noWrap/>
            <w:vAlign w:val="center"/>
            <w:hideMark/>
          </w:tcPr>
          <w:p w14:paraId="589B0206"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-7.1</w:t>
            </w:r>
          </w:p>
        </w:tc>
        <w:tc>
          <w:tcPr>
            <w:tcW w:w="1841" w:type="dxa"/>
            <w:tcBorders>
              <w:top w:val="nil"/>
              <w:left w:val="nil"/>
              <w:bottom w:val="single" w:sz="8" w:space="0" w:color="auto"/>
              <w:right w:val="single" w:sz="8" w:space="0" w:color="auto"/>
            </w:tcBorders>
            <w:shd w:val="clear" w:color="auto" w:fill="auto"/>
            <w:noWrap/>
            <w:vAlign w:val="center"/>
            <w:hideMark/>
          </w:tcPr>
          <w:p w14:paraId="4DA97A51"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79C662F8"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4ACFB35D"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1D20C696"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23F93EC1"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7D230D26"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ES5.7</w:t>
            </w:r>
          </w:p>
        </w:tc>
        <w:tc>
          <w:tcPr>
            <w:tcW w:w="1915" w:type="dxa"/>
            <w:tcBorders>
              <w:top w:val="nil"/>
              <w:left w:val="nil"/>
              <w:bottom w:val="single" w:sz="8" w:space="0" w:color="auto"/>
              <w:right w:val="single" w:sz="8" w:space="0" w:color="auto"/>
            </w:tcBorders>
            <w:shd w:val="clear" w:color="auto" w:fill="auto"/>
            <w:noWrap/>
            <w:vAlign w:val="center"/>
            <w:hideMark/>
          </w:tcPr>
          <w:p w14:paraId="44BC538E"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-15.2</w:t>
            </w:r>
          </w:p>
        </w:tc>
        <w:tc>
          <w:tcPr>
            <w:tcW w:w="1841" w:type="dxa"/>
            <w:tcBorders>
              <w:top w:val="nil"/>
              <w:left w:val="nil"/>
              <w:bottom w:val="single" w:sz="8" w:space="0" w:color="auto"/>
              <w:right w:val="single" w:sz="8" w:space="0" w:color="auto"/>
            </w:tcBorders>
            <w:shd w:val="clear" w:color="auto" w:fill="auto"/>
            <w:noWrap/>
            <w:vAlign w:val="center"/>
            <w:hideMark/>
          </w:tcPr>
          <w:p w14:paraId="07DE4608"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75315368"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0059A6F5"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0A66C752"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2D222BD1"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2BE9292E" w14:textId="77777777" w:rsidR="00255C6B" w:rsidRPr="00393D32" w:rsidRDefault="00255C6B" w:rsidP="00166885">
            <w:pPr>
              <w:spacing w:after="0" w:line="240" w:lineRule="auto"/>
              <w:jc w:val="both"/>
              <w:rPr>
                <w:rFonts w:ascii="Times New Roman" w:eastAsia="Times New Roman" w:hAnsi="Times New Roman" w:cs="Times New Roman"/>
                <w:b/>
                <w:bCs/>
                <w:sz w:val="24"/>
                <w:szCs w:val="24"/>
              </w:rPr>
            </w:pPr>
            <w:r w:rsidRPr="00393D32">
              <w:rPr>
                <w:rFonts w:ascii="Times New Roman" w:eastAsia="Times New Roman" w:hAnsi="Times New Roman" w:cs="Times New Roman"/>
                <w:b/>
                <w:bCs/>
                <w:sz w:val="24"/>
                <w:szCs w:val="24"/>
              </w:rPr>
              <w:t>ES6</w:t>
            </w:r>
          </w:p>
        </w:tc>
        <w:tc>
          <w:tcPr>
            <w:tcW w:w="1915" w:type="dxa"/>
            <w:tcBorders>
              <w:top w:val="nil"/>
              <w:left w:val="nil"/>
              <w:bottom w:val="single" w:sz="8" w:space="0" w:color="auto"/>
              <w:right w:val="single" w:sz="8" w:space="0" w:color="auto"/>
            </w:tcBorders>
            <w:shd w:val="clear" w:color="auto" w:fill="auto"/>
            <w:noWrap/>
            <w:vAlign w:val="center"/>
            <w:hideMark/>
          </w:tcPr>
          <w:p w14:paraId="2ADD8159"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1841" w:type="dxa"/>
            <w:tcBorders>
              <w:top w:val="nil"/>
              <w:left w:val="nil"/>
              <w:bottom w:val="single" w:sz="8" w:space="0" w:color="auto"/>
              <w:right w:val="single" w:sz="8" w:space="0" w:color="auto"/>
            </w:tcBorders>
            <w:shd w:val="clear" w:color="auto" w:fill="auto"/>
            <w:noWrap/>
            <w:vAlign w:val="center"/>
            <w:hideMark/>
          </w:tcPr>
          <w:p w14:paraId="0EB7F4EF"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423C3C7E"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1BE990CB"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6A6483D3"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r w:rsidR="00393D32" w:rsidRPr="00393D32" w14:paraId="52A8A9AD" w14:textId="77777777" w:rsidTr="00166885">
        <w:trPr>
          <w:trHeight w:val="243"/>
        </w:trPr>
        <w:tc>
          <w:tcPr>
            <w:tcW w:w="964" w:type="dxa"/>
            <w:tcBorders>
              <w:top w:val="nil"/>
              <w:left w:val="single" w:sz="8" w:space="0" w:color="auto"/>
              <w:bottom w:val="single" w:sz="8" w:space="0" w:color="auto"/>
              <w:right w:val="single" w:sz="8" w:space="0" w:color="auto"/>
            </w:tcBorders>
            <w:shd w:val="clear" w:color="auto" w:fill="auto"/>
            <w:vAlign w:val="center"/>
            <w:hideMark/>
          </w:tcPr>
          <w:p w14:paraId="12F7B590" w14:textId="77777777" w:rsidR="00255C6B" w:rsidRPr="00393D32" w:rsidRDefault="00255C6B" w:rsidP="00166885">
            <w:pPr>
              <w:spacing w:after="0" w:line="240" w:lineRule="auto"/>
              <w:jc w:val="right"/>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ES6.1</w:t>
            </w:r>
          </w:p>
        </w:tc>
        <w:tc>
          <w:tcPr>
            <w:tcW w:w="1915" w:type="dxa"/>
            <w:tcBorders>
              <w:top w:val="nil"/>
              <w:left w:val="nil"/>
              <w:bottom w:val="single" w:sz="8" w:space="0" w:color="auto"/>
              <w:right w:val="single" w:sz="8" w:space="0" w:color="auto"/>
            </w:tcBorders>
            <w:shd w:val="clear" w:color="auto" w:fill="auto"/>
            <w:noWrap/>
            <w:vAlign w:val="center"/>
            <w:hideMark/>
          </w:tcPr>
          <w:p w14:paraId="43FD1779"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1841" w:type="dxa"/>
            <w:tcBorders>
              <w:top w:val="nil"/>
              <w:left w:val="nil"/>
              <w:bottom w:val="single" w:sz="8" w:space="0" w:color="auto"/>
              <w:right w:val="single" w:sz="8" w:space="0" w:color="auto"/>
            </w:tcBorders>
            <w:shd w:val="clear" w:color="auto" w:fill="auto"/>
            <w:noWrap/>
            <w:vAlign w:val="center"/>
            <w:hideMark/>
          </w:tcPr>
          <w:p w14:paraId="5F7A65B5"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r w:rsidRPr="00393D32">
              <w:rPr>
                <w:rFonts w:ascii="Times New Roman" w:eastAsia="Times New Roman" w:hAnsi="Times New Roman" w:cs="Times New Roman"/>
                <w:sz w:val="24"/>
                <w:szCs w:val="24"/>
              </w:rPr>
              <w:t>x</w:t>
            </w:r>
          </w:p>
        </w:tc>
        <w:tc>
          <w:tcPr>
            <w:tcW w:w="964" w:type="dxa"/>
            <w:tcBorders>
              <w:top w:val="nil"/>
              <w:left w:val="nil"/>
              <w:bottom w:val="nil"/>
              <w:right w:val="nil"/>
            </w:tcBorders>
            <w:shd w:val="clear" w:color="auto" w:fill="auto"/>
            <w:noWrap/>
            <w:vAlign w:val="bottom"/>
            <w:hideMark/>
          </w:tcPr>
          <w:p w14:paraId="759CA80B" w14:textId="77777777" w:rsidR="00255C6B" w:rsidRPr="00393D32" w:rsidRDefault="00255C6B" w:rsidP="00166885">
            <w:pPr>
              <w:spacing w:after="0" w:line="240" w:lineRule="auto"/>
              <w:jc w:val="center"/>
              <w:rPr>
                <w:rFonts w:ascii="Times New Roman" w:eastAsia="Times New Roman" w:hAnsi="Times New Roman" w:cs="Times New Roman"/>
                <w:sz w:val="24"/>
                <w:szCs w:val="24"/>
              </w:rPr>
            </w:pPr>
          </w:p>
        </w:tc>
        <w:tc>
          <w:tcPr>
            <w:tcW w:w="1817" w:type="dxa"/>
            <w:tcBorders>
              <w:top w:val="nil"/>
              <w:left w:val="nil"/>
              <w:bottom w:val="nil"/>
              <w:right w:val="nil"/>
            </w:tcBorders>
            <w:shd w:val="clear" w:color="auto" w:fill="auto"/>
            <w:noWrap/>
            <w:vAlign w:val="bottom"/>
            <w:hideMark/>
          </w:tcPr>
          <w:p w14:paraId="15E79F4A" w14:textId="77777777" w:rsidR="00255C6B" w:rsidRPr="00393D32" w:rsidRDefault="00255C6B" w:rsidP="00166885">
            <w:pPr>
              <w:spacing w:after="0" w:line="240" w:lineRule="auto"/>
              <w:rPr>
                <w:rFonts w:ascii="Times New Roman" w:eastAsia="Times New Roman" w:hAnsi="Times New Roman" w:cs="Times New Roman"/>
                <w:sz w:val="24"/>
                <w:szCs w:val="24"/>
              </w:rPr>
            </w:pPr>
          </w:p>
        </w:tc>
        <w:tc>
          <w:tcPr>
            <w:tcW w:w="1818" w:type="dxa"/>
            <w:tcBorders>
              <w:top w:val="nil"/>
              <w:left w:val="nil"/>
              <w:bottom w:val="nil"/>
              <w:right w:val="nil"/>
            </w:tcBorders>
            <w:shd w:val="clear" w:color="auto" w:fill="auto"/>
            <w:noWrap/>
            <w:vAlign w:val="bottom"/>
            <w:hideMark/>
          </w:tcPr>
          <w:p w14:paraId="71D6A5EF" w14:textId="77777777" w:rsidR="00255C6B" w:rsidRPr="00393D32" w:rsidRDefault="00255C6B" w:rsidP="00166885">
            <w:pPr>
              <w:spacing w:after="0" w:line="240" w:lineRule="auto"/>
              <w:rPr>
                <w:rFonts w:ascii="Times New Roman" w:eastAsia="Times New Roman" w:hAnsi="Times New Roman" w:cs="Times New Roman"/>
                <w:sz w:val="24"/>
                <w:szCs w:val="24"/>
              </w:rPr>
            </w:pPr>
          </w:p>
        </w:tc>
      </w:tr>
    </w:tbl>
    <w:p w14:paraId="2B822266" w14:textId="77777777" w:rsidR="00255C6B" w:rsidRDefault="00255C6B">
      <w:pPr>
        <w:rPr>
          <w:rFonts w:ascii="Times New Roman" w:hAnsi="Times New Roman" w:cs="Times New Roman"/>
          <w:b/>
          <w:sz w:val="24"/>
        </w:rPr>
      </w:pPr>
    </w:p>
    <w:p w14:paraId="3A6E60A5" w14:textId="07B4039A" w:rsidR="00921FCC" w:rsidRDefault="00F31C14">
      <w:pPr>
        <w:rPr>
          <w:rFonts w:ascii="Times New Roman" w:hAnsi="Times New Roman" w:cs="Times New Roman"/>
          <w:b/>
          <w:sz w:val="24"/>
        </w:rPr>
      </w:pPr>
      <w:r w:rsidRPr="00F31C14">
        <w:rPr>
          <w:rFonts w:ascii="Times New Roman" w:hAnsi="Times New Roman" w:cs="Times New Roman"/>
          <w:b/>
          <w:sz w:val="24"/>
        </w:rPr>
        <w:t>Section</w:t>
      </w:r>
      <w:r w:rsidR="00921FCC">
        <w:rPr>
          <w:rFonts w:ascii="Times New Roman" w:hAnsi="Times New Roman" w:cs="Times New Roman"/>
          <w:b/>
          <w:sz w:val="24"/>
        </w:rPr>
        <w:t xml:space="preserve"> 6:</w:t>
      </w:r>
    </w:p>
    <w:p w14:paraId="67E84BFE" w14:textId="3C643620" w:rsidR="00370F27" w:rsidRDefault="00370F27">
      <w:pPr>
        <w:rPr>
          <w:rFonts w:ascii="Times New Roman" w:hAnsi="Times New Roman" w:cs="Times New Roman"/>
          <w:b/>
          <w:sz w:val="24"/>
        </w:rPr>
      </w:pPr>
      <w:r>
        <w:rPr>
          <w:rFonts w:ascii="Times New Roman" w:hAnsi="Times New Roman" w:cs="Times New Roman"/>
          <w:b/>
          <w:sz w:val="24"/>
        </w:rPr>
        <w:t xml:space="preserve">A6.1 In models’ validation for future energy and water </w:t>
      </w:r>
      <w:r w:rsidR="00BB510B">
        <w:rPr>
          <w:rFonts w:ascii="Times New Roman" w:hAnsi="Times New Roman" w:cs="Times New Roman"/>
          <w:b/>
          <w:sz w:val="24"/>
        </w:rPr>
        <w:t>forecasting</w:t>
      </w:r>
    </w:p>
    <w:p w14:paraId="68652FBF" w14:textId="4906256E" w:rsidR="00370F27" w:rsidRPr="007F6F4B" w:rsidRDefault="00370F27" w:rsidP="00370F27">
      <w:pPr>
        <w:shd w:val="clear" w:color="auto" w:fill="FFFFFF" w:themeFill="background1"/>
        <w:snapToGrid w:val="0"/>
        <w:spacing w:after="0" w:line="360" w:lineRule="auto"/>
        <w:ind w:firstLineChars="177" w:firstLine="425"/>
        <w:jc w:val="both"/>
        <w:rPr>
          <w:rFonts w:ascii="Times New Roman" w:hAnsi="Times New Roman" w:cs="Times New Roman"/>
          <w:sz w:val="24"/>
          <w:szCs w:val="24"/>
        </w:rPr>
      </w:pPr>
      <w:r w:rsidRPr="007F6F4B">
        <w:rPr>
          <w:rFonts w:ascii="Times New Roman" w:hAnsi="Times New Roman" w:cs="Times New Roman"/>
          <w:sz w:val="24"/>
          <w:szCs w:val="24"/>
          <w:lang w:val="en"/>
        </w:rPr>
        <w:t xml:space="preserve">The first dimension of the energy </w:t>
      </w:r>
      <w:r>
        <w:rPr>
          <w:rFonts w:ascii="Times New Roman" w:hAnsi="Times New Roman" w:cs="Times New Roman"/>
          <w:sz w:val="24"/>
          <w:szCs w:val="24"/>
          <w:lang w:val="en"/>
        </w:rPr>
        <w:t xml:space="preserve">and water </w:t>
      </w:r>
      <w:r w:rsidRPr="007F6F4B">
        <w:rPr>
          <w:rFonts w:ascii="Times New Roman" w:hAnsi="Times New Roman" w:cs="Times New Roman"/>
          <w:sz w:val="24"/>
          <w:szCs w:val="24"/>
          <w:lang w:val="en"/>
        </w:rPr>
        <w:t xml:space="preserve">trend analysis is to compare the </w:t>
      </w:r>
      <w:r>
        <w:rPr>
          <w:rFonts w:ascii="Times New Roman" w:hAnsi="Times New Roman" w:cs="Times New Roman"/>
          <w:sz w:val="24"/>
          <w:szCs w:val="24"/>
          <w:lang w:val="en"/>
        </w:rPr>
        <w:t xml:space="preserve">reference value </w:t>
      </w:r>
      <w:r w:rsidR="00FD4A59">
        <w:rPr>
          <w:rFonts w:ascii="Times New Roman" w:hAnsi="Times New Roman" w:cs="Times New Roman"/>
          <w:sz w:val="24"/>
          <w:szCs w:val="24"/>
          <w:lang w:val="en"/>
        </w:rPr>
        <w:t>representing</w:t>
      </w:r>
      <w:r>
        <w:rPr>
          <w:rFonts w:ascii="Times New Roman" w:hAnsi="Times New Roman" w:cs="Times New Roman"/>
          <w:sz w:val="24"/>
          <w:szCs w:val="24"/>
          <w:lang w:val="en"/>
        </w:rPr>
        <w:t xml:space="preserve"> </w:t>
      </w:r>
      <w:r w:rsidRPr="007F6F4B">
        <w:rPr>
          <w:rFonts w:ascii="Times New Roman" w:hAnsi="Times New Roman" w:cs="Times New Roman"/>
          <w:sz w:val="24"/>
          <w:szCs w:val="24"/>
          <w:lang w:val="en"/>
        </w:rPr>
        <w:t xml:space="preserve">current energy five-year data from 2015 to 2020 </w:t>
      </w:r>
      <w:r w:rsidRPr="007F6F4B">
        <w:rPr>
          <w:rFonts w:ascii="Times New Roman" w:hAnsi="Times New Roman" w:cs="Times New Roman"/>
          <w:sz w:val="24"/>
          <w:szCs w:val="24"/>
        </w:rPr>
        <w:t>taken</w:t>
      </w:r>
      <w:r w:rsidRPr="007F6F4B">
        <w:rPr>
          <w:rFonts w:ascii="Times New Roman" w:hAnsi="Times New Roman" w:cs="Times New Roman"/>
          <w:sz w:val="24"/>
          <w:szCs w:val="24"/>
          <w:lang w:val="en"/>
        </w:rPr>
        <w:t xml:space="preserve"> from the energy yearbook</w:t>
      </w:r>
      <w:r>
        <w:rPr>
          <w:rFonts w:ascii="Times New Roman" w:hAnsi="Times New Roman" w:cs="Times New Roman"/>
          <w:sz w:val="24"/>
          <w:szCs w:val="24"/>
          <w:lang w:val="en"/>
        </w:rPr>
        <w:t xml:space="preserve">, for water forecasting the reference value </w:t>
      </w:r>
      <w:r w:rsidR="00FD4A59">
        <w:rPr>
          <w:rFonts w:ascii="Times New Roman" w:hAnsi="Times New Roman" w:cs="Times New Roman"/>
          <w:sz w:val="24"/>
          <w:szCs w:val="24"/>
          <w:lang w:val="en"/>
        </w:rPr>
        <w:t>represents</w:t>
      </w:r>
      <w:r>
        <w:rPr>
          <w:rFonts w:ascii="Times New Roman" w:hAnsi="Times New Roman" w:cs="Times New Roman"/>
          <w:sz w:val="24"/>
          <w:szCs w:val="24"/>
          <w:lang w:val="en"/>
        </w:rPr>
        <w:t xml:space="preserve"> the data from </w:t>
      </w:r>
      <w:r w:rsidR="00FD4A59">
        <w:rPr>
          <w:rFonts w:ascii="Times New Roman" w:hAnsi="Times New Roman" w:cs="Times New Roman"/>
          <w:sz w:val="24"/>
          <w:szCs w:val="24"/>
          <w:lang w:val="en"/>
        </w:rPr>
        <w:t>the World Bank</w:t>
      </w:r>
      <w:r>
        <w:rPr>
          <w:rFonts w:ascii="Times New Roman" w:hAnsi="Times New Roman" w:cs="Times New Roman"/>
          <w:sz w:val="24"/>
          <w:szCs w:val="24"/>
          <w:lang w:val="en"/>
        </w:rPr>
        <w:t xml:space="preserve"> and sectorial data for </w:t>
      </w:r>
      <w:r w:rsidR="00FD4A59">
        <w:rPr>
          <w:rFonts w:ascii="Times New Roman" w:hAnsi="Times New Roman" w:cs="Times New Roman"/>
          <w:sz w:val="24"/>
          <w:szCs w:val="24"/>
          <w:lang w:val="en"/>
        </w:rPr>
        <w:t xml:space="preserve">the </w:t>
      </w:r>
      <w:r>
        <w:rPr>
          <w:rFonts w:ascii="Times New Roman" w:hAnsi="Times New Roman" w:cs="Times New Roman"/>
          <w:sz w:val="24"/>
          <w:szCs w:val="24"/>
          <w:lang w:val="en"/>
        </w:rPr>
        <w:t>power industry and domestic/</w:t>
      </w:r>
      <w:r w:rsidR="00FD35CC">
        <w:rPr>
          <w:rFonts w:ascii="Times New Roman" w:hAnsi="Times New Roman" w:cs="Times New Roman"/>
          <w:sz w:val="24"/>
          <w:szCs w:val="24"/>
          <w:lang w:val="en"/>
        </w:rPr>
        <w:t>municipal</w:t>
      </w:r>
      <w:r>
        <w:rPr>
          <w:rFonts w:ascii="Times New Roman" w:hAnsi="Times New Roman" w:cs="Times New Roman"/>
          <w:sz w:val="24"/>
          <w:szCs w:val="24"/>
          <w:lang w:val="en"/>
        </w:rPr>
        <w:t xml:space="preserve"> are taken from the Ministry of Water Resources and Water and Power Development Authority </w:t>
      </w:r>
      <w:r w:rsidR="009630AD">
        <w:rPr>
          <w:rFonts w:ascii="Times New Roman" w:hAnsi="Times New Roman" w:cs="Times New Roman"/>
          <w:sz w:val="24"/>
          <w:szCs w:val="24"/>
          <w:lang w:val="en"/>
        </w:rPr>
        <w:t>(</w:t>
      </w:r>
      <w:r>
        <w:rPr>
          <w:rFonts w:ascii="Times New Roman" w:hAnsi="Times New Roman" w:cs="Times New Roman"/>
          <w:sz w:val="24"/>
          <w:szCs w:val="24"/>
          <w:lang w:val="en"/>
        </w:rPr>
        <w:t>WAPDA</w:t>
      </w:r>
      <w:r w:rsidR="009630AD">
        <w:rPr>
          <w:rFonts w:ascii="Times New Roman" w:hAnsi="Times New Roman" w:cs="Times New Roman"/>
          <w:sz w:val="24"/>
          <w:szCs w:val="24"/>
          <w:lang w:val="en"/>
        </w:rPr>
        <w:t>)</w:t>
      </w:r>
      <w:r>
        <w:rPr>
          <w:rFonts w:ascii="Times New Roman" w:hAnsi="Times New Roman" w:cs="Times New Roman"/>
          <w:sz w:val="24"/>
          <w:szCs w:val="24"/>
          <w:lang w:val="en"/>
        </w:rPr>
        <w:t xml:space="preserve"> </w:t>
      </w:r>
      <w:r w:rsidRPr="007F6F4B">
        <w:rPr>
          <w:rFonts w:ascii="Times New Roman" w:hAnsi="Times New Roman" w:cs="Times New Roman"/>
          <w:sz w:val="24"/>
          <w:szCs w:val="24"/>
          <w:lang w:val="en"/>
        </w:rPr>
        <w:t xml:space="preserve">to check the tendency and accuracy of the model for future energy forecasting </w:t>
      </w:r>
      <w:r w:rsidR="00FD4A59">
        <w:rPr>
          <w:rFonts w:ascii="Times New Roman" w:hAnsi="Times New Roman" w:cs="Times New Roman"/>
          <w:sz w:val="24"/>
          <w:szCs w:val="24"/>
          <w:lang w:val="en"/>
        </w:rPr>
        <w:t>based on</w:t>
      </w:r>
      <w:r w:rsidRPr="007F6F4B">
        <w:rPr>
          <w:rFonts w:ascii="Times New Roman" w:hAnsi="Times New Roman" w:cs="Times New Roman"/>
          <w:sz w:val="24"/>
          <w:szCs w:val="24"/>
          <w:lang w:val="en"/>
        </w:rPr>
        <w:t xml:space="preserve"> the previous year’s energy consumption inclination. The below (</w:t>
      </w:r>
      <w:r w:rsidR="0087750A">
        <w:rPr>
          <w:rFonts w:ascii="Times New Roman" w:hAnsi="Times New Roman" w:cs="Times New Roman" w:hint="eastAsia"/>
          <w:sz w:val="24"/>
          <w:szCs w:val="24"/>
          <w:lang w:val="en"/>
        </w:rPr>
        <w:t>F</w:t>
      </w:r>
      <w:r w:rsidRPr="007F6F4B">
        <w:rPr>
          <w:rFonts w:ascii="Times New Roman" w:hAnsi="Times New Roman" w:cs="Times New Roman"/>
          <w:sz w:val="24"/>
          <w:szCs w:val="24"/>
          <w:lang w:val="en"/>
        </w:rPr>
        <w:t>ig</w:t>
      </w:r>
      <w:r w:rsidR="0087750A">
        <w:rPr>
          <w:rFonts w:ascii="Times New Roman" w:hAnsi="Times New Roman" w:cs="Times New Roman" w:hint="eastAsia"/>
          <w:sz w:val="24"/>
          <w:szCs w:val="24"/>
          <w:lang w:val="en"/>
        </w:rPr>
        <w:t>s. S1 and S3</w:t>
      </w:r>
      <w:r w:rsidRPr="007F6F4B">
        <w:rPr>
          <w:rFonts w:ascii="Times New Roman" w:hAnsi="Times New Roman" w:cs="Times New Roman"/>
          <w:sz w:val="24"/>
          <w:szCs w:val="24"/>
          <w:lang w:val="en"/>
        </w:rPr>
        <w:t xml:space="preserve">) shows the in-model validation data analysis for the BAU scenario, which </w:t>
      </w:r>
      <w:r w:rsidR="00FD4A59">
        <w:rPr>
          <w:rFonts w:ascii="Times New Roman" w:hAnsi="Times New Roman" w:cs="Times New Roman"/>
          <w:sz w:val="24"/>
          <w:szCs w:val="24"/>
          <w:lang w:val="en"/>
        </w:rPr>
        <w:t>gives</w:t>
      </w:r>
      <w:r w:rsidRPr="007F6F4B">
        <w:rPr>
          <w:rFonts w:ascii="Times New Roman" w:hAnsi="Times New Roman" w:cs="Times New Roman"/>
          <w:sz w:val="24"/>
          <w:szCs w:val="24"/>
          <w:lang w:val="en"/>
        </w:rPr>
        <w:t xml:space="preserve"> a clear trend of the energy</w:t>
      </w:r>
      <w:r w:rsidR="009630AD">
        <w:rPr>
          <w:rFonts w:ascii="Times New Roman" w:hAnsi="Times New Roman" w:cs="Times New Roman"/>
          <w:sz w:val="24"/>
          <w:szCs w:val="24"/>
          <w:lang w:val="en"/>
        </w:rPr>
        <w:t xml:space="preserve"> and water</w:t>
      </w:r>
      <w:r w:rsidRPr="007F6F4B">
        <w:rPr>
          <w:rFonts w:ascii="Times New Roman" w:hAnsi="Times New Roman" w:cs="Times New Roman"/>
          <w:sz w:val="24"/>
          <w:szCs w:val="24"/>
          <w:lang w:val="en"/>
        </w:rPr>
        <w:t xml:space="preserve"> consumption in contrast to the energy consumption in the previous years. The model validation is checked to run the data from the year 2015 to the base year 2020, meanwhile, the future for the end year 2050 prediction is been </w:t>
      </w:r>
      <w:r w:rsidR="009630AD" w:rsidRPr="007F6F4B">
        <w:rPr>
          <w:rFonts w:ascii="Times New Roman" w:hAnsi="Times New Roman" w:cs="Times New Roman"/>
          <w:sz w:val="24"/>
          <w:szCs w:val="24"/>
          <w:lang w:val="en"/>
        </w:rPr>
        <w:t>shown in</w:t>
      </w:r>
      <w:r w:rsidRPr="007F6F4B">
        <w:rPr>
          <w:rFonts w:ascii="Times New Roman" w:hAnsi="Times New Roman" w:cs="Times New Roman"/>
          <w:sz w:val="24"/>
          <w:szCs w:val="24"/>
          <w:lang w:val="en"/>
        </w:rPr>
        <w:t xml:space="preserve"> </w:t>
      </w:r>
      <w:r w:rsidR="00FD4A59">
        <w:rPr>
          <w:rFonts w:ascii="Times New Roman" w:hAnsi="Times New Roman" w:cs="Times New Roman"/>
          <w:sz w:val="24"/>
          <w:szCs w:val="24"/>
          <w:lang w:val="en"/>
        </w:rPr>
        <w:t>below</w:t>
      </w:r>
      <w:r w:rsidRPr="007F6F4B">
        <w:rPr>
          <w:rFonts w:ascii="Times New Roman" w:hAnsi="Times New Roman" w:cs="Times New Roman"/>
          <w:sz w:val="24"/>
          <w:szCs w:val="24"/>
          <w:lang w:val="en"/>
        </w:rPr>
        <w:t xml:space="preserve"> (</w:t>
      </w:r>
      <w:r w:rsidR="0087750A">
        <w:rPr>
          <w:rFonts w:ascii="Times New Roman" w:hAnsi="Times New Roman" w:cs="Times New Roman" w:hint="eastAsia"/>
          <w:sz w:val="24"/>
          <w:szCs w:val="24"/>
          <w:lang w:val="en"/>
        </w:rPr>
        <w:t>F</w:t>
      </w:r>
      <w:r w:rsidR="0087750A" w:rsidRPr="007F6F4B">
        <w:rPr>
          <w:rFonts w:ascii="Times New Roman" w:hAnsi="Times New Roman" w:cs="Times New Roman"/>
          <w:sz w:val="24"/>
          <w:szCs w:val="24"/>
          <w:lang w:val="en"/>
        </w:rPr>
        <w:t>ig</w:t>
      </w:r>
      <w:r w:rsidR="0087750A">
        <w:rPr>
          <w:rFonts w:ascii="Times New Roman" w:hAnsi="Times New Roman" w:cs="Times New Roman" w:hint="eastAsia"/>
          <w:sz w:val="24"/>
          <w:szCs w:val="24"/>
          <w:lang w:val="en"/>
        </w:rPr>
        <w:t>s. S1 and S3</w:t>
      </w:r>
      <w:r w:rsidRPr="007F6F4B">
        <w:rPr>
          <w:rFonts w:ascii="Times New Roman" w:hAnsi="Times New Roman" w:cs="Times New Roman"/>
          <w:sz w:val="24"/>
          <w:szCs w:val="24"/>
          <w:lang w:val="en"/>
        </w:rPr>
        <w:t xml:space="preserve">).  </w:t>
      </w:r>
    </w:p>
    <w:p w14:paraId="30DB50F0" w14:textId="77777777" w:rsidR="00370F27" w:rsidRDefault="00370F27">
      <w:pPr>
        <w:rPr>
          <w:rFonts w:ascii="Times New Roman" w:hAnsi="Times New Roman" w:cs="Times New Roman"/>
          <w:b/>
          <w:sz w:val="24"/>
        </w:rPr>
      </w:pPr>
    </w:p>
    <w:p w14:paraId="177AF347" w14:textId="29A61392" w:rsidR="00370F27" w:rsidRDefault="00D50C60" w:rsidP="00BE13C7">
      <w:pPr>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22BF33FD" wp14:editId="5BBCE8A1">
            <wp:extent cx="4584700" cy="2755697"/>
            <wp:effectExtent l="0" t="0" r="635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4584700" cy="2755697"/>
                    </a:xfrm>
                    <a:prstGeom prst="rect">
                      <a:avLst/>
                    </a:prstGeom>
                    <a:noFill/>
                  </pic:spPr>
                </pic:pic>
              </a:graphicData>
            </a:graphic>
          </wp:inline>
        </w:drawing>
      </w:r>
    </w:p>
    <w:p w14:paraId="77D30026" w14:textId="04D6F2D8" w:rsidR="009630AD" w:rsidRDefault="009630AD" w:rsidP="00BE13C7">
      <w:pPr>
        <w:shd w:val="clear" w:color="auto" w:fill="FFFFFF" w:themeFill="background1"/>
        <w:snapToGrid w:val="0"/>
        <w:spacing w:after="0" w:line="360" w:lineRule="auto"/>
        <w:jc w:val="center"/>
        <w:rPr>
          <w:rFonts w:ascii="Times New Roman" w:hAnsi="Times New Roman" w:cs="Times New Roman"/>
          <w:sz w:val="24"/>
          <w:szCs w:val="24"/>
        </w:rPr>
      </w:pPr>
      <w:r w:rsidRPr="00BE13C7">
        <w:rPr>
          <w:rFonts w:ascii="Times New Roman" w:hAnsi="Times New Roman" w:cs="Times New Roman"/>
          <w:b/>
          <w:sz w:val="24"/>
          <w:szCs w:val="24"/>
        </w:rPr>
        <w:t>Fig</w:t>
      </w:r>
      <w:r w:rsidR="00D21B31">
        <w:rPr>
          <w:rFonts w:ascii="Times New Roman" w:hAnsi="Times New Roman" w:cs="Times New Roman" w:hint="eastAsia"/>
          <w:b/>
          <w:sz w:val="24"/>
          <w:szCs w:val="24"/>
        </w:rPr>
        <w:t>. S</w:t>
      </w:r>
      <w:r w:rsidRPr="00BE13C7">
        <w:rPr>
          <w:rFonts w:ascii="Times New Roman" w:hAnsi="Times New Roman" w:cs="Times New Roman"/>
          <w:b/>
          <w:sz w:val="24"/>
          <w:szCs w:val="24"/>
        </w:rPr>
        <w:t>1</w:t>
      </w:r>
      <w:r>
        <w:rPr>
          <w:rFonts w:ascii="Times New Roman" w:hAnsi="Times New Roman" w:cs="Times New Roman"/>
          <w:sz w:val="24"/>
          <w:szCs w:val="24"/>
        </w:rPr>
        <w:t>.</w:t>
      </w:r>
      <w:r w:rsidRPr="007F6F4B">
        <w:rPr>
          <w:rFonts w:ascii="Times New Roman" w:hAnsi="Times New Roman" w:cs="Times New Roman"/>
          <w:sz w:val="24"/>
          <w:szCs w:val="24"/>
        </w:rPr>
        <w:t xml:space="preserve"> In-model data validation and energy future projection</w:t>
      </w:r>
    </w:p>
    <w:p w14:paraId="500E029B" w14:textId="77777777" w:rsidR="00F31C14" w:rsidRDefault="00F31C14" w:rsidP="00F31C14">
      <w:pPr>
        <w:spacing w:line="360" w:lineRule="auto"/>
        <w:jc w:val="center"/>
        <w:rPr>
          <w:rFonts w:ascii="Times New Roman" w:hAnsi="Times New Roman" w:cs="Times New Roman"/>
          <w:color w:val="0D0D0D"/>
          <w:sz w:val="24"/>
          <w:szCs w:val="24"/>
          <w:shd w:val="clear" w:color="auto" w:fill="FFFFFF"/>
        </w:rPr>
      </w:pPr>
      <w:r>
        <w:rPr>
          <w:rFonts w:ascii="Times New Roman" w:hAnsi="Times New Roman" w:cs="Times New Roman"/>
          <w:b/>
          <w:noProof/>
          <w:color w:val="0D0D0D"/>
          <w:sz w:val="24"/>
          <w:szCs w:val="24"/>
          <w:shd w:val="clear" w:color="auto" w:fill="FFFFFF"/>
          <w:lang w:val="it-IT" w:eastAsia="it-IT"/>
        </w:rPr>
        <w:drawing>
          <wp:inline distT="0" distB="0" distL="0" distR="0" wp14:anchorId="03D8AB62" wp14:editId="2A338CCB">
            <wp:extent cx="3770829" cy="3727978"/>
            <wp:effectExtent l="0" t="0" r="1270" b="635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Energy policy results.png"/>
                    <pic:cNvPicPr/>
                  </pic:nvPicPr>
                  <pic:blipFill>
                    <a:blip r:embed="rId9">
                      <a:extLst>
                        <a:ext uri="{28A0092B-C50C-407E-A947-70E740481C1C}">
                          <a14:useLocalDpi xmlns:a14="http://schemas.microsoft.com/office/drawing/2010/main" val="0"/>
                        </a:ext>
                      </a:extLst>
                    </a:blip>
                    <a:stretch>
                      <a:fillRect/>
                    </a:stretch>
                  </pic:blipFill>
                  <pic:spPr>
                    <a:xfrm>
                      <a:off x="0" y="0"/>
                      <a:ext cx="3770829" cy="3727978"/>
                    </a:xfrm>
                    <a:prstGeom prst="rect">
                      <a:avLst/>
                    </a:prstGeom>
                  </pic:spPr>
                </pic:pic>
              </a:graphicData>
            </a:graphic>
          </wp:inline>
        </w:drawing>
      </w:r>
    </w:p>
    <w:p w14:paraId="4486D651" w14:textId="098F98F2" w:rsidR="00F31C14" w:rsidRPr="00260838" w:rsidRDefault="00F31C14" w:rsidP="00F31C14">
      <w:pPr>
        <w:spacing w:line="360" w:lineRule="auto"/>
        <w:jc w:val="center"/>
        <w:rPr>
          <w:rFonts w:ascii="Times New Roman" w:hAnsi="Times New Roman" w:cs="Times New Roman"/>
          <w:b/>
          <w:color w:val="0D0D0D"/>
          <w:sz w:val="24"/>
          <w:szCs w:val="24"/>
          <w:shd w:val="clear" w:color="auto" w:fill="FFFFFF"/>
        </w:rPr>
      </w:pPr>
      <w:r w:rsidRPr="00260838">
        <w:rPr>
          <w:rFonts w:ascii="Times New Roman" w:hAnsi="Times New Roman" w:cs="Times New Roman"/>
          <w:b/>
          <w:color w:val="0D0D0D"/>
          <w:sz w:val="24"/>
          <w:szCs w:val="24"/>
          <w:shd w:val="clear" w:color="auto" w:fill="FFFFFF"/>
        </w:rPr>
        <w:t>Fig</w:t>
      </w:r>
      <w:r>
        <w:rPr>
          <w:rFonts w:ascii="Times New Roman" w:hAnsi="Times New Roman" w:cs="Times New Roman" w:hint="eastAsia"/>
          <w:b/>
          <w:color w:val="0D0D0D"/>
          <w:sz w:val="24"/>
          <w:szCs w:val="24"/>
          <w:shd w:val="clear" w:color="auto" w:fill="FFFFFF"/>
        </w:rPr>
        <w:t>.</w:t>
      </w:r>
      <w:r w:rsidRPr="00260838">
        <w:rPr>
          <w:rFonts w:ascii="Times New Roman" w:hAnsi="Times New Roman" w:cs="Times New Roman"/>
          <w:b/>
          <w:color w:val="0D0D0D"/>
          <w:sz w:val="24"/>
          <w:szCs w:val="24"/>
          <w:shd w:val="clear" w:color="auto" w:fill="FFFFFF"/>
        </w:rPr>
        <w:t xml:space="preserve"> </w:t>
      </w:r>
      <w:r>
        <w:rPr>
          <w:rFonts w:ascii="Times New Roman" w:hAnsi="Times New Roman" w:cs="Times New Roman" w:hint="eastAsia"/>
          <w:b/>
          <w:color w:val="0D0D0D"/>
          <w:sz w:val="24"/>
          <w:szCs w:val="24"/>
          <w:shd w:val="clear" w:color="auto" w:fill="FFFFFF"/>
        </w:rPr>
        <w:t>S</w:t>
      </w:r>
      <w:r>
        <w:rPr>
          <w:rFonts w:ascii="Times New Roman" w:hAnsi="Times New Roman" w:cs="Times New Roman" w:hint="eastAsia"/>
          <w:b/>
          <w:color w:val="0D0D0D"/>
          <w:sz w:val="24"/>
          <w:szCs w:val="24"/>
          <w:shd w:val="clear" w:color="auto" w:fill="FFFFFF"/>
        </w:rPr>
        <w:t>2</w:t>
      </w:r>
      <w:r w:rsidRPr="00260838">
        <w:rPr>
          <w:rFonts w:ascii="Times New Roman" w:hAnsi="Times New Roman" w:cs="Times New Roman"/>
          <w:b/>
          <w:color w:val="0D0D0D"/>
          <w:sz w:val="24"/>
          <w:szCs w:val="24"/>
          <w:shd w:val="clear" w:color="auto" w:fill="FFFFFF"/>
        </w:rPr>
        <w:t xml:space="preserve">. </w:t>
      </w:r>
      <w:r w:rsidRPr="00886D0A">
        <w:rPr>
          <w:rFonts w:ascii="Times New Roman" w:hAnsi="Times New Roman" w:cs="Times New Roman"/>
          <w:color w:val="0D0D0D"/>
          <w:sz w:val="24"/>
          <w:szCs w:val="24"/>
          <w:shd w:val="clear" w:color="auto" w:fill="FFFFFF"/>
        </w:rPr>
        <w:t>Energy consumption prediction and comparison</w:t>
      </w:r>
    </w:p>
    <w:p w14:paraId="0C486316" w14:textId="77777777" w:rsidR="00F31C14" w:rsidRPr="00F31C14" w:rsidRDefault="00F31C14" w:rsidP="00BE13C7">
      <w:pPr>
        <w:shd w:val="clear" w:color="auto" w:fill="FFFFFF" w:themeFill="background1"/>
        <w:snapToGrid w:val="0"/>
        <w:spacing w:after="0" w:line="360" w:lineRule="auto"/>
        <w:jc w:val="center"/>
        <w:rPr>
          <w:rFonts w:ascii="Times New Roman" w:hAnsi="Times New Roman" w:cs="Times New Roman"/>
          <w:sz w:val="24"/>
          <w:szCs w:val="24"/>
        </w:rPr>
      </w:pPr>
    </w:p>
    <w:p w14:paraId="6A2F5CF6" w14:textId="7DDD9A56" w:rsidR="00370F27" w:rsidRDefault="00370F27">
      <w:pPr>
        <w:rPr>
          <w:rFonts w:ascii="Times New Roman" w:hAnsi="Times New Roman" w:cs="Times New Roman"/>
          <w:b/>
          <w:sz w:val="24"/>
        </w:rPr>
      </w:pPr>
    </w:p>
    <w:p w14:paraId="3976D72B" w14:textId="12E18581" w:rsidR="00370F27" w:rsidRDefault="00370F27" w:rsidP="00BE13C7">
      <w:pPr>
        <w:jc w:val="center"/>
        <w:rPr>
          <w:rFonts w:ascii="Times New Roman" w:hAnsi="Times New Roman" w:cs="Times New Roman"/>
          <w:b/>
          <w:sz w:val="24"/>
        </w:rPr>
      </w:pPr>
      <w:r>
        <w:rPr>
          <w:rFonts w:ascii="Times New Roman" w:hAnsi="Times New Roman" w:cs="Times New Roman"/>
          <w:b/>
          <w:noProof/>
          <w:sz w:val="24"/>
        </w:rPr>
        <w:lastRenderedPageBreak/>
        <w:drawing>
          <wp:inline distT="0" distB="0" distL="0" distR="0" wp14:anchorId="4200A4B0" wp14:editId="319B844E">
            <wp:extent cx="4584700" cy="2755697"/>
            <wp:effectExtent l="0" t="0" r="635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584700" cy="2755697"/>
                    </a:xfrm>
                    <a:prstGeom prst="rect">
                      <a:avLst/>
                    </a:prstGeom>
                    <a:noFill/>
                  </pic:spPr>
                </pic:pic>
              </a:graphicData>
            </a:graphic>
          </wp:inline>
        </w:drawing>
      </w:r>
    </w:p>
    <w:p w14:paraId="4D34F55B" w14:textId="2E0FDACB" w:rsidR="009630AD" w:rsidRDefault="00D21B31" w:rsidP="009630AD">
      <w:pPr>
        <w:shd w:val="clear" w:color="auto" w:fill="FFFFFF" w:themeFill="background1"/>
        <w:snapToGrid w:val="0"/>
        <w:spacing w:after="0" w:line="360" w:lineRule="auto"/>
        <w:jc w:val="center"/>
        <w:rPr>
          <w:rFonts w:ascii="Times New Roman" w:hAnsi="Times New Roman" w:cs="Times New Roman"/>
          <w:sz w:val="24"/>
          <w:szCs w:val="24"/>
        </w:rPr>
      </w:pPr>
      <w:r w:rsidRPr="00BE13C7">
        <w:rPr>
          <w:rFonts w:ascii="Times New Roman" w:hAnsi="Times New Roman" w:cs="Times New Roman"/>
          <w:b/>
          <w:sz w:val="24"/>
          <w:szCs w:val="24"/>
        </w:rPr>
        <w:t>Fig</w:t>
      </w:r>
      <w:r>
        <w:rPr>
          <w:rFonts w:ascii="Times New Roman" w:hAnsi="Times New Roman" w:cs="Times New Roman" w:hint="eastAsia"/>
          <w:b/>
          <w:sz w:val="24"/>
          <w:szCs w:val="24"/>
        </w:rPr>
        <w:t>.</w:t>
      </w:r>
      <w:r w:rsidRPr="00BE13C7">
        <w:rPr>
          <w:rFonts w:ascii="Times New Roman" w:hAnsi="Times New Roman" w:cs="Times New Roman"/>
          <w:b/>
          <w:sz w:val="24"/>
          <w:szCs w:val="24"/>
        </w:rPr>
        <w:t xml:space="preserve"> </w:t>
      </w:r>
      <w:r>
        <w:rPr>
          <w:rFonts w:ascii="Times New Roman" w:hAnsi="Times New Roman" w:cs="Times New Roman" w:hint="eastAsia"/>
          <w:b/>
          <w:sz w:val="24"/>
          <w:szCs w:val="24"/>
        </w:rPr>
        <w:t>S</w:t>
      </w:r>
      <w:r w:rsidR="00F31C14">
        <w:rPr>
          <w:rFonts w:ascii="Times New Roman" w:hAnsi="Times New Roman" w:cs="Times New Roman" w:hint="eastAsia"/>
          <w:b/>
          <w:sz w:val="24"/>
          <w:szCs w:val="24"/>
        </w:rPr>
        <w:t>3</w:t>
      </w:r>
      <w:r w:rsidR="009630AD" w:rsidRPr="00BE13C7">
        <w:rPr>
          <w:rFonts w:ascii="Times New Roman" w:hAnsi="Times New Roman" w:cs="Times New Roman"/>
          <w:b/>
          <w:sz w:val="24"/>
          <w:szCs w:val="24"/>
        </w:rPr>
        <w:t>.</w:t>
      </w:r>
      <w:r w:rsidR="009630AD" w:rsidRPr="007F6F4B">
        <w:rPr>
          <w:rFonts w:ascii="Times New Roman" w:hAnsi="Times New Roman" w:cs="Times New Roman"/>
          <w:sz w:val="24"/>
          <w:szCs w:val="24"/>
        </w:rPr>
        <w:t xml:space="preserve"> In-model data validation and </w:t>
      </w:r>
      <w:r w:rsidR="009630AD">
        <w:rPr>
          <w:rFonts w:ascii="Times New Roman" w:hAnsi="Times New Roman" w:cs="Times New Roman"/>
          <w:sz w:val="24"/>
          <w:szCs w:val="24"/>
        </w:rPr>
        <w:t>water</w:t>
      </w:r>
      <w:r w:rsidR="009630AD" w:rsidRPr="007F6F4B">
        <w:rPr>
          <w:rFonts w:ascii="Times New Roman" w:hAnsi="Times New Roman" w:cs="Times New Roman"/>
          <w:sz w:val="24"/>
          <w:szCs w:val="24"/>
        </w:rPr>
        <w:t xml:space="preserve"> future projection</w:t>
      </w:r>
    </w:p>
    <w:p w14:paraId="0AF2BCE6" w14:textId="77777777" w:rsidR="00921FCC" w:rsidRPr="00FF7757" w:rsidRDefault="00921FCC" w:rsidP="00921FCC">
      <w:pPr>
        <w:spacing w:line="360" w:lineRule="auto"/>
        <w:jc w:val="both"/>
        <w:rPr>
          <w:rFonts w:ascii="Times New Roman" w:hAnsi="Times New Roman" w:cs="Times New Roman"/>
          <w:color w:val="0D0D0D"/>
          <w:sz w:val="24"/>
          <w:szCs w:val="24"/>
          <w:shd w:val="clear" w:color="auto" w:fill="FFFFFF"/>
        </w:rPr>
      </w:pPr>
    </w:p>
    <w:p w14:paraId="0023F06E" w14:textId="77777777" w:rsidR="00F31C14" w:rsidRDefault="00F31C14" w:rsidP="00F31C14">
      <w:pPr>
        <w:tabs>
          <w:tab w:val="left" w:pos="910"/>
        </w:tabs>
        <w:spacing w:line="36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D1F089C" wp14:editId="2A9A3DC9">
            <wp:extent cx="3758747" cy="400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v.jpg"/>
                    <pic:cNvPicPr/>
                  </pic:nvPicPr>
                  <pic:blipFill>
                    <a:blip r:embed="rId11">
                      <a:extLst>
                        <a:ext uri="{28A0092B-C50C-407E-A947-70E740481C1C}">
                          <a14:useLocalDpi xmlns:a14="http://schemas.microsoft.com/office/drawing/2010/main" val="0"/>
                        </a:ext>
                      </a:extLst>
                    </a:blip>
                    <a:stretch>
                      <a:fillRect/>
                    </a:stretch>
                  </pic:blipFill>
                  <pic:spPr>
                    <a:xfrm>
                      <a:off x="0" y="0"/>
                      <a:ext cx="3758747" cy="4006850"/>
                    </a:xfrm>
                    <a:prstGeom prst="rect">
                      <a:avLst/>
                    </a:prstGeom>
                  </pic:spPr>
                </pic:pic>
              </a:graphicData>
            </a:graphic>
          </wp:inline>
        </w:drawing>
      </w:r>
    </w:p>
    <w:p w14:paraId="7DCB58EA" w14:textId="77777777" w:rsidR="00F31C14" w:rsidRDefault="00F31C14" w:rsidP="00F31C14">
      <w:pPr>
        <w:tabs>
          <w:tab w:val="left" w:pos="910"/>
        </w:tabs>
        <w:spacing w:line="360" w:lineRule="auto"/>
        <w:jc w:val="center"/>
        <w:rPr>
          <w:rFonts w:ascii="Times New Roman" w:hAnsi="Times New Roman" w:cs="Times New Roman"/>
          <w:sz w:val="24"/>
          <w:szCs w:val="24"/>
        </w:rPr>
      </w:pPr>
      <w:r w:rsidRPr="002E7F14">
        <w:rPr>
          <w:rFonts w:ascii="Times New Roman" w:hAnsi="Times New Roman" w:cs="Times New Roman"/>
          <w:b/>
          <w:sz w:val="24"/>
          <w:szCs w:val="24"/>
        </w:rPr>
        <w:t>Fig</w:t>
      </w:r>
      <w:r>
        <w:rPr>
          <w:rFonts w:ascii="Times New Roman" w:hAnsi="Times New Roman" w:cs="Times New Roman" w:hint="eastAsia"/>
          <w:b/>
          <w:sz w:val="24"/>
          <w:szCs w:val="24"/>
        </w:rPr>
        <w:t>. S4</w:t>
      </w:r>
      <w:r>
        <w:rPr>
          <w:rFonts w:ascii="Times New Roman" w:hAnsi="Times New Roman" w:cs="Times New Roman"/>
          <w:sz w:val="24"/>
          <w:szCs w:val="24"/>
        </w:rPr>
        <w:t>. Water consumption prediction and comparison</w:t>
      </w:r>
    </w:p>
    <w:p w14:paraId="6C787D2A" w14:textId="737E946B" w:rsidR="00921FCC" w:rsidRPr="00F31C14" w:rsidRDefault="00921FCC" w:rsidP="00921FCC">
      <w:pPr>
        <w:tabs>
          <w:tab w:val="left" w:pos="910"/>
        </w:tabs>
        <w:spacing w:line="360" w:lineRule="auto"/>
        <w:jc w:val="center"/>
        <w:rPr>
          <w:rFonts w:ascii="Times New Roman" w:hAnsi="Times New Roman" w:cs="Times New Roman"/>
          <w:sz w:val="24"/>
          <w:szCs w:val="24"/>
        </w:rPr>
      </w:pPr>
    </w:p>
    <w:p w14:paraId="6566AA0C" w14:textId="6F1DF60E" w:rsidR="00921FCC" w:rsidRDefault="00921FCC" w:rsidP="00921FCC">
      <w:pPr>
        <w:tabs>
          <w:tab w:val="left" w:pos="910"/>
        </w:tabs>
        <w:spacing w:line="360" w:lineRule="auto"/>
        <w:jc w:val="center"/>
        <w:rPr>
          <w:rFonts w:ascii="Times New Roman" w:hAnsi="Times New Roman" w:cs="Times New Roman"/>
          <w:sz w:val="24"/>
          <w:szCs w:val="24"/>
        </w:rPr>
      </w:pPr>
    </w:p>
    <w:p w14:paraId="4F33CAB8" w14:textId="77777777" w:rsidR="00F51EE1" w:rsidRDefault="00F51EE1">
      <w:pPr>
        <w:rPr>
          <w:rFonts w:ascii="Times New Roman" w:hAnsi="Times New Roman" w:cs="Times New Roman"/>
          <w:b/>
          <w:sz w:val="24"/>
        </w:rPr>
      </w:pPr>
      <w:r>
        <w:rPr>
          <w:rFonts w:ascii="Times New Roman" w:hAnsi="Times New Roman" w:cs="Times New Roman"/>
          <w:b/>
          <w:sz w:val="24"/>
        </w:rPr>
        <w:t>References</w:t>
      </w:r>
    </w:p>
    <w:p w14:paraId="71BF5CD5" w14:textId="74F9E042" w:rsidR="00F51EE1" w:rsidRPr="000C16A4" w:rsidRDefault="00F51EE1" w:rsidP="00F51EE1">
      <w:pPr>
        <w:ind w:left="360" w:hanging="360"/>
        <w:jc w:val="both"/>
        <w:rPr>
          <w:rStyle w:val="aa"/>
          <w:rFonts w:ascii="Times New Roman" w:hAnsi="Times New Roman" w:cs="Times New Roman"/>
          <w:sz w:val="24"/>
          <w:szCs w:val="24"/>
        </w:rPr>
      </w:pPr>
      <w:r>
        <w:rPr>
          <w:rFonts w:ascii="Times New Roman" w:hAnsi="Times New Roman" w:cs="Times New Roman"/>
          <w:sz w:val="24"/>
          <w:szCs w:val="24"/>
        </w:rPr>
        <w:t xml:space="preserve">[1] </w:t>
      </w:r>
      <w:r w:rsidRPr="00F51EE1">
        <w:rPr>
          <w:rFonts w:ascii="Times New Roman" w:hAnsi="Times New Roman" w:cs="Times New Roman"/>
          <w:sz w:val="24"/>
          <w:szCs w:val="24"/>
        </w:rPr>
        <w:t xml:space="preserve">HDIP, 2019. Pakistan Energy Year Book 2019-2020. Hydrocarbon Development Institute of Pakistan, Ministry of Energy, Government of Pakistan. </w:t>
      </w:r>
      <w:hyperlink r:id="rId12" w:history="1">
        <w:r w:rsidRPr="00F51EE1">
          <w:rPr>
            <w:rStyle w:val="aa"/>
            <w:rFonts w:ascii="Times New Roman" w:hAnsi="Times New Roman" w:cs="Times New Roman"/>
            <w:color w:val="auto"/>
            <w:sz w:val="24"/>
            <w:szCs w:val="24"/>
          </w:rPr>
          <w:t>https://petroleum.gov.pk/SiteImage/Downloads/yearbook2019-20.pdf</w:t>
        </w:r>
      </w:hyperlink>
    </w:p>
    <w:p w14:paraId="501A25F5" w14:textId="5A10C607" w:rsidR="00F51EE1" w:rsidRPr="00F51EE1" w:rsidRDefault="00F51EE1" w:rsidP="00F51EE1">
      <w:pPr>
        <w:spacing w:line="360" w:lineRule="auto"/>
        <w:ind w:leftChars="3" w:left="7"/>
        <w:jc w:val="both"/>
        <w:rPr>
          <w:rFonts w:ascii="Times New Roman" w:hAnsi="Times New Roman" w:cs="Times New Roman"/>
          <w:sz w:val="24"/>
          <w:szCs w:val="24"/>
        </w:rPr>
      </w:pPr>
      <w:r w:rsidRPr="00F51EE1">
        <w:rPr>
          <w:rFonts w:ascii="Times New Roman" w:hAnsi="Times New Roman" w:cs="Times New Roman"/>
          <w:sz w:val="24"/>
        </w:rPr>
        <w:t>[2]</w:t>
      </w:r>
      <w:r>
        <w:rPr>
          <w:rFonts w:ascii="Times New Roman" w:hAnsi="Times New Roman" w:cs="Times New Roman"/>
          <w:b/>
          <w:sz w:val="24"/>
        </w:rPr>
        <w:t xml:space="preserve"> </w:t>
      </w:r>
      <w:r w:rsidRPr="00F51EE1">
        <w:rPr>
          <w:rFonts w:ascii="Times New Roman" w:hAnsi="Times New Roman" w:cs="Times New Roman"/>
          <w:sz w:val="24"/>
          <w:szCs w:val="24"/>
        </w:rPr>
        <w:t xml:space="preserve">Fan J, Kong L, Zhang X. (2018). Synergetic effects of water and climate policy on </w:t>
      </w:r>
      <w:r w:rsidR="0032487E">
        <w:rPr>
          <w:rFonts w:ascii="Times New Roman" w:hAnsi="Times New Roman" w:cs="Times New Roman"/>
          <w:sz w:val="24"/>
          <w:szCs w:val="24"/>
        </w:rPr>
        <w:t>energy-water</w:t>
      </w:r>
      <w:r w:rsidR="0032487E" w:rsidRPr="00F51EE1">
        <w:rPr>
          <w:rFonts w:ascii="Times New Roman" w:hAnsi="Times New Roman" w:cs="Times New Roman"/>
          <w:sz w:val="24"/>
          <w:szCs w:val="24"/>
        </w:rPr>
        <w:t xml:space="preserve"> </w:t>
      </w:r>
      <w:r w:rsidRPr="00F51EE1">
        <w:rPr>
          <w:rFonts w:ascii="Times New Roman" w:hAnsi="Times New Roman" w:cs="Times New Roman"/>
          <w:sz w:val="24"/>
          <w:szCs w:val="24"/>
        </w:rPr>
        <w:t xml:space="preserve">nexus in China: a computable general equilibrium analysis. Energy </w:t>
      </w:r>
      <w:proofErr w:type="gramStart"/>
      <w:r w:rsidRPr="00F51EE1">
        <w:rPr>
          <w:rFonts w:ascii="Times New Roman" w:hAnsi="Times New Roman" w:cs="Times New Roman"/>
          <w:sz w:val="24"/>
          <w:szCs w:val="24"/>
        </w:rPr>
        <w:t>Pol ;</w:t>
      </w:r>
      <w:proofErr w:type="gramEnd"/>
      <w:r w:rsidRPr="00F51EE1">
        <w:rPr>
          <w:rFonts w:ascii="Times New Roman" w:hAnsi="Times New Roman" w:cs="Times New Roman"/>
          <w:sz w:val="24"/>
          <w:szCs w:val="24"/>
        </w:rPr>
        <w:t xml:space="preserve"> 123:308–17.</w:t>
      </w:r>
    </w:p>
    <w:p w14:paraId="2E966D98" w14:textId="4B77DB05" w:rsidR="00921FCC" w:rsidRPr="00F51EE1" w:rsidRDefault="00921FCC">
      <w:pPr>
        <w:rPr>
          <w:rFonts w:ascii="Times New Roman" w:hAnsi="Times New Roman" w:cs="Times New Roman"/>
          <w:sz w:val="24"/>
          <w:szCs w:val="24"/>
        </w:rPr>
      </w:pPr>
    </w:p>
    <w:sectPr w:rsidR="00921FCC" w:rsidRPr="00F51EE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888E3" w14:textId="77777777" w:rsidR="008B4FC2" w:rsidRDefault="008B4FC2" w:rsidP="00D21B31">
      <w:pPr>
        <w:spacing w:after="0" w:line="240" w:lineRule="auto"/>
      </w:pPr>
      <w:r>
        <w:separator/>
      </w:r>
    </w:p>
  </w:endnote>
  <w:endnote w:type="continuationSeparator" w:id="0">
    <w:p w14:paraId="76FF6FB2" w14:textId="77777777" w:rsidR="008B4FC2" w:rsidRDefault="008B4FC2" w:rsidP="00D21B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书宋简体">
    <w:altName w:val="微软雅黑"/>
    <w:panose1 w:val="00000000000000000000"/>
    <w:charset w:val="86"/>
    <w:family w:val="roman"/>
    <w:notTrueType/>
    <w:pitch w:val="default"/>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2B3564" w14:textId="77777777" w:rsidR="008B4FC2" w:rsidRDefault="008B4FC2" w:rsidP="00D21B31">
      <w:pPr>
        <w:spacing w:after="0" w:line="240" w:lineRule="auto"/>
      </w:pPr>
      <w:r>
        <w:separator/>
      </w:r>
    </w:p>
  </w:footnote>
  <w:footnote w:type="continuationSeparator" w:id="0">
    <w:p w14:paraId="63153AEE" w14:textId="77777777" w:rsidR="008B4FC2" w:rsidRDefault="008B4FC2" w:rsidP="00D21B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E6629D"/>
    <w:multiLevelType w:val="multilevel"/>
    <w:tmpl w:val="E0CC8930"/>
    <w:lvl w:ilvl="0">
      <w:start w:val="3"/>
      <w:numFmt w:val="decimal"/>
      <w:lvlText w:val="%1."/>
      <w:lvlJc w:val="left"/>
      <w:pPr>
        <w:ind w:left="420" w:hanging="420"/>
      </w:pPr>
      <w:rPr>
        <w:rFonts w:cstheme="majorBidi" w:hint="default"/>
        <w:b w:val="0"/>
        <w:sz w:val="28"/>
      </w:rPr>
    </w:lvl>
    <w:lvl w:ilvl="1">
      <w:start w:val="1"/>
      <w:numFmt w:val="decimal"/>
      <w:lvlText w:val="%1.%2."/>
      <w:lvlJc w:val="left"/>
      <w:pPr>
        <w:ind w:left="780" w:hanging="420"/>
      </w:pPr>
      <w:rPr>
        <w:rFonts w:cstheme="majorBidi" w:hint="default"/>
        <w:b w:val="0"/>
        <w:sz w:val="28"/>
      </w:rPr>
    </w:lvl>
    <w:lvl w:ilvl="2">
      <w:start w:val="1"/>
      <w:numFmt w:val="decimal"/>
      <w:lvlText w:val="%1.%2.%3."/>
      <w:lvlJc w:val="left"/>
      <w:pPr>
        <w:ind w:left="1440" w:hanging="720"/>
      </w:pPr>
      <w:rPr>
        <w:rFonts w:cstheme="majorBidi" w:hint="default"/>
        <w:b w:val="0"/>
        <w:sz w:val="28"/>
      </w:rPr>
    </w:lvl>
    <w:lvl w:ilvl="3">
      <w:start w:val="1"/>
      <w:numFmt w:val="decimal"/>
      <w:lvlText w:val="%1.%2.%3.%4."/>
      <w:lvlJc w:val="left"/>
      <w:pPr>
        <w:ind w:left="1800" w:hanging="720"/>
      </w:pPr>
      <w:rPr>
        <w:rFonts w:cstheme="majorBidi" w:hint="default"/>
        <w:b w:val="0"/>
        <w:sz w:val="28"/>
      </w:rPr>
    </w:lvl>
    <w:lvl w:ilvl="4">
      <w:start w:val="1"/>
      <w:numFmt w:val="decimal"/>
      <w:lvlText w:val="%1.%2.%3.%4.%5."/>
      <w:lvlJc w:val="left"/>
      <w:pPr>
        <w:ind w:left="2520" w:hanging="1080"/>
      </w:pPr>
      <w:rPr>
        <w:rFonts w:cstheme="majorBidi" w:hint="default"/>
        <w:b w:val="0"/>
        <w:sz w:val="28"/>
      </w:rPr>
    </w:lvl>
    <w:lvl w:ilvl="5">
      <w:start w:val="1"/>
      <w:numFmt w:val="decimal"/>
      <w:lvlText w:val="%1.%2.%3.%4.%5.%6."/>
      <w:lvlJc w:val="left"/>
      <w:pPr>
        <w:ind w:left="2880" w:hanging="1080"/>
      </w:pPr>
      <w:rPr>
        <w:rFonts w:cstheme="majorBidi" w:hint="default"/>
        <w:b w:val="0"/>
        <w:sz w:val="28"/>
      </w:rPr>
    </w:lvl>
    <w:lvl w:ilvl="6">
      <w:start w:val="1"/>
      <w:numFmt w:val="decimal"/>
      <w:lvlText w:val="%1.%2.%3.%4.%5.%6.%7."/>
      <w:lvlJc w:val="left"/>
      <w:pPr>
        <w:ind w:left="3600" w:hanging="1440"/>
      </w:pPr>
      <w:rPr>
        <w:rFonts w:cstheme="majorBidi" w:hint="default"/>
        <w:b w:val="0"/>
        <w:sz w:val="28"/>
      </w:rPr>
    </w:lvl>
    <w:lvl w:ilvl="7">
      <w:start w:val="1"/>
      <w:numFmt w:val="decimal"/>
      <w:lvlText w:val="%1.%2.%3.%4.%5.%6.%7.%8."/>
      <w:lvlJc w:val="left"/>
      <w:pPr>
        <w:ind w:left="3960" w:hanging="1440"/>
      </w:pPr>
      <w:rPr>
        <w:rFonts w:cstheme="majorBidi" w:hint="default"/>
        <w:b w:val="0"/>
        <w:sz w:val="28"/>
      </w:rPr>
    </w:lvl>
    <w:lvl w:ilvl="8">
      <w:start w:val="1"/>
      <w:numFmt w:val="decimal"/>
      <w:lvlText w:val="%1.%2.%3.%4.%5.%6.%7.%8.%9."/>
      <w:lvlJc w:val="left"/>
      <w:pPr>
        <w:ind w:left="4680" w:hanging="1800"/>
      </w:pPr>
      <w:rPr>
        <w:rFonts w:cstheme="majorBidi" w:hint="default"/>
        <w:b w:val="0"/>
        <w:sz w:val="28"/>
      </w:rPr>
    </w:lvl>
  </w:abstractNum>
  <w:abstractNum w:abstractNumId="1" w15:restartNumberingAfterBreak="0">
    <w:nsid w:val="18E428AC"/>
    <w:multiLevelType w:val="hybridMultilevel"/>
    <w:tmpl w:val="558406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7652D0"/>
    <w:multiLevelType w:val="multilevel"/>
    <w:tmpl w:val="C8143716"/>
    <w:lvl w:ilvl="0">
      <w:start w:val="1"/>
      <w:numFmt w:val="decimal"/>
      <w:lvlText w:val="%1."/>
      <w:lvlJc w:val="left"/>
      <w:pPr>
        <w:ind w:left="720" w:hanging="360"/>
      </w:pPr>
      <w:rPr>
        <w:rFonts w:hint="default"/>
        <w:b/>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4DC716E"/>
    <w:multiLevelType w:val="multilevel"/>
    <w:tmpl w:val="CF20899C"/>
    <w:lvl w:ilvl="0">
      <w:start w:val="1"/>
      <w:numFmt w:val="decimal"/>
      <w:lvlText w:val="%1."/>
      <w:lvlJc w:val="left"/>
      <w:pPr>
        <w:ind w:left="420" w:hanging="42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abstractNum w:abstractNumId="4" w15:restartNumberingAfterBreak="0">
    <w:nsid w:val="5F395015"/>
    <w:multiLevelType w:val="hybridMultilevel"/>
    <w:tmpl w:val="C10C74C0"/>
    <w:lvl w:ilvl="0" w:tplc="2EE2F21C">
      <w:start w:val="1"/>
      <w:numFmt w:val="decimal"/>
      <w:lvlText w:val="%1."/>
      <w:lvlJc w:val="left"/>
      <w:pPr>
        <w:ind w:left="501"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5" w15:restartNumberingAfterBreak="0">
    <w:nsid w:val="6C664E7D"/>
    <w:multiLevelType w:val="multilevel"/>
    <w:tmpl w:val="777897BA"/>
    <w:lvl w:ilvl="0">
      <w:start w:val="1"/>
      <w:numFmt w:val="decimal"/>
      <w:pStyle w:val="1"/>
      <w:suff w:val="space"/>
      <w:lvlText w:val="%1 "/>
      <w:lvlJc w:val="left"/>
      <w:pPr>
        <w:ind w:left="4111" w:firstLine="0"/>
      </w:pPr>
      <w:rPr>
        <w:rFonts w:ascii="黑体" w:eastAsia="黑体" w:hAnsi="黑体" w:hint="default"/>
        <w:b/>
        <w:i w:val="0"/>
        <w:sz w:val="32"/>
        <w:szCs w:val="32"/>
      </w:rPr>
    </w:lvl>
    <w:lvl w:ilvl="1">
      <w:start w:val="1"/>
      <w:numFmt w:val="decimal"/>
      <w:pStyle w:val="2"/>
      <w:suff w:val="space"/>
      <w:lvlText w:val="%1.%2"/>
      <w:lvlJc w:val="left"/>
      <w:pPr>
        <w:ind w:left="425" w:firstLine="0"/>
      </w:pPr>
      <w:rPr>
        <w:rFonts w:ascii="黑体" w:eastAsia="黑体" w:hAnsi="黑体" w:hint="default"/>
        <w:b/>
        <w:i w:val="0"/>
        <w:sz w:val="30"/>
        <w:szCs w:val="30"/>
      </w:rPr>
    </w:lvl>
    <w:lvl w:ilvl="2">
      <w:start w:val="1"/>
      <w:numFmt w:val="decimal"/>
      <w:pStyle w:val="3"/>
      <w:suff w:val="space"/>
      <w:lvlText w:val="%1.%2.%3"/>
      <w:lvlJc w:val="left"/>
      <w:pPr>
        <w:ind w:left="141" w:firstLine="0"/>
      </w:pPr>
      <w:rPr>
        <w:rFonts w:ascii="黑体" w:eastAsia="黑体" w:hAnsi="黑体" w:cs="Times New Roman" w:hint="eastAsia"/>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pStyle w:val="4"/>
      <w:suff w:val="space"/>
      <w:lvlText w:val="%1.%2.%3.%4"/>
      <w:lvlJc w:val="left"/>
      <w:pPr>
        <w:ind w:left="840" w:firstLine="0"/>
      </w:pPr>
      <w:rPr>
        <w:rFonts w:ascii="黑体" w:eastAsia="黑体" w:hAnsi="黑体" w:hint="default"/>
        <w:b/>
        <w:i w:val="0"/>
      </w:rPr>
    </w:lvl>
    <w:lvl w:ilvl="4">
      <w:start w:val="1"/>
      <w:numFmt w:val="decimal"/>
      <w:pStyle w:val="5"/>
      <w:suff w:val="space"/>
      <w:lvlText w:val="%5."/>
      <w:lvlJc w:val="left"/>
      <w:pPr>
        <w:ind w:left="0" w:firstLine="0"/>
      </w:pPr>
      <w:rPr>
        <w:rFonts w:ascii="方正书宋简体" w:eastAsia="方正书宋简体" w:hint="eastAsia"/>
        <w:b w:val="0"/>
        <w:i w:val="0"/>
      </w:rPr>
    </w:lvl>
    <w:lvl w:ilvl="5">
      <w:start w:val="1"/>
      <w:numFmt w:val="decimal"/>
      <w:pStyle w:val="6"/>
      <w:suff w:val="space"/>
      <w:lvlText w:val="%6)"/>
      <w:lvlJc w:val="left"/>
      <w:pPr>
        <w:ind w:left="420" w:firstLine="0"/>
      </w:pPr>
      <w:rPr>
        <w:rFonts w:ascii="方正书宋简体" w:eastAsia="方正书宋简体" w:hint="eastAsia"/>
        <w:b w:val="0"/>
        <w:i w:val="0"/>
        <w:sz w:val="21"/>
        <w:szCs w:val="21"/>
      </w:rPr>
    </w:lvl>
    <w:lvl w:ilvl="6">
      <w:start w:val="1"/>
      <w:numFmt w:val="decimal"/>
      <w:pStyle w:val="7"/>
      <w:suff w:val="space"/>
      <w:lvlText w:val="(%7)"/>
      <w:lvlJc w:val="left"/>
      <w:pPr>
        <w:ind w:left="420" w:firstLine="0"/>
      </w:pPr>
      <w:rPr>
        <w:rFonts w:ascii="方正书宋简体" w:eastAsia="方正书宋简体" w:hint="eastAsia"/>
      </w:rPr>
    </w:lvl>
    <w:lvl w:ilvl="7">
      <w:start w:val="1"/>
      <w:numFmt w:val="lowerLetter"/>
      <w:pStyle w:val="8"/>
      <w:suff w:val="space"/>
      <w:lvlText w:val="%8."/>
      <w:lvlJc w:val="left"/>
      <w:pPr>
        <w:ind w:left="0" w:firstLine="0"/>
      </w:pPr>
      <w:rPr>
        <w:rFonts w:ascii="方正书宋简体" w:eastAsia="方正书宋简体" w:hint="eastAsia"/>
      </w:rPr>
    </w:lvl>
    <w:lvl w:ilvl="8">
      <w:start w:val="1"/>
      <w:numFmt w:val="decimal"/>
      <w:lvlText w:val="%1.%2.%3.%4.%5.%6.%7.%8.%9."/>
      <w:lvlJc w:val="left"/>
      <w:pPr>
        <w:tabs>
          <w:tab w:val="num" w:pos="4197"/>
        </w:tabs>
        <w:ind w:left="4197" w:hanging="1559"/>
      </w:pPr>
      <w:rPr>
        <w:rFonts w:hint="eastAsia"/>
      </w:rPr>
    </w:lvl>
  </w:abstractNum>
  <w:abstractNum w:abstractNumId="6" w15:restartNumberingAfterBreak="0">
    <w:nsid w:val="74C44C92"/>
    <w:multiLevelType w:val="multilevel"/>
    <w:tmpl w:val="A64E7410"/>
    <w:lvl w:ilvl="0">
      <w:start w:val="2"/>
      <w:numFmt w:val="decimal"/>
      <w:lvlText w:val="%1."/>
      <w:lvlJc w:val="left"/>
      <w:pPr>
        <w:ind w:left="360" w:hanging="360"/>
      </w:pPr>
      <w:rPr>
        <w:rFonts w:hint="default"/>
        <w:sz w:val="24"/>
      </w:rPr>
    </w:lvl>
    <w:lvl w:ilvl="1">
      <w:start w:val="1"/>
      <w:numFmt w:val="decimal"/>
      <w:lvlText w:val="%1.%2."/>
      <w:lvlJc w:val="left"/>
      <w:pPr>
        <w:ind w:left="720" w:hanging="72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800" w:hanging="180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2160" w:hanging="2160"/>
      </w:pPr>
      <w:rPr>
        <w:rFonts w:hint="default"/>
        <w:sz w:val="24"/>
      </w:rPr>
    </w:lvl>
  </w:abstractNum>
  <w:abstractNum w:abstractNumId="7" w15:restartNumberingAfterBreak="0">
    <w:nsid w:val="7E8F0B29"/>
    <w:multiLevelType w:val="multilevel"/>
    <w:tmpl w:val="CF20899C"/>
    <w:lvl w:ilvl="0">
      <w:start w:val="1"/>
      <w:numFmt w:val="decimal"/>
      <w:lvlText w:val="%1."/>
      <w:lvlJc w:val="left"/>
      <w:pPr>
        <w:ind w:left="420" w:hanging="420"/>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2787" w:hanging="1800"/>
      </w:pPr>
      <w:rPr>
        <w:rFonts w:hint="default"/>
      </w:rPr>
    </w:lvl>
    <w:lvl w:ilvl="8">
      <w:start w:val="1"/>
      <w:numFmt w:val="decimal"/>
      <w:lvlText w:val="%1.%2.%3.%4.%5.%6.%7.%8.%9."/>
      <w:lvlJc w:val="left"/>
      <w:pPr>
        <w:ind w:left="3288" w:hanging="2160"/>
      </w:pPr>
      <w:rPr>
        <w:rFonts w:hint="default"/>
      </w:rPr>
    </w:lvl>
  </w:abstractNum>
  <w:num w:numId="1" w16cid:durableId="1733651386">
    <w:abstractNumId w:val="5"/>
  </w:num>
  <w:num w:numId="2" w16cid:durableId="978076928">
    <w:abstractNumId w:val="0"/>
  </w:num>
  <w:num w:numId="3" w16cid:durableId="1094206079">
    <w:abstractNumId w:val="2"/>
  </w:num>
  <w:num w:numId="4" w16cid:durableId="1017852664">
    <w:abstractNumId w:val="4"/>
  </w:num>
  <w:num w:numId="5" w16cid:durableId="879510457">
    <w:abstractNumId w:val="7"/>
  </w:num>
  <w:num w:numId="6" w16cid:durableId="441612162">
    <w:abstractNumId w:val="3"/>
  </w:num>
  <w:num w:numId="7" w16cid:durableId="1519857252">
    <w:abstractNumId w:val="6"/>
  </w:num>
  <w:num w:numId="8" w16cid:durableId="120298228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NLY0MjWxNDWyNDcxNjVT0lEKTi0uzszPAykwrAUAXOPFCSwAAAA="/>
  </w:docVars>
  <w:rsids>
    <w:rsidRoot w:val="004B1FE8"/>
    <w:rsid w:val="00020FC8"/>
    <w:rsid w:val="0008406F"/>
    <w:rsid w:val="000A0069"/>
    <w:rsid w:val="000B36A8"/>
    <w:rsid w:val="001221C0"/>
    <w:rsid w:val="00183B40"/>
    <w:rsid w:val="001C4866"/>
    <w:rsid w:val="001F1FF1"/>
    <w:rsid w:val="0020032C"/>
    <w:rsid w:val="002162D3"/>
    <w:rsid w:val="00255C6B"/>
    <w:rsid w:val="00256109"/>
    <w:rsid w:val="002643FE"/>
    <w:rsid w:val="00297AE6"/>
    <w:rsid w:val="002C52CD"/>
    <w:rsid w:val="0032487E"/>
    <w:rsid w:val="0036766C"/>
    <w:rsid w:val="00370F27"/>
    <w:rsid w:val="00383283"/>
    <w:rsid w:val="00393D32"/>
    <w:rsid w:val="003C6FC5"/>
    <w:rsid w:val="003F3B30"/>
    <w:rsid w:val="004A73BD"/>
    <w:rsid w:val="004B1FE8"/>
    <w:rsid w:val="004D1F16"/>
    <w:rsid w:val="00576FF9"/>
    <w:rsid w:val="005B2E88"/>
    <w:rsid w:val="005B6F6D"/>
    <w:rsid w:val="005E7397"/>
    <w:rsid w:val="0068261F"/>
    <w:rsid w:val="006D33C1"/>
    <w:rsid w:val="006E33C3"/>
    <w:rsid w:val="00710141"/>
    <w:rsid w:val="00742ED2"/>
    <w:rsid w:val="00785576"/>
    <w:rsid w:val="00794682"/>
    <w:rsid w:val="00833341"/>
    <w:rsid w:val="00843A07"/>
    <w:rsid w:val="00856A37"/>
    <w:rsid w:val="00857DDD"/>
    <w:rsid w:val="00866A83"/>
    <w:rsid w:val="0087750A"/>
    <w:rsid w:val="008B4FC2"/>
    <w:rsid w:val="0092065D"/>
    <w:rsid w:val="00921FCC"/>
    <w:rsid w:val="009630AD"/>
    <w:rsid w:val="00964A0A"/>
    <w:rsid w:val="00974D9D"/>
    <w:rsid w:val="009B0F9B"/>
    <w:rsid w:val="00A0023B"/>
    <w:rsid w:val="00A0492B"/>
    <w:rsid w:val="00A22C77"/>
    <w:rsid w:val="00A35899"/>
    <w:rsid w:val="00A55F3B"/>
    <w:rsid w:val="00A62738"/>
    <w:rsid w:val="00A67B98"/>
    <w:rsid w:val="00B42C69"/>
    <w:rsid w:val="00B873B6"/>
    <w:rsid w:val="00BB510B"/>
    <w:rsid w:val="00BE13C7"/>
    <w:rsid w:val="00C02AD6"/>
    <w:rsid w:val="00C43E2C"/>
    <w:rsid w:val="00C47F1A"/>
    <w:rsid w:val="00CD5BFB"/>
    <w:rsid w:val="00D21B31"/>
    <w:rsid w:val="00D25A00"/>
    <w:rsid w:val="00D35BA5"/>
    <w:rsid w:val="00D50C60"/>
    <w:rsid w:val="00DA5717"/>
    <w:rsid w:val="00DC0AD0"/>
    <w:rsid w:val="00DC55D4"/>
    <w:rsid w:val="00DD7BF9"/>
    <w:rsid w:val="00E03C95"/>
    <w:rsid w:val="00E27E90"/>
    <w:rsid w:val="00E639F7"/>
    <w:rsid w:val="00E75AD1"/>
    <w:rsid w:val="00EC1A7F"/>
    <w:rsid w:val="00EE3C79"/>
    <w:rsid w:val="00EF77A2"/>
    <w:rsid w:val="00F31C14"/>
    <w:rsid w:val="00F51EE1"/>
    <w:rsid w:val="00FD35CC"/>
    <w:rsid w:val="00FD4A59"/>
    <w:rsid w:val="00FE54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BE83F3"/>
  <w15:chartTrackingRefBased/>
  <w15:docId w15:val="{F95E36EE-E73B-4303-9B17-799FA9A33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1FE8"/>
  </w:style>
  <w:style w:type="paragraph" w:styleId="1">
    <w:name w:val="heading 1"/>
    <w:basedOn w:val="a"/>
    <w:next w:val="a"/>
    <w:link w:val="10"/>
    <w:qFormat/>
    <w:rsid w:val="004B1FE8"/>
    <w:pPr>
      <w:keepNext/>
      <w:keepLines/>
      <w:widowControl w:val="0"/>
      <w:numPr>
        <w:numId w:val="1"/>
      </w:numPr>
      <w:spacing w:beforeLines="200" w:afterLines="200" w:after="0" w:line="400" w:lineRule="atLeast"/>
      <w:jc w:val="center"/>
      <w:outlineLvl w:val="0"/>
    </w:pPr>
    <w:rPr>
      <w:rFonts w:ascii="Times New Roman" w:eastAsia="黑体" w:hAnsi="Times New Roman" w:cs="Times New Roman"/>
      <w:bCs/>
      <w:kern w:val="44"/>
      <w:sz w:val="32"/>
      <w:szCs w:val="32"/>
    </w:rPr>
  </w:style>
  <w:style w:type="paragraph" w:styleId="2">
    <w:name w:val="heading 2"/>
    <w:basedOn w:val="a"/>
    <w:next w:val="a"/>
    <w:link w:val="20"/>
    <w:qFormat/>
    <w:rsid w:val="004B1FE8"/>
    <w:pPr>
      <w:keepNext/>
      <w:keepLines/>
      <w:widowControl w:val="0"/>
      <w:numPr>
        <w:ilvl w:val="1"/>
        <w:numId w:val="1"/>
      </w:numPr>
      <w:spacing w:beforeLines="100" w:afterLines="100" w:after="0" w:line="400" w:lineRule="atLeast"/>
      <w:outlineLvl w:val="1"/>
    </w:pPr>
    <w:rPr>
      <w:rFonts w:ascii="Times New Roman" w:eastAsia="黑体" w:hAnsi="Times New Roman" w:cs="Times New Roman"/>
      <w:bCs/>
      <w:kern w:val="2"/>
      <w:sz w:val="30"/>
      <w:szCs w:val="30"/>
    </w:rPr>
  </w:style>
  <w:style w:type="paragraph" w:styleId="3">
    <w:name w:val="heading 3"/>
    <w:basedOn w:val="a"/>
    <w:next w:val="a"/>
    <w:link w:val="30"/>
    <w:qFormat/>
    <w:rsid w:val="004B1FE8"/>
    <w:pPr>
      <w:keepNext/>
      <w:keepLines/>
      <w:widowControl w:val="0"/>
      <w:numPr>
        <w:ilvl w:val="2"/>
        <w:numId w:val="1"/>
      </w:numPr>
      <w:spacing w:beforeLines="50" w:afterLines="50" w:after="0" w:line="400" w:lineRule="atLeast"/>
      <w:outlineLvl w:val="2"/>
    </w:pPr>
    <w:rPr>
      <w:rFonts w:ascii="Times New Roman" w:eastAsia="黑体" w:hAnsi="Times New Roman" w:cs="Times New Roman"/>
      <w:b/>
      <w:bCs/>
      <w:kern w:val="2"/>
      <w:sz w:val="28"/>
      <w:szCs w:val="28"/>
    </w:rPr>
  </w:style>
  <w:style w:type="paragraph" w:styleId="4">
    <w:name w:val="heading 4"/>
    <w:basedOn w:val="a"/>
    <w:next w:val="a"/>
    <w:link w:val="40"/>
    <w:qFormat/>
    <w:rsid w:val="004B1FE8"/>
    <w:pPr>
      <w:keepNext/>
      <w:keepLines/>
      <w:widowControl w:val="0"/>
      <w:numPr>
        <w:ilvl w:val="3"/>
        <w:numId w:val="1"/>
      </w:numPr>
      <w:spacing w:beforeLines="50" w:afterLines="50" w:after="0" w:line="400" w:lineRule="atLeast"/>
      <w:ind w:left="0"/>
      <w:outlineLvl w:val="3"/>
    </w:pPr>
    <w:rPr>
      <w:rFonts w:ascii="Times New Roman" w:eastAsia="黑体" w:hAnsi="Times New Roman" w:cs="Times New Roman"/>
      <w:bCs/>
      <w:kern w:val="2"/>
      <w:sz w:val="24"/>
      <w:szCs w:val="24"/>
    </w:rPr>
  </w:style>
  <w:style w:type="paragraph" w:styleId="5">
    <w:name w:val="heading 5"/>
    <w:basedOn w:val="a"/>
    <w:next w:val="a"/>
    <w:link w:val="50"/>
    <w:qFormat/>
    <w:rsid w:val="004B1FE8"/>
    <w:pPr>
      <w:keepNext/>
      <w:keepLines/>
      <w:widowControl w:val="0"/>
      <w:numPr>
        <w:ilvl w:val="4"/>
        <w:numId w:val="1"/>
      </w:numPr>
      <w:spacing w:after="0" w:line="400" w:lineRule="atLeast"/>
      <w:outlineLvl w:val="4"/>
    </w:pPr>
    <w:rPr>
      <w:rFonts w:ascii="Times New Roman" w:eastAsia="黑体" w:hAnsi="Times New Roman" w:cs="Times New Roman"/>
      <w:bCs/>
      <w:kern w:val="2"/>
      <w:sz w:val="24"/>
      <w:szCs w:val="24"/>
    </w:rPr>
  </w:style>
  <w:style w:type="paragraph" w:styleId="6">
    <w:name w:val="heading 6"/>
    <w:basedOn w:val="5"/>
    <w:next w:val="a"/>
    <w:link w:val="60"/>
    <w:qFormat/>
    <w:rsid w:val="004B1FE8"/>
    <w:pPr>
      <w:numPr>
        <w:ilvl w:val="5"/>
      </w:numPr>
      <w:outlineLvl w:val="5"/>
    </w:pPr>
    <w:rPr>
      <w:bCs w:val="0"/>
    </w:rPr>
  </w:style>
  <w:style w:type="paragraph" w:styleId="7">
    <w:name w:val="heading 7"/>
    <w:basedOn w:val="a"/>
    <w:next w:val="a"/>
    <w:link w:val="70"/>
    <w:qFormat/>
    <w:rsid w:val="004B1FE8"/>
    <w:pPr>
      <w:widowControl w:val="0"/>
      <w:numPr>
        <w:ilvl w:val="6"/>
        <w:numId w:val="1"/>
      </w:numPr>
      <w:spacing w:after="0" w:line="400" w:lineRule="atLeast"/>
      <w:ind w:left="0" w:firstLine="420"/>
      <w:outlineLvl w:val="6"/>
    </w:pPr>
    <w:rPr>
      <w:rFonts w:ascii="Times" w:eastAsia="黑体" w:hAnsi="Times" w:cs="Times New Roman"/>
      <w:bCs/>
      <w:kern w:val="2"/>
      <w:sz w:val="24"/>
      <w:szCs w:val="24"/>
    </w:rPr>
  </w:style>
  <w:style w:type="paragraph" w:styleId="8">
    <w:name w:val="heading 8"/>
    <w:basedOn w:val="a"/>
    <w:next w:val="a"/>
    <w:link w:val="80"/>
    <w:qFormat/>
    <w:rsid w:val="004B1FE8"/>
    <w:pPr>
      <w:widowControl w:val="0"/>
      <w:numPr>
        <w:ilvl w:val="7"/>
        <w:numId w:val="1"/>
      </w:numPr>
      <w:spacing w:after="0" w:line="400" w:lineRule="atLeast"/>
      <w:outlineLvl w:val="7"/>
    </w:pPr>
    <w:rPr>
      <w:rFonts w:ascii="Times" w:eastAsia="宋体" w:hAnsi="Arial" w:cs="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B1F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rsid w:val="004B1FE8"/>
    <w:rPr>
      <w:rFonts w:ascii="Times New Roman" w:eastAsia="黑体" w:hAnsi="Times New Roman" w:cs="Times New Roman"/>
      <w:bCs/>
      <w:kern w:val="44"/>
      <w:sz w:val="32"/>
      <w:szCs w:val="32"/>
    </w:rPr>
  </w:style>
  <w:style w:type="character" w:customStyle="1" w:styleId="20">
    <w:name w:val="标题 2 字符"/>
    <w:basedOn w:val="a0"/>
    <w:link w:val="2"/>
    <w:rsid w:val="004B1FE8"/>
    <w:rPr>
      <w:rFonts w:ascii="Times New Roman" w:eastAsia="黑体" w:hAnsi="Times New Roman" w:cs="Times New Roman"/>
      <w:bCs/>
      <w:kern w:val="2"/>
      <w:sz w:val="30"/>
      <w:szCs w:val="30"/>
    </w:rPr>
  </w:style>
  <w:style w:type="character" w:customStyle="1" w:styleId="30">
    <w:name w:val="标题 3 字符"/>
    <w:basedOn w:val="a0"/>
    <w:link w:val="3"/>
    <w:rsid w:val="004B1FE8"/>
    <w:rPr>
      <w:rFonts w:ascii="Times New Roman" w:eastAsia="黑体" w:hAnsi="Times New Roman" w:cs="Times New Roman"/>
      <w:b/>
      <w:bCs/>
      <w:kern w:val="2"/>
      <w:sz w:val="28"/>
      <w:szCs w:val="28"/>
    </w:rPr>
  </w:style>
  <w:style w:type="character" w:customStyle="1" w:styleId="40">
    <w:name w:val="标题 4 字符"/>
    <w:basedOn w:val="a0"/>
    <w:link w:val="4"/>
    <w:rsid w:val="004B1FE8"/>
    <w:rPr>
      <w:rFonts w:ascii="Times New Roman" w:eastAsia="黑体" w:hAnsi="Times New Roman" w:cs="Times New Roman"/>
      <w:bCs/>
      <w:kern w:val="2"/>
      <w:sz w:val="24"/>
      <w:szCs w:val="24"/>
    </w:rPr>
  </w:style>
  <w:style w:type="character" w:customStyle="1" w:styleId="50">
    <w:name w:val="标题 5 字符"/>
    <w:basedOn w:val="a0"/>
    <w:link w:val="5"/>
    <w:rsid w:val="004B1FE8"/>
    <w:rPr>
      <w:rFonts w:ascii="Times New Roman" w:eastAsia="黑体" w:hAnsi="Times New Roman" w:cs="Times New Roman"/>
      <w:bCs/>
      <w:kern w:val="2"/>
      <w:sz w:val="24"/>
      <w:szCs w:val="24"/>
    </w:rPr>
  </w:style>
  <w:style w:type="character" w:customStyle="1" w:styleId="60">
    <w:name w:val="标题 6 字符"/>
    <w:basedOn w:val="a0"/>
    <w:link w:val="6"/>
    <w:rsid w:val="004B1FE8"/>
    <w:rPr>
      <w:rFonts w:ascii="Times New Roman" w:eastAsia="黑体" w:hAnsi="Times New Roman" w:cs="Times New Roman"/>
      <w:kern w:val="2"/>
      <w:sz w:val="24"/>
      <w:szCs w:val="24"/>
    </w:rPr>
  </w:style>
  <w:style w:type="character" w:customStyle="1" w:styleId="70">
    <w:name w:val="标题 7 字符"/>
    <w:basedOn w:val="a0"/>
    <w:link w:val="7"/>
    <w:rsid w:val="004B1FE8"/>
    <w:rPr>
      <w:rFonts w:ascii="Times" w:eastAsia="黑体" w:hAnsi="Times" w:cs="Times New Roman"/>
      <w:bCs/>
      <w:kern w:val="2"/>
      <w:sz w:val="24"/>
      <w:szCs w:val="24"/>
    </w:rPr>
  </w:style>
  <w:style w:type="character" w:customStyle="1" w:styleId="80">
    <w:name w:val="标题 8 字符"/>
    <w:basedOn w:val="a0"/>
    <w:link w:val="8"/>
    <w:rsid w:val="004B1FE8"/>
    <w:rPr>
      <w:rFonts w:ascii="Times" w:eastAsia="宋体" w:hAnsi="Arial" w:cs="Times New Roman"/>
      <w:kern w:val="2"/>
      <w:sz w:val="24"/>
      <w:szCs w:val="24"/>
    </w:rPr>
  </w:style>
  <w:style w:type="character" w:styleId="a4">
    <w:name w:val="Placeholder Text"/>
    <w:basedOn w:val="a0"/>
    <w:uiPriority w:val="99"/>
    <w:semiHidden/>
    <w:rsid w:val="000A0069"/>
    <w:rPr>
      <w:color w:val="808080"/>
    </w:rPr>
  </w:style>
  <w:style w:type="paragraph" w:styleId="a5">
    <w:name w:val="annotation text"/>
    <w:basedOn w:val="a"/>
    <w:link w:val="a6"/>
    <w:uiPriority w:val="99"/>
    <w:unhideWhenUsed/>
    <w:rsid w:val="00921FCC"/>
    <w:pPr>
      <w:spacing w:before="120" w:after="0" w:line="240" w:lineRule="auto"/>
      <w:jc w:val="both"/>
    </w:pPr>
    <w:rPr>
      <w:rFonts w:ascii="Times New Roman" w:hAnsi="Times New Roman"/>
      <w:sz w:val="20"/>
      <w:szCs w:val="20"/>
      <w:lang w:eastAsia="en-US"/>
    </w:rPr>
  </w:style>
  <w:style w:type="character" w:customStyle="1" w:styleId="a6">
    <w:name w:val="批注文字 字符"/>
    <w:basedOn w:val="a0"/>
    <w:link w:val="a5"/>
    <w:uiPriority w:val="99"/>
    <w:rsid w:val="00921FCC"/>
    <w:rPr>
      <w:rFonts w:ascii="Times New Roman" w:hAnsi="Times New Roman"/>
      <w:sz w:val="20"/>
      <w:szCs w:val="20"/>
      <w:lang w:eastAsia="en-US"/>
    </w:rPr>
  </w:style>
  <w:style w:type="character" w:styleId="a7">
    <w:name w:val="annotation reference"/>
    <w:basedOn w:val="a0"/>
    <w:uiPriority w:val="99"/>
    <w:semiHidden/>
    <w:unhideWhenUsed/>
    <w:rsid w:val="00921FCC"/>
    <w:rPr>
      <w:sz w:val="16"/>
      <w:szCs w:val="16"/>
    </w:rPr>
  </w:style>
  <w:style w:type="paragraph" w:styleId="a8">
    <w:name w:val="Balloon Text"/>
    <w:basedOn w:val="a"/>
    <w:link w:val="a9"/>
    <w:uiPriority w:val="99"/>
    <w:semiHidden/>
    <w:unhideWhenUsed/>
    <w:rsid w:val="00921FCC"/>
    <w:pPr>
      <w:spacing w:after="0" w:line="240" w:lineRule="auto"/>
    </w:pPr>
    <w:rPr>
      <w:rFonts w:ascii="Segoe UI" w:hAnsi="Segoe UI" w:cs="Segoe UI"/>
      <w:sz w:val="18"/>
      <w:szCs w:val="18"/>
    </w:rPr>
  </w:style>
  <w:style w:type="character" w:customStyle="1" w:styleId="a9">
    <w:name w:val="批注框文本 字符"/>
    <w:basedOn w:val="a0"/>
    <w:link w:val="a8"/>
    <w:uiPriority w:val="99"/>
    <w:semiHidden/>
    <w:rsid w:val="00921FCC"/>
    <w:rPr>
      <w:rFonts w:ascii="Segoe UI" w:hAnsi="Segoe UI" w:cs="Segoe UI"/>
      <w:sz w:val="18"/>
      <w:szCs w:val="18"/>
    </w:rPr>
  </w:style>
  <w:style w:type="character" w:styleId="aa">
    <w:name w:val="Hyperlink"/>
    <w:basedOn w:val="a0"/>
    <w:uiPriority w:val="99"/>
    <w:unhideWhenUsed/>
    <w:qFormat/>
    <w:rsid w:val="00F51EE1"/>
    <w:rPr>
      <w:color w:val="0000FF"/>
      <w:u w:val="single"/>
    </w:rPr>
  </w:style>
  <w:style w:type="paragraph" w:styleId="ab">
    <w:name w:val="Revision"/>
    <w:hidden/>
    <w:uiPriority w:val="99"/>
    <w:semiHidden/>
    <w:rsid w:val="00D21B31"/>
    <w:pPr>
      <w:spacing w:after="0" w:line="240" w:lineRule="auto"/>
    </w:pPr>
  </w:style>
  <w:style w:type="paragraph" w:styleId="ac">
    <w:name w:val="header"/>
    <w:basedOn w:val="a"/>
    <w:link w:val="ad"/>
    <w:uiPriority w:val="99"/>
    <w:unhideWhenUsed/>
    <w:rsid w:val="00D21B31"/>
    <w:pPr>
      <w:tabs>
        <w:tab w:val="center" w:pos="4153"/>
        <w:tab w:val="right" w:pos="8306"/>
      </w:tabs>
      <w:snapToGrid w:val="0"/>
      <w:spacing w:line="240" w:lineRule="auto"/>
      <w:jc w:val="center"/>
    </w:pPr>
    <w:rPr>
      <w:sz w:val="18"/>
      <w:szCs w:val="18"/>
    </w:rPr>
  </w:style>
  <w:style w:type="character" w:customStyle="1" w:styleId="ad">
    <w:name w:val="页眉 字符"/>
    <w:basedOn w:val="a0"/>
    <w:link w:val="ac"/>
    <w:uiPriority w:val="99"/>
    <w:rsid w:val="00D21B31"/>
    <w:rPr>
      <w:sz w:val="18"/>
      <w:szCs w:val="18"/>
    </w:rPr>
  </w:style>
  <w:style w:type="paragraph" w:styleId="ae">
    <w:name w:val="footer"/>
    <w:basedOn w:val="a"/>
    <w:link w:val="af"/>
    <w:uiPriority w:val="99"/>
    <w:unhideWhenUsed/>
    <w:rsid w:val="00D21B31"/>
    <w:pPr>
      <w:tabs>
        <w:tab w:val="center" w:pos="4153"/>
        <w:tab w:val="right" w:pos="8306"/>
      </w:tabs>
      <w:snapToGrid w:val="0"/>
      <w:spacing w:line="240" w:lineRule="auto"/>
    </w:pPr>
    <w:rPr>
      <w:sz w:val="18"/>
      <w:szCs w:val="18"/>
    </w:rPr>
  </w:style>
  <w:style w:type="character" w:customStyle="1" w:styleId="af">
    <w:name w:val="页脚 字符"/>
    <w:basedOn w:val="a0"/>
    <w:link w:val="ae"/>
    <w:uiPriority w:val="99"/>
    <w:rsid w:val="00D21B31"/>
    <w:rPr>
      <w:sz w:val="18"/>
      <w:szCs w:val="18"/>
    </w:rPr>
  </w:style>
  <w:style w:type="paragraph" w:styleId="af0">
    <w:name w:val="annotation subject"/>
    <w:basedOn w:val="a5"/>
    <w:next w:val="a5"/>
    <w:link w:val="af1"/>
    <w:uiPriority w:val="99"/>
    <w:semiHidden/>
    <w:unhideWhenUsed/>
    <w:rsid w:val="0020032C"/>
    <w:pPr>
      <w:spacing w:before="0" w:after="160" w:line="259" w:lineRule="auto"/>
      <w:jc w:val="left"/>
    </w:pPr>
    <w:rPr>
      <w:rFonts w:asciiTheme="minorHAnsi" w:hAnsiTheme="minorHAnsi"/>
      <w:b/>
      <w:bCs/>
      <w:sz w:val="22"/>
      <w:szCs w:val="22"/>
      <w:lang w:eastAsia="zh-CN"/>
    </w:rPr>
  </w:style>
  <w:style w:type="character" w:customStyle="1" w:styleId="af1">
    <w:name w:val="批注主题 字符"/>
    <w:basedOn w:val="a6"/>
    <w:link w:val="af0"/>
    <w:uiPriority w:val="99"/>
    <w:semiHidden/>
    <w:rsid w:val="0020032C"/>
    <w:rPr>
      <w:rFonts w:ascii="Times New Roman" w:hAnsi="Times New Roman"/>
      <w:b/>
      <w:bCs/>
      <w:sz w:val="20"/>
      <w:szCs w:val="20"/>
      <w:lang w:eastAsia="en-US"/>
    </w:rPr>
  </w:style>
  <w:style w:type="paragraph" w:customStyle="1" w:styleId="6-Author-ENG">
    <w:name w:val="6-Author-ENG"/>
    <w:basedOn w:val="a"/>
    <w:qFormat/>
    <w:rsid w:val="00DD7BF9"/>
    <w:pPr>
      <w:autoSpaceDE w:val="0"/>
      <w:autoSpaceDN w:val="0"/>
      <w:adjustRightInd w:val="0"/>
      <w:snapToGrid w:val="0"/>
      <w:spacing w:after="0" w:line="240" w:lineRule="auto"/>
    </w:pPr>
    <w:rPr>
      <w:rFonts w:ascii="Times New Roman" w:eastAsia="宋体" w:hAnsi="Times New Roman" w:cs="Times New Roman"/>
      <w:sz w:val="24"/>
      <w:szCs w:val="24"/>
      <w:lang w:eastAsia="en-US"/>
    </w:rPr>
  </w:style>
  <w:style w:type="paragraph" w:customStyle="1" w:styleId="6-Corre-ENG">
    <w:name w:val="6-Corre-ENG"/>
    <w:basedOn w:val="a"/>
    <w:qFormat/>
    <w:rsid w:val="00DD7BF9"/>
    <w:pPr>
      <w:widowControl w:val="0"/>
      <w:adjustRightInd w:val="0"/>
      <w:snapToGrid w:val="0"/>
      <w:spacing w:after="0" w:line="240" w:lineRule="auto"/>
      <w:contextualSpacing/>
    </w:pPr>
    <w:rPr>
      <w:rFonts w:ascii="Times New Roman" w:eastAsia="等线" w:hAnsi="Times New Roman" w:cs="Times New Roman"/>
      <w:kern w:val="2"/>
      <w:sz w:val="18"/>
      <w:szCs w:val="28"/>
    </w:rPr>
  </w:style>
  <w:style w:type="paragraph" w:customStyle="1" w:styleId="7-Affili-ENG">
    <w:name w:val="7-Affili-ENG"/>
    <w:basedOn w:val="a"/>
    <w:qFormat/>
    <w:rsid w:val="00DD7BF9"/>
    <w:pPr>
      <w:autoSpaceDE w:val="0"/>
      <w:autoSpaceDN w:val="0"/>
      <w:adjustRightInd w:val="0"/>
      <w:snapToGrid w:val="0"/>
      <w:spacing w:after="0" w:line="240" w:lineRule="auto"/>
    </w:pPr>
    <w:rPr>
      <w:rFonts w:ascii="Times New Roman" w:eastAsia="宋体" w:hAnsi="Times New Roman" w:cs="Times New Roman"/>
      <w:i/>
      <w:sz w:val="18"/>
      <w:szCs w:val="24"/>
      <w:lang w:eastAsia="en-US"/>
    </w:rPr>
  </w:style>
  <w:style w:type="paragraph" w:customStyle="1" w:styleId="8-Title-ENG">
    <w:name w:val="8-Title-ENG"/>
    <w:basedOn w:val="a"/>
    <w:qFormat/>
    <w:rsid w:val="00DD7BF9"/>
    <w:pPr>
      <w:keepNext/>
      <w:keepLines/>
      <w:widowControl w:val="0"/>
      <w:snapToGrid w:val="0"/>
      <w:spacing w:after="0" w:line="240" w:lineRule="auto"/>
      <w:contextualSpacing/>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liugengyuan@bnu.edu.cn" TargetMode="External"/><Relationship Id="rId12" Type="http://schemas.openxmlformats.org/officeDocument/2006/relationships/hyperlink" Target="https://petroleum.gov.pk/SiteImage/Downloads/yearbook2019-20.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tif"/><Relationship Id="rId5" Type="http://schemas.openxmlformats.org/officeDocument/2006/relationships/footnotes" Target="footnotes.xml"/><Relationship Id="rId10" Type="http://schemas.openxmlformats.org/officeDocument/2006/relationships/image" Target="media/image3.tif"/><Relationship Id="rId4" Type="http://schemas.openxmlformats.org/officeDocument/2006/relationships/webSettings" Target="webSettings.xml"/><Relationship Id="rId9" Type="http://schemas.openxmlformats.org/officeDocument/2006/relationships/image" Target="media/image2.ti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1443</TotalTime>
  <Pages>12</Pages>
  <Words>2715</Words>
  <Characters>15398</Characters>
  <Application>Microsoft Office Word</Application>
  <DocSecurity>0</DocSecurity>
  <Lines>570</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Riaz Ahmad</dc:creator>
  <cp:keywords/>
  <dc:description/>
  <cp:lastModifiedBy>WW Yin</cp:lastModifiedBy>
  <cp:revision>45</cp:revision>
  <dcterms:created xsi:type="dcterms:W3CDTF">2024-02-22T11:12:00Z</dcterms:created>
  <dcterms:modified xsi:type="dcterms:W3CDTF">2025-06-09T06:53:00Z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8e4655ce1f61f40eb32592bcd6f3efb515bb92a362e35c8d0d79e9007bbca42a</vt:lpwstr>
  </property>
</Properties>
</file>