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64E9E" w14:textId="68E4EB6F" w:rsidR="006D2CC0" w:rsidRPr="000E0C84" w:rsidRDefault="006D2CC0" w:rsidP="006D2CC0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Cs w:val="21"/>
        </w:rPr>
      </w:pPr>
      <w:r w:rsidRPr="000E0C84">
        <w:rPr>
          <w:rFonts w:ascii="Times New Roman" w:eastAsia="等线" w:hAnsi="Times New Roman" w:cs="Times New Roman"/>
          <w:kern w:val="0"/>
          <w:szCs w:val="21"/>
        </w:rPr>
        <w:t>Supplementary Data for</w:t>
      </w:r>
    </w:p>
    <w:p w14:paraId="148FCB67" w14:textId="77777777" w:rsidR="000D7EA1" w:rsidRPr="000E0C84" w:rsidRDefault="000D7EA1" w:rsidP="000D7EA1">
      <w:pPr>
        <w:autoSpaceDE w:val="0"/>
        <w:autoSpaceDN w:val="0"/>
        <w:adjustRightInd w:val="0"/>
        <w:snapToGrid w:val="0"/>
        <w:spacing w:beforeLines="50" w:before="156" w:afterLines="50" w:after="156"/>
        <w:jc w:val="left"/>
        <w:outlineLvl w:val="0"/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</w:pPr>
      <w:r w:rsidRPr="000E0C84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 xml:space="preserve">Phase Morphology Evolution and Rheological Behavior of Toughened Polypropylene Composite with Controllable </w:t>
      </w:r>
      <w:bookmarkStart w:id="0" w:name="OLE_LINK7"/>
      <w:bookmarkStart w:id="1" w:name="OLE_LINK8"/>
      <w:r w:rsidRPr="000E0C84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>Brittle–</w:t>
      </w:r>
      <w:r w:rsidRPr="000E0C84">
        <w:rPr>
          <w:rFonts w:ascii="Times New Roman" w:eastAsia="等线" w:hAnsi="Times New Roman" w:cs="Times New Roman" w:hint="eastAsia"/>
          <w:b/>
          <w:kern w:val="28"/>
          <w:sz w:val="30"/>
          <w:szCs w:val="30"/>
        </w:rPr>
        <w:t>Ductile</w:t>
      </w:r>
      <w:r w:rsidRPr="000E0C84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 xml:space="preserve"> Transition Temperature</w:t>
      </w:r>
      <w:bookmarkEnd w:id="0"/>
      <w:bookmarkEnd w:id="1"/>
      <w:r w:rsidRPr="000E0C84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 xml:space="preserve"> Using SEPS@HDPE Core–Shell Structure</w:t>
      </w:r>
    </w:p>
    <w:p w14:paraId="6B7AF2E6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Cs w:val="24"/>
          <w:lang w:eastAsia="en-US"/>
        </w:rPr>
      </w:pPr>
      <w:r w:rsidRPr="000E0C84">
        <w:rPr>
          <w:rFonts w:ascii="Times New Roman" w:hAnsi="Times New Roman" w:cs="Times New Roman"/>
          <w:kern w:val="0"/>
          <w:szCs w:val="24"/>
          <w:lang w:eastAsia="en-US"/>
        </w:rPr>
        <w:t>Jiahao Shen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, Zhiyi Zhang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a,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*, Wenwen Yu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a,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*, Jiayi Wang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, Weixuan Wang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, Yonggang Shangguan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b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, Qiang Zheng</w:t>
      </w:r>
      <w:r w:rsidRPr="000E0C84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a,b,</w:t>
      </w:r>
      <w:r w:rsidRPr="000E0C84">
        <w:rPr>
          <w:rFonts w:ascii="Times New Roman" w:hAnsi="Times New Roman" w:cs="Times New Roman"/>
          <w:kern w:val="0"/>
          <w:szCs w:val="24"/>
          <w:lang w:eastAsia="en-US"/>
        </w:rPr>
        <w:t>*</w:t>
      </w:r>
    </w:p>
    <w:p w14:paraId="66C56281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15"/>
          <w:szCs w:val="15"/>
          <w:lang w:eastAsia="en-US"/>
        </w:rPr>
      </w:pPr>
      <w:r w:rsidRPr="000E0C84">
        <w:rPr>
          <w:rFonts w:ascii="Times New Roman" w:hAnsi="Times New Roman" w:cs="Times New Roman"/>
          <w:kern w:val="0"/>
          <w:sz w:val="15"/>
          <w:szCs w:val="15"/>
          <w:vertAlign w:val="superscript"/>
          <w:lang w:eastAsia="en-US"/>
        </w:rPr>
        <w:t>a</w:t>
      </w:r>
      <w:r w:rsidRPr="000E0C84">
        <w:rPr>
          <w:rFonts w:ascii="Times New Roman" w:hAnsi="Times New Roman" w:cs="Times New Roman"/>
          <w:kern w:val="0"/>
          <w:sz w:val="15"/>
          <w:szCs w:val="15"/>
          <w:lang w:eastAsia="en-US"/>
        </w:rPr>
        <w:t xml:space="preserve"> </w:t>
      </w:r>
      <w:r w:rsidRPr="000E0C84">
        <w:rPr>
          <w:rFonts w:ascii="Times New Roman" w:hAnsi="Times New Roman" w:cs="Times New Roman"/>
          <w:i/>
          <w:kern w:val="0"/>
          <w:sz w:val="15"/>
          <w:szCs w:val="15"/>
          <w:lang w:eastAsia="en-US"/>
        </w:rPr>
        <w:t>College of Materials Science and Engineering, Taiyuan University of Technology, Taiyuan 030024, China</w:t>
      </w:r>
    </w:p>
    <w:p w14:paraId="3D60DFEE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15"/>
          <w:szCs w:val="15"/>
          <w:lang w:eastAsia="en-US"/>
        </w:rPr>
      </w:pPr>
      <w:r w:rsidRPr="000E0C84">
        <w:rPr>
          <w:rFonts w:ascii="Times New Roman" w:hAnsi="Times New Roman" w:cs="Times New Roman"/>
          <w:kern w:val="0"/>
          <w:sz w:val="15"/>
          <w:szCs w:val="15"/>
          <w:vertAlign w:val="superscript"/>
          <w:lang w:eastAsia="en-US"/>
        </w:rPr>
        <w:t>b</w:t>
      </w:r>
      <w:r w:rsidRPr="000E0C84">
        <w:rPr>
          <w:rFonts w:ascii="Times New Roman" w:hAnsi="Times New Roman" w:cs="Times New Roman"/>
          <w:kern w:val="0"/>
          <w:sz w:val="15"/>
          <w:szCs w:val="15"/>
          <w:lang w:eastAsia="en-US"/>
        </w:rPr>
        <w:t xml:space="preserve"> </w:t>
      </w:r>
      <w:r w:rsidRPr="000E0C84">
        <w:rPr>
          <w:rFonts w:ascii="Times New Roman" w:hAnsi="Times New Roman" w:cs="Times New Roman"/>
          <w:i/>
          <w:kern w:val="0"/>
          <w:sz w:val="15"/>
          <w:szCs w:val="15"/>
          <w:lang w:eastAsia="en-US"/>
        </w:rPr>
        <w:t>Department of Polymer Science and Engineering, Zhejiang University, Hangzhou 310027, China</w:t>
      </w:r>
    </w:p>
    <w:p w14:paraId="487B8AF9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</w:pPr>
    </w:p>
    <w:p w14:paraId="468F404F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0E0C84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* Corresponding authors. </w:t>
      </w:r>
    </w:p>
    <w:p w14:paraId="00A2E5FA" w14:textId="77777777" w:rsidR="000D7EA1" w:rsidRPr="000E0C84" w:rsidRDefault="000D7EA1" w:rsidP="000D7EA1">
      <w:pPr>
        <w:widowControl/>
        <w:autoSpaceDE w:val="0"/>
        <w:autoSpaceDN w:val="0"/>
        <w:adjustRightInd w:val="0"/>
        <w:snapToGrid w:val="0"/>
        <w:ind w:firstLineChars="78" w:firstLine="14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0E0C84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E-mail addresses</w:t>
      </w:r>
      <w:r w:rsidRPr="000E0C84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: zhangzhiyi@tyut.edu.cn (Z. Zhang), yuwenwen@tyut.edu.cn (W. Yu), zhengqiang@tyut.edu.cn (Q. Zheng).</w:t>
      </w:r>
    </w:p>
    <w:p w14:paraId="577950D9" w14:textId="77777777" w:rsidR="006D2CC0" w:rsidRPr="000E0C84" w:rsidRDefault="006D2CC0" w:rsidP="006D2CC0">
      <w:pPr>
        <w:widowControl/>
        <w:autoSpaceDE w:val="0"/>
        <w:autoSpaceDN w:val="0"/>
        <w:adjustRightInd w:val="0"/>
        <w:snapToGrid w:val="0"/>
        <w:ind w:firstLineChars="78" w:firstLine="14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</w:p>
    <w:p w14:paraId="26A644AE" w14:textId="77777777" w:rsidR="006D2CC0" w:rsidRPr="000E0C84" w:rsidRDefault="006D2CC0" w:rsidP="006D2CC0">
      <w:pPr>
        <w:snapToGrid w:val="0"/>
        <w:jc w:val="center"/>
        <w:rPr>
          <w:rFonts w:ascii="Times New Roman" w:eastAsia="等线" w:hAnsi="Times New Roman" w:cs="Times New Roman"/>
          <w:color w:val="000000" w:themeColor="text1"/>
          <w:sz w:val="15"/>
          <w:szCs w:val="15"/>
        </w:rPr>
      </w:pPr>
    </w:p>
    <w:p w14:paraId="0F7B7AAD" w14:textId="50109162" w:rsidR="00B27750" w:rsidRPr="000E0C84" w:rsidRDefault="00B27750" w:rsidP="006D2CC0">
      <w:pPr>
        <w:snapToGrid w:val="0"/>
        <w:jc w:val="center"/>
        <w:rPr>
          <w:rFonts w:ascii="Times New Roman" w:eastAsia="等线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eastAsia="等线" w:hAnsi="Times New Roman" w:cs="Times New Roman"/>
          <w:noProof/>
          <w:color w:val="000000" w:themeColor="text1"/>
          <w:sz w:val="18"/>
          <w:szCs w:val="18"/>
        </w:rPr>
        <w:drawing>
          <wp:inline distT="0" distB="0" distL="0" distR="0" wp14:anchorId="0DF408A7" wp14:editId="35ABC7AF">
            <wp:extent cx="4155515" cy="1661406"/>
            <wp:effectExtent l="0" t="0" r="0" b="0"/>
            <wp:docPr id="15236165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" t="9394" r="6857" b="1749"/>
                    <a:stretch/>
                  </pic:blipFill>
                  <pic:spPr bwMode="auto">
                    <a:xfrm>
                      <a:off x="0" y="0"/>
                      <a:ext cx="4175473" cy="166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E06B5" w14:textId="77777777" w:rsidR="00B27750" w:rsidRPr="000E0C84" w:rsidRDefault="00B27750" w:rsidP="006D2CC0">
      <w:pPr>
        <w:snapToGrid w:val="0"/>
        <w:jc w:val="center"/>
        <w:rPr>
          <w:rFonts w:ascii="Times New Roman" w:eastAsia="等线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eastAsia="等线" w:hAnsi="Times New Roman" w:cs="Times New Roman"/>
          <w:b/>
          <w:bCs/>
          <w:color w:val="000000" w:themeColor="text1"/>
          <w:sz w:val="18"/>
          <w:szCs w:val="18"/>
        </w:rPr>
        <w:t xml:space="preserve">Fig. S1. </w:t>
      </w:r>
      <w:r w:rsidRPr="000E0C84">
        <w:rPr>
          <w:rFonts w:ascii="Times New Roman" w:eastAsia="等线" w:hAnsi="Times New Roman" w:cs="Times New Roman"/>
          <w:color w:val="000000" w:themeColor="text1"/>
          <w:sz w:val="18"/>
          <w:szCs w:val="18"/>
        </w:rPr>
        <w:t>DMA curves of (a) neat SEPS and (b) PPM/HDPE with different HDPE contents.</w:t>
      </w:r>
    </w:p>
    <w:p w14:paraId="7A600689" w14:textId="315429D3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461A8788" w14:textId="633E5215" w:rsidR="00B27750" w:rsidRPr="000E0C84" w:rsidRDefault="00B27750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noProof/>
          <w:color w:val="000000" w:themeColor="text1"/>
          <w:sz w:val="18"/>
          <w:szCs w:val="18"/>
        </w:rPr>
        <w:drawing>
          <wp:inline distT="0" distB="0" distL="0" distR="0" wp14:anchorId="68DFD7C7" wp14:editId="1DCCB72F">
            <wp:extent cx="2406650" cy="2045217"/>
            <wp:effectExtent l="0" t="0" r="0" b="0"/>
            <wp:docPr id="2055821375" name="图片 205582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8" t="8240" r="10519"/>
                    <a:stretch/>
                  </pic:blipFill>
                  <pic:spPr bwMode="auto">
                    <a:xfrm>
                      <a:off x="0" y="0"/>
                      <a:ext cx="2423000" cy="205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E7B8AB" w14:textId="54E40F69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Fig. S</w:t>
      </w:r>
      <w:r w:rsidR="00B27750"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2</w:t>
      </w: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.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Tensile characteristic curve of PPM/HDPE blends</w:t>
      </w:r>
    </w:p>
    <w:p w14:paraId="64A45E8C" w14:textId="77777777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0CC0651" w14:textId="77777777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2" w:name="_GoBack"/>
      <w:r w:rsidRPr="000E0C84">
        <w:rPr>
          <w:rFonts w:ascii="Times New Roman" w:hAnsi="Times New Roman" w:cs="Times New Roman"/>
          <w:noProof/>
          <w:color w:val="000000" w:themeColor="text1"/>
          <w:sz w:val="18"/>
          <w:szCs w:val="18"/>
        </w:rPr>
        <w:drawing>
          <wp:inline distT="0" distB="0" distL="0" distR="0" wp14:anchorId="46DF24C4" wp14:editId="0C681C82">
            <wp:extent cx="4656127" cy="2075155"/>
            <wp:effectExtent l="0" t="0" r="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205" cy="208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2"/>
    </w:p>
    <w:p w14:paraId="7E1B02A6" w14:textId="2D3C9A2B" w:rsidR="000B58BF" w:rsidRPr="000E0C84" w:rsidRDefault="000B58BF" w:rsidP="006D2CC0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Fig. </w:t>
      </w:r>
      <w:r w:rsidR="00C10930"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S</w:t>
      </w:r>
      <w:r w:rsidR="00BA3746"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3</w:t>
      </w: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. 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SEM images of PPM/HDPE composites with different HDPE contents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: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0E0C84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(a)</w:t>
      </w:r>
      <w:r w:rsidR="006D2CC0" w:rsidRPr="000E0C84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 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99/1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0E0C84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(b)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97/3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, and</w:t>
      </w:r>
      <w:r w:rsidRPr="000E0C84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 (c) 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85/15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;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and 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(a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′–c′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) 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are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the magnification of (a</w:t>
      </w:r>
      <w:r w:rsidR="006D2CC0"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–c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). The ruler of the same type of picture is kept consistent.</w:t>
      </w:r>
    </w:p>
    <w:p w14:paraId="66DE561B" w14:textId="77777777" w:rsidR="006D2CC0" w:rsidRPr="000E0C84" w:rsidRDefault="006D2CC0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D41A778" w14:textId="77777777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noProof/>
          <w:color w:val="000000" w:themeColor="text1"/>
          <w:sz w:val="18"/>
          <w:szCs w:val="18"/>
        </w:rPr>
        <w:drawing>
          <wp:inline distT="0" distB="0" distL="0" distR="0" wp14:anchorId="7C2F75D6" wp14:editId="0F0A7105">
            <wp:extent cx="5399353" cy="2054431"/>
            <wp:effectExtent l="0" t="0" r="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7"/>
                    <a:stretch/>
                  </pic:blipFill>
                  <pic:spPr bwMode="auto">
                    <a:xfrm>
                      <a:off x="0" y="0"/>
                      <a:ext cx="5400000" cy="205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C28887" w14:textId="57CBFDCD" w:rsidR="000B58BF" w:rsidRPr="000E0C84" w:rsidRDefault="000B58BF" w:rsidP="006D2CC0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Fig. </w:t>
      </w:r>
      <w:r w:rsidR="00C10930"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S</w:t>
      </w:r>
      <w:r w:rsidR="00BA3746"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4</w:t>
      </w:r>
      <w:r w:rsidRPr="000E0C8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.</w:t>
      </w: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Schematic illustration of the alternative phase morphologies in an A/B/C ternary blends system</w:t>
      </w:r>
    </w:p>
    <w:p w14:paraId="63FC661A" w14:textId="77777777" w:rsidR="000B58BF" w:rsidRPr="000E0C84" w:rsidRDefault="000B58BF" w:rsidP="000B58BF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4E5E316" w14:textId="77777777" w:rsidR="000B58BF" w:rsidRPr="000E0C84" w:rsidRDefault="000B58BF" w:rsidP="006D2CC0">
      <w:pPr>
        <w:snapToGrid w:val="0"/>
        <w:spacing w:beforeLines="50" w:before="156" w:afterLines="50" w:after="156"/>
        <w:rPr>
          <w:rFonts w:ascii="Times New Roman" w:hAnsi="Times New Roman" w:cs="Times New Roman"/>
          <w:b/>
          <w:bCs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b/>
          <w:bCs/>
          <w:color w:val="000000" w:themeColor="text1"/>
          <w:szCs w:val="21"/>
        </w:rPr>
        <w:t>Surface tensions and interfacial tensions measurement</w:t>
      </w:r>
    </w:p>
    <w:p w14:paraId="6245B58E" w14:textId="6FFC7321" w:rsidR="000B58BF" w:rsidRPr="000E0C84" w:rsidRDefault="000B58BF" w:rsidP="006D2CC0">
      <w:pPr>
        <w:snapToGrid w:val="0"/>
        <w:ind w:firstLineChars="100" w:firstLine="21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>The surface tensions of solid materials can be evaluated using static contact angle measurement. The surface tensions of three polymers pairs can be calculated by OWRK method</w:t>
      </w:r>
      <w:r w:rsidR="006D2CC0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A47EF7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1</w:t>
      </w:r>
      <w:r w:rsidR="000E0C84" w:rsidRPr="000E0C84">
        <w:rPr>
          <w:rFonts w:ascii="Times New Roman" w:hAnsi="Times New Roman" w:cs="Times New Roman"/>
          <w:noProof/>
          <w:color w:val="000000" w:themeColor="text1"/>
          <w:szCs w:val="21"/>
        </w:rPr>
        <w:t>–</w:t>
      </w:r>
      <w:r w:rsidR="00A47EF7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3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.</w:t>
      </w:r>
    </w:p>
    <w:p w14:paraId="35F57108" w14:textId="3A87680E" w:rsidR="000B58BF" w:rsidRPr="000E0C84" w:rsidRDefault="00855290" w:rsidP="006D2CC0">
      <w:pPr>
        <w:snapToGrid w:val="0"/>
        <w:jc w:val="left"/>
        <w:rPr>
          <w:rFonts w:ascii="Times New Roman" w:hAnsi="Times New Roman" w:cs="Times New Roman"/>
          <w:caps/>
          <w:color w:val="000000" w:themeColor="text1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S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000000" w:themeColor="text1"/>
            <w:szCs w:val="21"/>
          </w:rPr>
          <m:t>=</m:t>
        </m:r>
        <m:sSubSup>
          <m:sSubSupPr>
            <m:ctrlPr>
              <w:rPr>
                <w:rFonts w:ascii="Cambria Math" w:hAnsi="Cambria Math" w:cs="Times New Roman"/>
                <w:color w:val="000000" w:themeColor="text1"/>
                <w:szCs w:val="21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S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D</m:t>
            </m:r>
          </m:sup>
        </m:sSubSup>
        <m:r>
          <m:rPr>
            <m:sty m:val="p"/>
          </m:rPr>
          <w:rPr>
            <w:rFonts w:ascii="Cambria Math" w:hAnsi="Cambria Math" w:cs="Times New Roman"/>
            <w:color w:val="000000" w:themeColor="text1"/>
            <w:szCs w:val="21"/>
          </w:rPr>
          <m:t>+</m:t>
        </m:r>
        <m:sSubSup>
          <m:sSubSupPr>
            <m:ctrlPr>
              <w:rPr>
                <w:rFonts w:ascii="Cambria Math" w:hAnsi="Cambria Math" w:cs="Times New Roman"/>
                <w:color w:val="000000" w:themeColor="text1"/>
                <w:szCs w:val="21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S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P</m:t>
            </m:r>
          </m:sup>
        </m:sSubSup>
      </m:oMath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 xml:space="preserve">    (</w:t>
      </w:r>
      <w:r w:rsidR="006D2CC0" w:rsidRPr="000E0C84">
        <w:rPr>
          <w:rFonts w:ascii="Times New Roman" w:hAnsi="Times New Roman" w:cs="Times New Roman" w:hint="eastAsia"/>
          <w:color w:val="000000" w:themeColor="text1"/>
          <w:szCs w:val="21"/>
        </w:rPr>
        <w:t>S</w:t>
      </w:r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>1)</w:t>
      </w:r>
    </w:p>
    <w:p w14:paraId="23FE16AD" w14:textId="13F0646C" w:rsidR="000B58BF" w:rsidRPr="000E0C84" w:rsidRDefault="00855290" w:rsidP="006D2CC0">
      <w:pPr>
        <w:snapToGrid w:val="0"/>
        <w:jc w:val="left"/>
        <w:rPr>
          <w:rFonts w:ascii="Times New Roman" w:hAnsi="Times New Roman" w:cs="Times New Roman"/>
          <w:color w:val="000000" w:themeColor="text1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L</m:t>
            </m:r>
          </m:sub>
        </m:sSub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1+</m:t>
            </m:r>
            <m:func>
              <m:func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θ</m:t>
                </m:r>
              </m:e>
            </m:func>
          </m:e>
        </m:d>
        <m:r>
          <w:rPr>
            <w:rFonts w:ascii="Cambria Math" w:hAnsi="Cambria Math" w:cs="Times New Roman"/>
            <w:color w:val="000000" w:themeColor="text1"/>
            <w:szCs w:val="21"/>
          </w:rPr>
          <m:t>=2</m:t>
        </m:r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S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L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</m:e>
        </m:rad>
        <m:r>
          <w:rPr>
            <w:rFonts w:ascii="Cambria Math" w:hAnsi="Cambria Math" w:cs="Times New Roman"/>
            <w:color w:val="000000" w:themeColor="text1"/>
            <w:szCs w:val="21"/>
          </w:rPr>
          <m:t>+2</m:t>
        </m:r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S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L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</m:e>
        </m:rad>
      </m:oMath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 xml:space="preserve">     (</w:t>
      </w:r>
      <w:r w:rsidR="006D2CC0" w:rsidRPr="000E0C84">
        <w:rPr>
          <w:rFonts w:ascii="Times New Roman" w:hAnsi="Times New Roman" w:cs="Times New Roman"/>
          <w:color w:val="000000" w:themeColor="text1"/>
          <w:szCs w:val="21"/>
        </w:rPr>
        <w:t>S</w:t>
      </w:r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>2)</w:t>
      </w:r>
    </w:p>
    <w:p w14:paraId="65B8AB5C" w14:textId="2C95F7E3" w:rsidR="000B58BF" w:rsidRPr="000E0C84" w:rsidRDefault="000B58BF" w:rsidP="006D2CC0">
      <w:pPr>
        <w:snapToGrid w:val="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where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θ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is contact angle</w:t>
      </w:r>
      <w:r w:rsidR="006D2CC0" w:rsidRPr="000E0C84">
        <w:rPr>
          <w:rFonts w:ascii="Times New Roman" w:hAnsi="Times New Roman" w:cs="Times New Roman"/>
          <w:color w:val="000000" w:themeColor="text1"/>
          <w:szCs w:val="21"/>
        </w:rPr>
        <w:t>;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represents the surface tension</w:t>
      </w:r>
      <w:r w:rsidR="006D2CC0" w:rsidRPr="000E0C84">
        <w:rPr>
          <w:rFonts w:ascii="Times New Roman" w:hAnsi="Times New Roman" w:cs="Times New Roman"/>
          <w:color w:val="000000" w:themeColor="text1"/>
          <w:szCs w:val="21"/>
        </w:rPr>
        <w:t>;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the subscripts of S and L represent the solid and liquid portion, respectively</w:t>
      </w:r>
      <w:r w:rsidR="006D2CC0" w:rsidRPr="000E0C84">
        <w:rPr>
          <w:rFonts w:ascii="Times New Roman" w:hAnsi="Times New Roman" w:cs="Times New Roman"/>
          <w:color w:val="000000" w:themeColor="text1"/>
          <w:szCs w:val="21"/>
        </w:rPr>
        <w:t>;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and the superscripts of D and P indicate the dispersive and polar portion, respectively. H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2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O and CH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2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I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2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were selected as a polar and a nonpolar liquid to measure the surface tensions at room temperature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A47EF7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4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. The results of contact angle and surface tension are listed in Table </w:t>
      </w:r>
      <w:r w:rsidRPr="000E0C84">
        <w:rPr>
          <w:rFonts w:ascii="Times New Roman" w:hAnsi="Times New Roman" w:cs="Times New Roman" w:hint="eastAsia"/>
          <w:color w:val="000000" w:themeColor="text1"/>
          <w:szCs w:val="21"/>
        </w:rPr>
        <w:t>S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1.</w:t>
      </w:r>
    </w:p>
    <w:p w14:paraId="04C51BE5" w14:textId="77777777" w:rsidR="003A66B2" w:rsidRPr="000E0C84" w:rsidRDefault="003A66B2" w:rsidP="003A66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7F7A8D" w14:textId="5CE97F4A" w:rsidR="003A66B2" w:rsidRPr="000E0C84" w:rsidRDefault="003A66B2" w:rsidP="003A66B2">
      <w:pPr>
        <w:snapToGrid w:val="0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Table </w:t>
      </w:r>
      <w:r w:rsidRPr="000E0C84">
        <w:rPr>
          <w:rFonts w:ascii="Times New Roman" w:hAnsi="Times New Roman" w:cs="Times New Roman" w:hint="eastAsia"/>
          <w:b/>
          <w:color w:val="000000" w:themeColor="text1"/>
          <w:sz w:val="18"/>
          <w:szCs w:val="18"/>
        </w:rPr>
        <w:t>S</w:t>
      </w:r>
      <w:r w:rsidRPr="000E0C84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1</w:t>
      </w:r>
    </w:p>
    <w:p w14:paraId="2C8D6EB5" w14:textId="77777777" w:rsidR="003A66B2" w:rsidRPr="000E0C84" w:rsidRDefault="003A66B2" w:rsidP="003A66B2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Contact angle and surface tension results of different components at 25 °C.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"/>
        <w:gridCol w:w="1946"/>
        <w:gridCol w:w="1843"/>
        <w:gridCol w:w="961"/>
        <w:gridCol w:w="961"/>
        <w:gridCol w:w="961"/>
      </w:tblGrid>
      <w:tr w:rsidR="003A66B2" w:rsidRPr="000E0C84" w14:paraId="4CFF65CF" w14:textId="77777777" w:rsidTr="00894AEC">
        <w:tc>
          <w:tcPr>
            <w:tcW w:w="1031" w:type="dxa"/>
            <w:vMerge w:val="restart"/>
            <w:tcBorders>
              <w:top w:val="single" w:sz="4" w:space="0" w:color="auto"/>
            </w:tcBorders>
          </w:tcPr>
          <w:p w14:paraId="48DCD66B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Sample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A9758" w14:textId="5729F02B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 xml:space="preserve">Contact angle at 20 °C </w:t>
            </w:r>
            <w:r w:rsidRPr="000E0C84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0E0C84">
              <w:rPr>
                <w:color w:val="000000" w:themeColor="text1"/>
                <w:sz w:val="18"/>
                <w:szCs w:val="18"/>
              </w:rPr>
              <w:t>° )</w:t>
            </w:r>
          </w:p>
        </w:tc>
        <w:tc>
          <w:tcPr>
            <w:tcW w:w="288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CB6571" w14:textId="56F4E490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Surface tension at 20</w:t>
            </w:r>
            <w:r w:rsidR="00111D5C" w:rsidRPr="000E0C84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0E0C84">
              <w:rPr>
                <w:color w:val="000000" w:themeColor="text1"/>
                <w:sz w:val="18"/>
                <w:szCs w:val="18"/>
              </w:rPr>
              <w:t>°</w:t>
            </w:r>
            <w:r w:rsidR="00835003" w:rsidRPr="000E0C84">
              <w:rPr>
                <w:color w:val="000000" w:themeColor="text1"/>
                <w:sz w:val="18"/>
                <w:szCs w:val="18"/>
              </w:rPr>
              <w:t>C</w:t>
            </w:r>
            <w:r w:rsidR="00835003" w:rsidRPr="000E0C84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835003" w:rsidRPr="000E0C84">
              <w:rPr>
                <w:color w:val="000000" w:themeColor="text1"/>
                <w:sz w:val="18"/>
                <w:szCs w:val="18"/>
              </w:rPr>
              <w:t>(mN∙m</w:t>
            </w:r>
            <w:r w:rsidR="00835003" w:rsidRPr="000E0C84">
              <w:rPr>
                <w:rFonts w:eastAsia="微软雅黑"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="00835003" w:rsidRPr="000E0C84">
              <w:rPr>
                <w:color w:val="000000" w:themeColor="text1"/>
                <w:sz w:val="18"/>
                <w:szCs w:val="18"/>
                <w:vertAlign w:val="superscript"/>
              </w:rPr>
              <w:t>1</w:t>
            </w:r>
            <w:r w:rsidR="00835003" w:rsidRPr="000E0C84">
              <w:rPr>
                <w:color w:val="000000" w:themeColor="text1"/>
                <w:sz w:val="18"/>
                <w:szCs w:val="18"/>
              </w:rPr>
              <w:t>)</w:t>
            </w:r>
          </w:p>
        </w:tc>
      </w:tr>
      <w:tr w:rsidR="003A66B2" w:rsidRPr="000E0C84" w14:paraId="2CF87DFB" w14:textId="77777777" w:rsidTr="00894AEC">
        <w:tc>
          <w:tcPr>
            <w:tcW w:w="1031" w:type="dxa"/>
            <w:vMerge/>
            <w:tcBorders>
              <w:bottom w:val="single" w:sz="4" w:space="0" w:color="auto"/>
            </w:tcBorders>
          </w:tcPr>
          <w:p w14:paraId="7CF19428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</w:tcBorders>
          </w:tcPr>
          <w:p w14:paraId="5ACDBA31" w14:textId="23DE2413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Distilled water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6CC6CA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Diiodomethane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</w:tcPr>
          <w:p w14:paraId="23939C0D" w14:textId="77777777" w:rsidR="003A66B2" w:rsidRPr="000E0C84" w:rsidRDefault="003A66B2" w:rsidP="003A66B2">
            <w:pPr>
              <w:snapToGrid w:val="0"/>
              <w:rPr>
                <w:i/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</w:tcPr>
          <w:p w14:paraId="70D65651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  <w:r w:rsidRPr="000E0C84">
              <w:rPr>
                <w:color w:val="000000" w:themeColor="text1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</w:tcPr>
          <w:p w14:paraId="69BA5916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  <w:r w:rsidRPr="000E0C84">
              <w:rPr>
                <w:color w:val="000000" w:themeColor="text1"/>
                <w:sz w:val="18"/>
                <w:szCs w:val="18"/>
                <w:vertAlign w:val="superscript"/>
              </w:rPr>
              <w:t>P</w:t>
            </w:r>
          </w:p>
        </w:tc>
      </w:tr>
      <w:tr w:rsidR="003A66B2" w:rsidRPr="000E0C84" w14:paraId="6982FE7F" w14:textId="77777777" w:rsidTr="00894AEC">
        <w:tc>
          <w:tcPr>
            <w:tcW w:w="1031" w:type="dxa"/>
            <w:tcBorders>
              <w:top w:val="single" w:sz="4" w:space="0" w:color="auto"/>
            </w:tcBorders>
          </w:tcPr>
          <w:p w14:paraId="5405C99E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PP</w:t>
            </w:r>
          </w:p>
        </w:tc>
        <w:tc>
          <w:tcPr>
            <w:tcW w:w="1946" w:type="dxa"/>
            <w:tcBorders>
              <w:top w:val="single" w:sz="4" w:space="0" w:color="auto"/>
            </w:tcBorders>
          </w:tcPr>
          <w:p w14:paraId="7D149E84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102.84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123247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69.46</w:t>
            </w:r>
          </w:p>
        </w:tc>
        <w:tc>
          <w:tcPr>
            <w:tcW w:w="961" w:type="dxa"/>
            <w:tcBorders>
              <w:top w:val="single" w:sz="4" w:space="0" w:color="auto"/>
            </w:tcBorders>
          </w:tcPr>
          <w:p w14:paraId="6C2CD201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23.85</w:t>
            </w:r>
          </w:p>
        </w:tc>
        <w:tc>
          <w:tcPr>
            <w:tcW w:w="961" w:type="dxa"/>
            <w:tcBorders>
              <w:top w:val="single" w:sz="4" w:space="0" w:color="auto"/>
            </w:tcBorders>
          </w:tcPr>
          <w:p w14:paraId="0E817151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23.18</w:t>
            </w:r>
          </w:p>
        </w:tc>
        <w:tc>
          <w:tcPr>
            <w:tcW w:w="961" w:type="dxa"/>
            <w:tcBorders>
              <w:top w:val="single" w:sz="4" w:space="0" w:color="auto"/>
            </w:tcBorders>
          </w:tcPr>
          <w:p w14:paraId="16E4FB22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0.67</w:t>
            </w:r>
          </w:p>
        </w:tc>
      </w:tr>
      <w:tr w:rsidR="003A66B2" w:rsidRPr="000E0C84" w14:paraId="56895FD8" w14:textId="77777777" w:rsidTr="003A66B2">
        <w:tc>
          <w:tcPr>
            <w:tcW w:w="1031" w:type="dxa"/>
          </w:tcPr>
          <w:p w14:paraId="616A4259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HDPE</w:t>
            </w:r>
          </w:p>
        </w:tc>
        <w:tc>
          <w:tcPr>
            <w:tcW w:w="1946" w:type="dxa"/>
          </w:tcPr>
          <w:p w14:paraId="448045F8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109.32</w:t>
            </w:r>
          </w:p>
        </w:tc>
        <w:tc>
          <w:tcPr>
            <w:tcW w:w="1843" w:type="dxa"/>
          </w:tcPr>
          <w:p w14:paraId="08091BAE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69.19</w:t>
            </w:r>
          </w:p>
        </w:tc>
        <w:tc>
          <w:tcPr>
            <w:tcW w:w="961" w:type="dxa"/>
          </w:tcPr>
          <w:p w14:paraId="677CA9AF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23.39</w:t>
            </w:r>
          </w:p>
        </w:tc>
        <w:tc>
          <w:tcPr>
            <w:tcW w:w="961" w:type="dxa"/>
          </w:tcPr>
          <w:p w14:paraId="34868E85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23.33</w:t>
            </w:r>
          </w:p>
        </w:tc>
        <w:tc>
          <w:tcPr>
            <w:tcW w:w="961" w:type="dxa"/>
          </w:tcPr>
          <w:p w14:paraId="29164608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0.06</w:t>
            </w:r>
          </w:p>
        </w:tc>
      </w:tr>
      <w:tr w:rsidR="003A66B2" w:rsidRPr="000E0C84" w14:paraId="0632F467" w14:textId="77777777" w:rsidTr="00894AEC">
        <w:tc>
          <w:tcPr>
            <w:tcW w:w="1031" w:type="dxa"/>
            <w:tcBorders>
              <w:bottom w:val="single" w:sz="4" w:space="0" w:color="auto"/>
            </w:tcBorders>
          </w:tcPr>
          <w:p w14:paraId="6F2ED17C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SEPS</w:t>
            </w: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14:paraId="72277116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104.47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E2A60AF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59.80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32C0BC25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28.85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26FEA7B1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28.69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1273F963" w14:textId="77777777" w:rsidR="003A66B2" w:rsidRPr="000E0C84" w:rsidRDefault="003A66B2" w:rsidP="003A66B2">
            <w:pPr>
              <w:snapToGrid w:val="0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0.16</w:t>
            </w:r>
          </w:p>
        </w:tc>
      </w:tr>
    </w:tbl>
    <w:p w14:paraId="65B76ECA" w14:textId="77777777" w:rsidR="003A66B2" w:rsidRPr="000E0C84" w:rsidRDefault="003A66B2" w:rsidP="006D2CC0">
      <w:pPr>
        <w:snapToGrid w:val="0"/>
        <w:rPr>
          <w:rFonts w:ascii="Times New Roman" w:hAnsi="Times New Roman" w:cs="Times New Roman"/>
          <w:color w:val="000000" w:themeColor="text1"/>
          <w:szCs w:val="21"/>
        </w:rPr>
      </w:pPr>
    </w:p>
    <w:p w14:paraId="7892D151" w14:textId="0A6E354E" w:rsidR="000B58BF" w:rsidRPr="000E0C84" w:rsidRDefault="000B58BF" w:rsidP="003A66B2">
      <w:pPr>
        <w:snapToGrid w:val="0"/>
        <w:ind w:firstLineChars="100" w:firstLine="21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>But the melt blending was carried out at an elevated temperature and the spreading behaviors of three components occurred at processing temperature (195 °C). Thus, the surface tensions of materials may change dramatically with the increasing temperature. The surface tensions at given temperature can be evaluated from the following Guggenheim empirical formula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0D0591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5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.</w:t>
      </w:r>
    </w:p>
    <w:p w14:paraId="33751C05" w14:textId="1B834F16" w:rsidR="000B58BF" w:rsidRPr="000E0C84" w:rsidRDefault="00855290" w:rsidP="003A66B2">
      <w:pPr>
        <w:snapToGrid w:val="0"/>
        <w:jc w:val="left"/>
        <w:rPr>
          <w:rFonts w:ascii="Times New Roman" w:hAnsi="Times New Roman" w:cs="Times New Roman"/>
          <w:color w:val="000000" w:themeColor="text1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S</m:t>
            </m:r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M</m:t>
                </m:r>
              </m:sub>
            </m:sSub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S</m:t>
                </m:r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,T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0</m:t>
                </m:r>
              </m:sub>
            </m:sSub>
          </m:sub>
        </m:sSub>
        <m:sSup>
          <m:sSup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(1-</m:t>
            </m:r>
            <m:f>
              <m:f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M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)</m:t>
            </m:r>
          </m:e>
          <m:sup>
            <m:f>
              <m:fPr>
                <m:type m:val="skw"/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11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9</m:t>
                </m:r>
              </m:den>
            </m:f>
          </m:sup>
        </m:sSup>
      </m:oMath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 xml:space="preserve">      (</w:t>
      </w:r>
      <w:r w:rsidR="003A66B2" w:rsidRPr="000E0C84">
        <w:rPr>
          <w:rFonts w:ascii="Times New Roman" w:hAnsi="Times New Roman" w:cs="Times New Roman" w:hint="eastAsia"/>
          <w:color w:val="000000" w:themeColor="text1"/>
          <w:szCs w:val="21"/>
        </w:rPr>
        <w:t>S</w:t>
      </w:r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>3)</w:t>
      </w:r>
    </w:p>
    <w:p w14:paraId="2EC0AE94" w14:textId="547B4F29" w:rsidR="000B58BF" w:rsidRPr="000E0C84" w:rsidRDefault="000B58BF" w:rsidP="006D2CC0">
      <w:pPr>
        <w:snapToGrid w:val="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where the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S</m:t>
            </m:r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M</m:t>
                </m:r>
              </m:sub>
            </m:sSub>
          </m:sub>
        </m:sSub>
      </m:oMath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S</m:t>
                </m:r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,T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0</m:t>
                </m:r>
              </m:sub>
            </m:sSub>
          </m:sub>
        </m:sSub>
      </m:oMath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represent the surface tensions at processing temperature (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T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M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) and testing temperature (</w:t>
      </w:r>
      <w:r w:rsidRPr="000E0C84">
        <w:rPr>
          <w:rFonts w:ascii="Times New Roman" w:hAnsi="Times New Roman" w:cs="Times New Roman"/>
          <w:i/>
          <w:iCs/>
          <w:color w:val="000000" w:themeColor="text1"/>
          <w:szCs w:val="21"/>
        </w:rPr>
        <w:t>T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0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), respectively. The calculated surface tensions of three components at 195 °C are shown in Table </w:t>
      </w:r>
      <w:r w:rsidRPr="000E0C84">
        <w:rPr>
          <w:rFonts w:ascii="Times New Roman" w:hAnsi="Times New Roman" w:cs="Times New Roman" w:hint="eastAsia"/>
          <w:color w:val="000000" w:themeColor="text1"/>
          <w:szCs w:val="21"/>
        </w:rPr>
        <w:t>S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2. The harmonic mean equation had been used to calculate the interfacial tensions of different polymer pairs</w:t>
      </w:r>
      <w:r w:rsidR="003A66B2" w:rsidRPr="000E0C84">
        <w:rPr>
          <w:rFonts w:ascii="Times New Roman" w:hAnsi="Times New Roman" w:cs="Times New Roman" w:hint="eastAsia"/>
          <w:color w:val="000000" w:themeColor="text1"/>
          <w:szCs w:val="21"/>
        </w:rPr>
        <w:t>:</w:t>
      </w:r>
    </w:p>
    <w:p w14:paraId="30F63789" w14:textId="60D7A28C" w:rsidR="000B58BF" w:rsidRPr="000E0C84" w:rsidRDefault="00855290" w:rsidP="003A66B2">
      <w:pPr>
        <w:snapToGrid w:val="0"/>
        <w:jc w:val="left"/>
        <w:rPr>
          <w:rFonts w:ascii="Times New Roman" w:hAnsi="Times New Roman" w:cs="Times New Roman"/>
          <w:color w:val="000000" w:themeColor="text1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A/B</m:t>
            </m:r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A</m:t>
            </m:r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B</m:t>
            </m:r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-4(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B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B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D</m:t>
                </m:r>
              </m:sup>
            </m:sSubSup>
          </m:den>
        </m:f>
        <m:r>
          <w:rPr>
            <w:rFonts w:ascii="Cambria Math" w:hAnsi="Cambria Math" w:cs="Times New Roman"/>
            <w:color w:val="000000" w:themeColor="text1"/>
            <w:szCs w:val="21"/>
          </w:rPr>
          <m:t>+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B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B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P</m:t>
                </m:r>
              </m:sup>
            </m:sSubSup>
          </m:den>
        </m:f>
        <m:r>
          <w:rPr>
            <w:rFonts w:ascii="Cambria Math" w:hAnsi="Cambria Math" w:cs="Times New Roman"/>
            <w:color w:val="000000" w:themeColor="text1"/>
            <w:szCs w:val="21"/>
          </w:rPr>
          <m:t>)</m:t>
        </m:r>
      </m:oMath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 xml:space="preserve">  (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>S</w:t>
      </w:r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>4)</w:t>
      </w:r>
    </w:p>
    <w:p w14:paraId="70BD5F74" w14:textId="4A760CA2" w:rsidR="000B58BF" w:rsidRPr="000E0C84" w:rsidRDefault="000B58BF" w:rsidP="006D2CC0">
      <w:pPr>
        <w:snapToGrid w:val="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where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A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and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B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are the surface tensions of two components (i.e., A and B) in contact, and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A/B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is the interfacial tension between components A and B. Table </w:t>
      </w:r>
      <w:r w:rsidR="000D0591" w:rsidRPr="000E0C84">
        <w:rPr>
          <w:rFonts w:ascii="Times New Roman" w:hAnsi="Times New Roman" w:cs="Times New Roman" w:hint="eastAsia"/>
          <w:color w:val="000000" w:themeColor="text1"/>
          <w:szCs w:val="21"/>
        </w:rPr>
        <w:t>2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shows the interfacial tensions between different components at 195 °C. Then, the morphology of a ternary polymer blend can be predicted by the concept of spreading coefficients according to Hobbs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0D0591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6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and Harkin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0D0591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7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.</w:t>
      </w:r>
    </w:p>
    <w:p w14:paraId="2C03D96E" w14:textId="56ED1FAF" w:rsidR="000B58BF" w:rsidRPr="000E0C84" w:rsidRDefault="00855290" w:rsidP="003A66B2">
      <w:pPr>
        <w:snapToGrid w:val="0"/>
        <w:jc w:val="left"/>
        <w:rPr>
          <w:rFonts w:ascii="Times New Roman" w:hAnsi="Times New Roman" w:cs="Times New Roman"/>
          <w:color w:val="000000" w:themeColor="text1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λ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k</m:t>
            </m:r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f>
              <m:fPr>
                <m:type m:val="lin"/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i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j</m:t>
                </m:r>
              </m:den>
            </m:f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(γ</m:t>
            </m:r>
          </m:e>
          <m:sub>
            <m:f>
              <m:fPr>
                <m:type m:val="lin"/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i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k</m:t>
                </m:r>
              </m:den>
            </m:f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γ</m:t>
            </m:r>
          </m:e>
          <m:sub>
            <m:f>
              <m:fPr>
                <m:type m:val="lin"/>
                <m:ctrlPr>
                  <w:rPr>
                    <w:rFonts w:ascii="Cambria Math" w:hAnsi="Cambria Math" w:cs="Times New Roman"/>
                    <w:i/>
                    <w:color w:val="000000" w:themeColor="text1"/>
                    <w:szCs w:val="21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j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k</m:t>
                </m:r>
              </m:den>
            </m:f>
          </m:sub>
        </m:sSub>
        <m:r>
          <w:rPr>
            <w:rFonts w:ascii="Cambria Math" w:hAnsi="Cambria Math" w:cs="Times New Roman"/>
            <w:color w:val="000000" w:themeColor="text1"/>
            <w:szCs w:val="21"/>
          </w:rPr>
          <m:t>)</m:t>
        </m:r>
      </m:oMath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 xml:space="preserve">   (</w:t>
      </w:r>
      <w:r w:rsidR="003A66B2" w:rsidRPr="000E0C84">
        <w:rPr>
          <w:rFonts w:ascii="Times New Roman" w:hAnsi="Times New Roman" w:cs="Times New Roman" w:hint="eastAsia"/>
          <w:color w:val="000000" w:themeColor="text1"/>
          <w:szCs w:val="21"/>
        </w:rPr>
        <w:t>S</w:t>
      </w:r>
      <w:r w:rsidR="000B58BF" w:rsidRPr="000E0C84">
        <w:rPr>
          <w:rFonts w:ascii="Times New Roman" w:hAnsi="Times New Roman" w:cs="Times New Roman"/>
          <w:color w:val="000000" w:themeColor="text1"/>
          <w:szCs w:val="21"/>
        </w:rPr>
        <w:t>5)</w:t>
      </w:r>
    </w:p>
    <w:p w14:paraId="2AB92734" w14:textId="683B9E97" w:rsidR="000B58BF" w:rsidRPr="000E0C84" w:rsidRDefault="000B58BF" w:rsidP="006D2CC0">
      <w:pPr>
        <w:snapToGrid w:val="0"/>
        <w:rPr>
          <w:rFonts w:ascii="Times New Roman" w:hAnsi="Times New Roman" w:cs="Times New Roman"/>
          <w:color w:val="000000" w:themeColor="text1"/>
          <w:szCs w:val="21"/>
        </w:rPr>
      </w:pP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where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i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/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j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i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/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, and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γ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j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/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are the interfacial tensions for each polymer pair and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λ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is the spreading coefficient giving the tendency of component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to spontaneously spread at the interface between components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i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and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j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. If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λ</w:t>
      </w:r>
      <w:r w:rsidRPr="000E0C84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&gt; 0, component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k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can spread at the interface between components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 xml:space="preserve">i 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and </w:t>
      </w:r>
      <w:r w:rsidRPr="000E0C84">
        <w:rPr>
          <w:rFonts w:ascii="Times New Roman" w:hAnsi="Times New Roman" w:cs="Times New Roman"/>
          <w:i/>
          <w:color w:val="000000" w:themeColor="text1"/>
          <w:szCs w:val="21"/>
        </w:rPr>
        <w:t>j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, otherwise the spreading does not occur</w:t>
      </w:r>
      <w:r w:rsidR="003A66B2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0D0591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7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>.</w:t>
      </w:r>
      <w:r w:rsidR="000E0C84" w:rsidRPr="000E0C84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The spreading coefficients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λ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PP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λ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SEPS</w:t>
      </w:r>
      <w:r w:rsidR="003D0C0D" w:rsidRPr="000E0C84">
        <w:rPr>
          <w:rFonts w:ascii="Times New Roman" w:hAnsi="Times New Roman" w:cs="Times New Roman"/>
          <w:color w:val="000000" w:themeColor="text1"/>
          <w:szCs w:val="21"/>
        </w:rPr>
        <w:t>,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 xml:space="preserve"> 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and </w:t>
      </w:r>
      <w:r w:rsidRPr="000E0C84">
        <w:rPr>
          <w:rFonts w:ascii="Times New Roman" w:eastAsia="等线" w:hAnsi="Times New Roman" w:cs="Times New Roman"/>
          <w:i/>
          <w:color w:val="000000" w:themeColor="text1"/>
          <w:szCs w:val="21"/>
        </w:rPr>
        <w:t>λ</w:t>
      </w:r>
      <w:r w:rsidRPr="000E0C84">
        <w:rPr>
          <w:rFonts w:ascii="Times New Roman" w:hAnsi="Times New Roman" w:cs="Times New Roman"/>
          <w:color w:val="000000" w:themeColor="text1"/>
          <w:szCs w:val="21"/>
          <w:vertAlign w:val="subscript"/>
        </w:rPr>
        <w:t>HDPE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 were calculated to be </w:t>
      </w:r>
      <w:r w:rsidR="003D0C0D" w:rsidRPr="000E0C84">
        <w:rPr>
          <w:rFonts w:ascii="Times New Roman" w:hAnsi="Times New Roman" w:cs="Times New Roman"/>
          <w:color w:val="000000" w:themeColor="text1"/>
          <w:szCs w:val="21"/>
        </w:rPr>
        <w:t>−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0.68, </w:t>
      </w:r>
      <w:r w:rsidR="003D0C0D" w:rsidRPr="000E0C84">
        <w:rPr>
          <w:rFonts w:ascii="Times New Roman" w:hAnsi="Times New Roman" w:cs="Times New Roman"/>
          <w:color w:val="000000" w:themeColor="text1"/>
          <w:szCs w:val="21"/>
        </w:rPr>
        <w:t>−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0.83, </w:t>
      </w:r>
      <w:r w:rsidR="003D0C0D" w:rsidRPr="000E0C84">
        <w:rPr>
          <w:rFonts w:ascii="Times New Roman" w:hAnsi="Times New Roman" w:cs="Times New Roman"/>
          <w:color w:val="000000" w:themeColor="text1"/>
          <w:szCs w:val="21"/>
        </w:rPr>
        <w:t>−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0.17, respectively. According to the spreading coefficients, we can predict the concrete phase morphology of the mixture 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[</w:t>
      </w:r>
      <w:r w:rsidR="000D0591" w:rsidRPr="000E0C84">
        <w:rPr>
          <w:rFonts w:ascii="Times New Roman" w:hAnsi="Times New Roman" w:cs="Times New Roman" w:hint="eastAsia"/>
          <w:noProof/>
          <w:color w:val="000000" w:themeColor="text1"/>
          <w:szCs w:val="21"/>
        </w:rPr>
        <w:t>4</w:t>
      </w:r>
      <w:r w:rsidRPr="000E0C84">
        <w:rPr>
          <w:rFonts w:ascii="Times New Roman" w:hAnsi="Times New Roman" w:cs="Times New Roman"/>
          <w:noProof/>
          <w:color w:val="000000" w:themeColor="text1"/>
          <w:szCs w:val="21"/>
        </w:rPr>
        <w:t>]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, HDPE and SEPS have no driving force to diffuse between each other and PP. </w:t>
      </w:r>
      <w:r w:rsidR="003D0C0D" w:rsidRPr="000E0C84">
        <w:rPr>
          <w:rFonts w:ascii="Times New Roman" w:hAnsi="Times New Roman" w:cs="Times New Roman"/>
          <w:color w:val="000000" w:themeColor="text1"/>
          <w:szCs w:val="21"/>
        </w:rPr>
        <w:t>B</w:t>
      </w:r>
      <w:r w:rsidRPr="000E0C84">
        <w:rPr>
          <w:rFonts w:ascii="Times New Roman" w:hAnsi="Times New Roman" w:cs="Times New Roman"/>
          <w:color w:val="000000" w:themeColor="text1"/>
          <w:szCs w:val="21"/>
        </w:rPr>
        <w:t xml:space="preserve">ecause PP also has no tendency to spread between the two, a stacked thus formed in PP matrix. </w:t>
      </w:r>
    </w:p>
    <w:p w14:paraId="1C21D25B" w14:textId="77777777" w:rsidR="000B58BF" w:rsidRPr="000E0C84" w:rsidRDefault="000B58BF" w:rsidP="000B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0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C5E63E1" w14:textId="77777777" w:rsidR="000B58BF" w:rsidRPr="000E0C84" w:rsidRDefault="000B58BF" w:rsidP="003A66B2">
      <w:pPr>
        <w:adjustRightInd w:val="0"/>
        <w:snapToGrid w:val="0"/>
        <w:mirrorIndents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Table </w:t>
      </w:r>
      <w:r w:rsidRPr="000E0C84">
        <w:rPr>
          <w:rFonts w:ascii="Times New Roman" w:hAnsi="Times New Roman" w:cs="Times New Roman" w:hint="eastAsia"/>
          <w:b/>
          <w:color w:val="000000" w:themeColor="text1"/>
          <w:sz w:val="18"/>
          <w:szCs w:val="18"/>
        </w:rPr>
        <w:t>S</w:t>
      </w:r>
      <w:r w:rsidRPr="000E0C84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2</w:t>
      </w:r>
    </w:p>
    <w:p w14:paraId="7C2AA7D2" w14:textId="77777777" w:rsidR="000B58BF" w:rsidRPr="000E0C84" w:rsidRDefault="000B58BF" w:rsidP="003A66B2">
      <w:pPr>
        <w:adjustRightInd w:val="0"/>
        <w:snapToGrid w:val="0"/>
        <w:mirrorIndents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0E0C84">
        <w:rPr>
          <w:rFonts w:ascii="Times New Roman" w:hAnsi="Times New Roman" w:cs="Times New Roman"/>
          <w:color w:val="000000" w:themeColor="text1"/>
          <w:sz w:val="18"/>
          <w:szCs w:val="18"/>
        </w:rPr>
        <w:t>Surface tension and interfacial tensions between different components at 195 °C.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3"/>
        <w:gridCol w:w="1191"/>
        <w:gridCol w:w="1185"/>
        <w:gridCol w:w="1034"/>
        <w:gridCol w:w="1706"/>
        <w:gridCol w:w="1985"/>
      </w:tblGrid>
      <w:tr w:rsidR="00894AEC" w:rsidRPr="000E0C84" w14:paraId="4344767A" w14:textId="77777777" w:rsidTr="00894AEC">
        <w:tc>
          <w:tcPr>
            <w:tcW w:w="1263" w:type="dxa"/>
            <w:vMerge w:val="restart"/>
            <w:tcBorders>
              <w:top w:val="single" w:sz="4" w:space="0" w:color="auto"/>
            </w:tcBorders>
          </w:tcPr>
          <w:p w14:paraId="0B751183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Sample</w:t>
            </w:r>
          </w:p>
        </w:tc>
        <w:tc>
          <w:tcPr>
            <w:tcW w:w="34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2D898F" w14:textId="07F3F933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Surface tension at 195 °C</w:t>
            </w:r>
            <w:r w:rsidR="00835003" w:rsidRPr="000E0C84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835003" w:rsidRPr="000E0C84">
              <w:rPr>
                <w:color w:val="000000" w:themeColor="text1"/>
                <w:sz w:val="18"/>
                <w:szCs w:val="18"/>
              </w:rPr>
              <w:t>(mN∙m</w:t>
            </w:r>
            <w:r w:rsidR="00835003" w:rsidRPr="000E0C84">
              <w:rPr>
                <w:rFonts w:eastAsia="微软雅黑"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="00835003" w:rsidRPr="000E0C84">
              <w:rPr>
                <w:color w:val="000000" w:themeColor="text1"/>
                <w:sz w:val="18"/>
                <w:szCs w:val="18"/>
                <w:vertAlign w:val="superscript"/>
              </w:rPr>
              <w:t>1</w:t>
            </w:r>
            <w:r w:rsidR="00835003" w:rsidRPr="000E0C84">
              <w:rPr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14:paraId="12C6964A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Component couple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14:paraId="67806235" w14:textId="71556526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 xml:space="preserve">Interfacial tension, </w:t>
            </w: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  <w:r w:rsidRPr="000E0C84">
              <w:rPr>
                <w:i/>
                <w:color w:val="000000" w:themeColor="text1"/>
                <w:sz w:val="18"/>
                <w:szCs w:val="18"/>
                <w:vertAlign w:val="subscript"/>
              </w:rPr>
              <w:t>i</w:t>
            </w:r>
            <w:r w:rsidRPr="000E0C84">
              <w:rPr>
                <w:color w:val="000000" w:themeColor="text1"/>
                <w:sz w:val="18"/>
                <w:szCs w:val="18"/>
                <w:vertAlign w:val="subscript"/>
              </w:rPr>
              <w:t>/</w:t>
            </w:r>
            <w:r w:rsidRPr="000E0C84">
              <w:rPr>
                <w:i/>
                <w:color w:val="000000" w:themeColor="text1"/>
                <w:sz w:val="18"/>
                <w:szCs w:val="18"/>
                <w:vertAlign w:val="subscript"/>
              </w:rPr>
              <w:t>j</w:t>
            </w:r>
            <w:r w:rsidRPr="000E0C84">
              <w:rPr>
                <w:color w:val="000000" w:themeColor="text1"/>
                <w:sz w:val="18"/>
                <w:szCs w:val="18"/>
              </w:rPr>
              <w:t xml:space="preserve"> (mN∙m</w:t>
            </w:r>
            <w:r w:rsidRPr="000E0C84">
              <w:rPr>
                <w:rFonts w:eastAsia="微软雅黑"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0E0C84">
              <w:rPr>
                <w:color w:val="000000" w:themeColor="text1"/>
                <w:sz w:val="18"/>
                <w:szCs w:val="18"/>
                <w:vertAlign w:val="superscript"/>
              </w:rPr>
              <w:t>1</w:t>
            </w:r>
            <w:r w:rsidRPr="000E0C84">
              <w:rPr>
                <w:color w:val="000000" w:themeColor="text1"/>
                <w:sz w:val="18"/>
                <w:szCs w:val="18"/>
              </w:rPr>
              <w:t>)</w:t>
            </w:r>
          </w:p>
        </w:tc>
      </w:tr>
      <w:tr w:rsidR="00894AEC" w:rsidRPr="000E0C84" w14:paraId="149AA5E8" w14:textId="77777777" w:rsidTr="00894AEC">
        <w:tc>
          <w:tcPr>
            <w:tcW w:w="1263" w:type="dxa"/>
            <w:vMerge/>
            <w:tcBorders>
              <w:bottom w:val="single" w:sz="4" w:space="0" w:color="auto"/>
            </w:tcBorders>
          </w:tcPr>
          <w:p w14:paraId="3481FD63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14:paraId="79E29B59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i/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</w:tcPr>
          <w:p w14:paraId="056EA41D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  <w:r w:rsidRPr="000E0C84">
              <w:rPr>
                <w:color w:val="000000" w:themeColor="text1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</w:tcPr>
          <w:p w14:paraId="009AACE7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i/>
                <w:color w:val="000000" w:themeColor="text1"/>
                <w:sz w:val="18"/>
                <w:szCs w:val="18"/>
              </w:rPr>
              <w:t>γ</w:t>
            </w:r>
            <w:r w:rsidRPr="000E0C84">
              <w:rPr>
                <w:color w:val="000000" w:themeColor="text1"/>
                <w:sz w:val="18"/>
                <w:szCs w:val="18"/>
                <w:vertAlign w:val="superscript"/>
              </w:rPr>
              <w:t>P</w:t>
            </w:r>
          </w:p>
        </w:tc>
        <w:tc>
          <w:tcPr>
            <w:tcW w:w="1706" w:type="dxa"/>
            <w:vMerge/>
            <w:tcBorders>
              <w:bottom w:val="single" w:sz="4" w:space="0" w:color="auto"/>
            </w:tcBorders>
          </w:tcPr>
          <w:p w14:paraId="7FEA8B6C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63F3A1FF" w14:textId="3D7AB462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</w:p>
        </w:tc>
      </w:tr>
      <w:tr w:rsidR="00894AEC" w:rsidRPr="000E0C84" w14:paraId="004C654F" w14:textId="77777777" w:rsidTr="00894AEC">
        <w:tc>
          <w:tcPr>
            <w:tcW w:w="1263" w:type="dxa"/>
            <w:tcBorders>
              <w:top w:val="single" w:sz="4" w:space="0" w:color="auto"/>
            </w:tcBorders>
          </w:tcPr>
          <w:p w14:paraId="0BDB68D6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PP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shd w:val="clear" w:color="auto" w:fill="auto"/>
          </w:tcPr>
          <w:p w14:paraId="7B518C04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20.16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shd w:val="clear" w:color="auto" w:fill="auto"/>
          </w:tcPr>
          <w:p w14:paraId="02757117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19.60</w:t>
            </w:r>
          </w:p>
        </w:tc>
        <w:tc>
          <w:tcPr>
            <w:tcW w:w="1034" w:type="dxa"/>
            <w:tcBorders>
              <w:top w:val="single" w:sz="4" w:space="0" w:color="auto"/>
            </w:tcBorders>
            <w:shd w:val="clear" w:color="auto" w:fill="auto"/>
          </w:tcPr>
          <w:p w14:paraId="6E8027BD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0.57</w:t>
            </w:r>
          </w:p>
        </w:tc>
        <w:tc>
          <w:tcPr>
            <w:tcW w:w="1706" w:type="dxa"/>
            <w:tcBorders>
              <w:top w:val="single" w:sz="4" w:space="0" w:color="auto"/>
            </w:tcBorders>
          </w:tcPr>
          <w:p w14:paraId="13399660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PP/SEPS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34A9BEC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0.76</w:t>
            </w:r>
          </w:p>
        </w:tc>
      </w:tr>
      <w:tr w:rsidR="00894AEC" w:rsidRPr="000E0C84" w14:paraId="201F9200" w14:textId="77777777" w:rsidTr="00894AEC">
        <w:tc>
          <w:tcPr>
            <w:tcW w:w="1263" w:type="dxa"/>
          </w:tcPr>
          <w:p w14:paraId="0DD74080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HDPE</w:t>
            </w:r>
          </w:p>
        </w:tc>
        <w:tc>
          <w:tcPr>
            <w:tcW w:w="1191" w:type="dxa"/>
            <w:shd w:val="clear" w:color="auto" w:fill="auto"/>
          </w:tcPr>
          <w:p w14:paraId="15D215D7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19.77</w:t>
            </w:r>
          </w:p>
        </w:tc>
        <w:tc>
          <w:tcPr>
            <w:tcW w:w="1185" w:type="dxa"/>
            <w:shd w:val="clear" w:color="auto" w:fill="auto"/>
          </w:tcPr>
          <w:p w14:paraId="379CA8D0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19.72</w:t>
            </w:r>
          </w:p>
        </w:tc>
        <w:tc>
          <w:tcPr>
            <w:tcW w:w="1034" w:type="dxa"/>
            <w:shd w:val="clear" w:color="auto" w:fill="auto"/>
          </w:tcPr>
          <w:p w14:paraId="1004F915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1706" w:type="dxa"/>
          </w:tcPr>
          <w:p w14:paraId="4F6F22DF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PP/HDPE</w:t>
            </w:r>
          </w:p>
        </w:tc>
        <w:tc>
          <w:tcPr>
            <w:tcW w:w="1985" w:type="dxa"/>
          </w:tcPr>
          <w:p w14:paraId="75999615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0.43</w:t>
            </w:r>
          </w:p>
        </w:tc>
      </w:tr>
      <w:tr w:rsidR="00894AEC" w:rsidRPr="000E0C84" w14:paraId="38EB8E6C" w14:textId="77777777" w:rsidTr="00894AEC">
        <w:tc>
          <w:tcPr>
            <w:tcW w:w="1263" w:type="dxa"/>
            <w:tcBorders>
              <w:bottom w:val="single" w:sz="4" w:space="0" w:color="auto"/>
            </w:tcBorders>
          </w:tcPr>
          <w:p w14:paraId="7630D2E7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SEPS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</w:tcPr>
          <w:p w14:paraId="4A17DE01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24.39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</w:tcPr>
          <w:p w14:paraId="10ACB065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24.26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auto"/>
          </w:tcPr>
          <w:p w14:paraId="4BF7D8F9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0.14</w:t>
            </w: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14:paraId="38CBB631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HDPE/SEPS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A195555" w14:textId="77777777" w:rsidR="00894AEC" w:rsidRPr="000E0C84" w:rsidRDefault="00894AEC" w:rsidP="00894AEC">
            <w:pPr>
              <w:adjustRightInd w:val="0"/>
              <w:snapToGrid w:val="0"/>
              <w:mirrorIndents/>
              <w:jc w:val="left"/>
              <w:rPr>
                <w:color w:val="000000" w:themeColor="text1"/>
                <w:sz w:val="18"/>
                <w:szCs w:val="18"/>
              </w:rPr>
            </w:pPr>
            <w:r w:rsidRPr="000E0C84">
              <w:rPr>
                <w:color w:val="000000" w:themeColor="text1"/>
                <w:sz w:val="18"/>
                <w:szCs w:val="18"/>
              </w:rPr>
              <w:t>0.50</w:t>
            </w:r>
          </w:p>
        </w:tc>
      </w:tr>
    </w:tbl>
    <w:p w14:paraId="3FC3987B" w14:textId="77777777" w:rsidR="000B58BF" w:rsidRPr="000E0C84" w:rsidRDefault="000B58BF" w:rsidP="003A66B2">
      <w:pPr>
        <w:adjustRightInd w:val="0"/>
        <w:snapToGrid w:val="0"/>
        <w:mirrorIndents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5097844" w14:textId="5753E39D" w:rsidR="00DD4010" w:rsidRPr="000E0C84" w:rsidRDefault="00DD4010" w:rsidP="00DD4010">
      <w:pPr>
        <w:snapToGrid w:val="0"/>
        <w:spacing w:beforeLines="50" w:before="156" w:afterLines="50" w:after="156"/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</w:pPr>
      <w:r w:rsidRPr="000E0C84"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References</w:t>
      </w:r>
    </w:p>
    <w:p w14:paraId="61AADF2E" w14:textId="6BE58B0F" w:rsidR="00A47EF7" w:rsidRPr="000E0C84" w:rsidRDefault="00A47EF7" w:rsidP="00A47EF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r w:rsidRPr="000E0C84">
        <w:rPr>
          <w:rFonts w:ascii="Times New Roman" w:hAnsi="Times New Roman" w:cs="Times New Roman"/>
          <w:sz w:val="17"/>
          <w:szCs w:val="17"/>
        </w:rPr>
        <w:t xml:space="preserve">[1] Owens DK, Wendt RC. Estimation of the surface free energy of polymers. J Appl Polym Sci 1969;13(8):1741–7. </w:t>
      </w:r>
    </w:p>
    <w:p w14:paraId="7DD462EF" w14:textId="38EE18AF" w:rsidR="00A47EF7" w:rsidRPr="000E0C84" w:rsidRDefault="00A47EF7" w:rsidP="00A47EF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r w:rsidRPr="000E0C84">
        <w:rPr>
          <w:rFonts w:ascii="Times New Roman" w:hAnsi="Times New Roman" w:cs="Times New Roman"/>
          <w:sz w:val="17"/>
          <w:szCs w:val="17"/>
        </w:rPr>
        <w:t xml:space="preserve">[2] Kaelble DH. Dispersion-polar surface tension properties of organic solids. J Adhes 1970;2(2):66–81. </w:t>
      </w:r>
    </w:p>
    <w:p w14:paraId="529D4211" w14:textId="25548540" w:rsidR="00A47EF7" w:rsidRPr="000E0C84" w:rsidRDefault="00A47EF7" w:rsidP="00A47EF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r w:rsidRPr="000E0C84">
        <w:rPr>
          <w:rFonts w:ascii="Times New Roman" w:hAnsi="Times New Roman" w:cs="Times New Roman"/>
          <w:sz w:val="17"/>
          <w:szCs w:val="17"/>
        </w:rPr>
        <w:t xml:space="preserve">[3] Nemirovski N, Siegmann A, Narkis M. Morphology of ternary immiscible polymer blends. </w:t>
      </w:r>
      <w:r w:rsidRPr="000E0C84">
        <w:rPr>
          <w:rStyle w:val="bibjournal"/>
          <w:rFonts w:ascii="Times New Roman" w:hAnsi="Times New Roman" w:cs="Times New Roman"/>
          <w:sz w:val="17"/>
          <w:szCs w:val="17"/>
          <w:shd w:val="clear" w:color="auto" w:fill="auto"/>
        </w:rPr>
        <w:t>J Macromol Sci Part B Phys</w:t>
      </w:r>
      <w:r w:rsidRPr="000E0C84">
        <w:rPr>
          <w:rFonts w:ascii="Times New Roman" w:hAnsi="Times New Roman" w:cs="Times New Roman"/>
          <w:sz w:val="17"/>
          <w:szCs w:val="17"/>
        </w:rPr>
        <w:t xml:space="preserve"> 1995;34(4):459–75. </w:t>
      </w:r>
    </w:p>
    <w:p w14:paraId="10575925" w14:textId="772E6FDB" w:rsidR="00A47EF7" w:rsidRPr="000E0C84" w:rsidRDefault="00A47EF7" w:rsidP="00A47EF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r w:rsidRPr="000E0C84">
        <w:rPr>
          <w:rFonts w:ascii="Times New Roman" w:hAnsi="Times New Roman" w:cs="Times New Roman"/>
          <w:sz w:val="17"/>
          <w:szCs w:val="17"/>
        </w:rPr>
        <w:t xml:space="preserve">[4] Mao Z, Zhang J. Largely improved the low temperature toughness of acrylonitrile–styrene–acrylate (ASA) resin: fabricated a core–shell structure of two elastomers through the differences of interfacial tensions. Appl Surf Sci 2018;444:345–54. </w:t>
      </w:r>
    </w:p>
    <w:p w14:paraId="32C73924" w14:textId="5F6FBE32" w:rsidR="000D0591" w:rsidRPr="000E0C84" w:rsidRDefault="000D0591" w:rsidP="000D0591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bookmarkStart w:id="3" w:name="_Hlk184286279"/>
      <w:r w:rsidRPr="000E0C84">
        <w:rPr>
          <w:rFonts w:ascii="Times New Roman" w:hAnsi="Times New Roman" w:cs="Times New Roman"/>
          <w:sz w:val="17"/>
          <w:szCs w:val="17"/>
        </w:rPr>
        <w:t xml:space="preserve">[5] Valera TS, Morita AT, Demarquette NR. Study of morphologies of PMMA/PP/PS ternary blends. Macromolecules 2006;39(7):2663–75. </w:t>
      </w:r>
    </w:p>
    <w:p w14:paraId="656836F5" w14:textId="23AE975A" w:rsidR="000D0591" w:rsidRPr="000E0C84" w:rsidRDefault="000D0591" w:rsidP="00A47EF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7"/>
          <w:szCs w:val="17"/>
        </w:rPr>
      </w:pPr>
      <w:bookmarkStart w:id="4" w:name="_Hlk184286218"/>
      <w:bookmarkEnd w:id="3"/>
      <w:r w:rsidRPr="000E0C84">
        <w:rPr>
          <w:rFonts w:ascii="Times New Roman" w:hAnsi="Times New Roman" w:cs="Times New Roman"/>
          <w:sz w:val="17"/>
          <w:szCs w:val="17"/>
        </w:rPr>
        <w:t xml:space="preserve">[6] Hobbs SY, Dekkers MEJ, Watkins VH. Effect of interfacial forces on polymer blend morphologies. Polymer 1988;29(9):1598–602. </w:t>
      </w:r>
      <w:bookmarkEnd w:id="4"/>
    </w:p>
    <w:p w14:paraId="632CCB4F" w14:textId="275DC8D7" w:rsidR="000E0C84" w:rsidRPr="000E0C84" w:rsidRDefault="00A47EF7" w:rsidP="000E0C84">
      <w:pPr>
        <w:autoSpaceDE w:val="0"/>
        <w:autoSpaceDN w:val="0"/>
        <w:adjustRightInd w:val="0"/>
        <w:snapToGrid w:val="0"/>
        <w:rPr>
          <w:color w:val="000000" w:themeColor="text1"/>
        </w:rPr>
      </w:pPr>
      <w:r w:rsidRPr="000E0C84">
        <w:rPr>
          <w:rFonts w:ascii="Times New Roman" w:hAnsi="Times New Roman" w:cs="Times New Roman"/>
          <w:sz w:val="17"/>
          <w:szCs w:val="17"/>
        </w:rPr>
        <w:t>[</w:t>
      </w:r>
      <w:r w:rsidR="000D0591" w:rsidRPr="000E0C84">
        <w:rPr>
          <w:rFonts w:ascii="Times New Roman" w:hAnsi="Times New Roman" w:cs="Times New Roman"/>
          <w:sz w:val="17"/>
          <w:szCs w:val="17"/>
        </w:rPr>
        <w:t>7</w:t>
      </w:r>
      <w:r w:rsidRPr="000E0C84">
        <w:rPr>
          <w:rFonts w:ascii="Times New Roman" w:hAnsi="Times New Roman" w:cs="Times New Roman"/>
          <w:sz w:val="17"/>
          <w:szCs w:val="17"/>
        </w:rPr>
        <w:t xml:space="preserve">] Li H, Xie XM. Morphology development and superior mechanical properties of PP/PA6/SEBS ternary blends compatibilized by using a highly efficient multi-phase compatibilizer. Polymer 2017;108:1–10. </w:t>
      </w:r>
    </w:p>
    <w:sectPr w:rsidR="000E0C84" w:rsidRPr="000E0C84" w:rsidSect="006D2CC0">
      <w:footerReference w:type="default" r:id="rId10"/>
      <w:pgSz w:w="11906" w:h="16838" w:code="9"/>
      <w:pgMar w:top="1616" w:right="737" w:bottom="1616" w:left="737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AC16D35" w16cex:dateUtc="2024-12-05T02:20:00Z"/>
  <w16cex:commentExtensible w16cex:durableId="4B87B93C" w16cex:dateUtc="2024-12-05T02:21:00Z"/>
  <w16cex:commentExtensible w16cex:durableId="7F39F279" w16cex:dateUtc="2024-12-05T02:09:00Z"/>
  <w16cex:commentExtensible w16cex:durableId="30706073" w16cex:dateUtc="2024-12-05T02:21:00Z"/>
  <w16cex:commentExtensible w16cex:durableId="76986DAD" w16cex:dateUtc="2024-12-05T02:21:00Z"/>
  <w16cex:commentExtensible w16cex:durableId="508B4AC1" w16cex:dateUtc="2024-12-05T02:22:00Z"/>
  <w16cex:commentExtensible w16cex:durableId="74469409" w16cex:dateUtc="2024-12-05T02:22:00Z"/>
  <w16cex:commentExtensible w16cex:durableId="1A1A7910" w16cex:dateUtc="2024-12-05T02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E3FDC0E" w16cid:durableId="1CA81CB3"/>
  <w16cid:commentId w16cid:paraId="0BB51901" w16cid:durableId="0AC16D35"/>
  <w16cid:commentId w16cid:paraId="40E64BFA" w16cid:durableId="138C781E"/>
  <w16cid:commentId w16cid:paraId="49355C31" w16cid:durableId="4B87B93C"/>
  <w16cid:commentId w16cid:paraId="042573DA" w16cid:durableId="701167B9"/>
  <w16cid:commentId w16cid:paraId="1218158F" w16cid:durableId="7F39F279"/>
  <w16cid:commentId w16cid:paraId="581AF7CF" w16cid:durableId="1960C308"/>
  <w16cid:commentId w16cid:paraId="5CA158F1" w16cid:durableId="30706073"/>
  <w16cid:commentId w16cid:paraId="4C66D2C4" w16cid:durableId="6360CBA8"/>
  <w16cid:commentId w16cid:paraId="1D373BAC" w16cid:durableId="76986DAD"/>
  <w16cid:commentId w16cid:paraId="69EA5DDE" w16cid:durableId="356498F8"/>
  <w16cid:commentId w16cid:paraId="11ED052F" w16cid:durableId="508B4AC1"/>
  <w16cid:commentId w16cid:paraId="7E7CF04F" w16cid:durableId="0B934BA0"/>
  <w16cid:commentId w16cid:paraId="46F360AE" w16cid:durableId="74469409"/>
  <w16cid:commentId w16cid:paraId="4E41D8E8" w16cid:durableId="216AF9D6"/>
  <w16cid:commentId w16cid:paraId="6D730495" w16cid:durableId="1A1A791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3F6A5" w14:textId="77777777" w:rsidR="00855290" w:rsidRDefault="00855290" w:rsidP="00384A74">
      <w:r>
        <w:separator/>
      </w:r>
    </w:p>
  </w:endnote>
  <w:endnote w:type="continuationSeparator" w:id="0">
    <w:p w14:paraId="18230EDC" w14:textId="77777777" w:rsidR="00855290" w:rsidRDefault="00855290" w:rsidP="0038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635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2886D9C" w14:textId="4CCB1A4E" w:rsidR="00ED706F" w:rsidRPr="002F71CC" w:rsidRDefault="00ED706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F71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F71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F71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5290" w:rsidRPr="00855290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</w:t>
        </w:r>
        <w:r w:rsidRPr="002F71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6E1B1F2" w14:textId="77777777" w:rsidR="00ED706F" w:rsidRDefault="00ED70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9AE87" w14:textId="77777777" w:rsidR="00855290" w:rsidRDefault="00855290" w:rsidP="00384A74">
      <w:r>
        <w:separator/>
      </w:r>
    </w:p>
  </w:footnote>
  <w:footnote w:type="continuationSeparator" w:id="0">
    <w:p w14:paraId="4B86833B" w14:textId="77777777" w:rsidR="00855290" w:rsidRDefault="00855290" w:rsidP="00384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384A74"/>
    <w:rsid w:val="00022E5C"/>
    <w:rsid w:val="00030426"/>
    <w:rsid w:val="00055DFF"/>
    <w:rsid w:val="00091DB4"/>
    <w:rsid w:val="00094CF1"/>
    <w:rsid w:val="000B58BF"/>
    <w:rsid w:val="000D0591"/>
    <w:rsid w:val="000D21CB"/>
    <w:rsid w:val="000D7EA1"/>
    <w:rsid w:val="000E0C84"/>
    <w:rsid w:val="000E53A5"/>
    <w:rsid w:val="00111D5C"/>
    <w:rsid w:val="0012460F"/>
    <w:rsid w:val="001335DF"/>
    <w:rsid w:val="00163904"/>
    <w:rsid w:val="001A14E6"/>
    <w:rsid w:val="001C0D43"/>
    <w:rsid w:val="001D4259"/>
    <w:rsid w:val="0020379D"/>
    <w:rsid w:val="00254E69"/>
    <w:rsid w:val="00275548"/>
    <w:rsid w:val="002B550B"/>
    <w:rsid w:val="00384A74"/>
    <w:rsid w:val="003A40D0"/>
    <w:rsid w:val="003A66B2"/>
    <w:rsid w:val="003B16C1"/>
    <w:rsid w:val="003D0C0D"/>
    <w:rsid w:val="003E39C4"/>
    <w:rsid w:val="00416605"/>
    <w:rsid w:val="00447C44"/>
    <w:rsid w:val="00481840"/>
    <w:rsid w:val="00494A44"/>
    <w:rsid w:val="004B658C"/>
    <w:rsid w:val="00504E07"/>
    <w:rsid w:val="00527BBB"/>
    <w:rsid w:val="005318A2"/>
    <w:rsid w:val="005409F4"/>
    <w:rsid w:val="00551C0E"/>
    <w:rsid w:val="00564E05"/>
    <w:rsid w:val="005775B8"/>
    <w:rsid w:val="005870B0"/>
    <w:rsid w:val="00587852"/>
    <w:rsid w:val="005C2FFF"/>
    <w:rsid w:val="005E71B9"/>
    <w:rsid w:val="00630678"/>
    <w:rsid w:val="00637123"/>
    <w:rsid w:val="00653ED8"/>
    <w:rsid w:val="006567F3"/>
    <w:rsid w:val="00657FBD"/>
    <w:rsid w:val="00674374"/>
    <w:rsid w:val="0069048B"/>
    <w:rsid w:val="006958E8"/>
    <w:rsid w:val="006A68BA"/>
    <w:rsid w:val="006D2CC0"/>
    <w:rsid w:val="00740B79"/>
    <w:rsid w:val="007559FF"/>
    <w:rsid w:val="007561C3"/>
    <w:rsid w:val="00797B6D"/>
    <w:rsid w:val="007A7ED8"/>
    <w:rsid w:val="007C11D6"/>
    <w:rsid w:val="007D6A70"/>
    <w:rsid w:val="007E006C"/>
    <w:rsid w:val="008050A3"/>
    <w:rsid w:val="00835003"/>
    <w:rsid w:val="00855290"/>
    <w:rsid w:val="00894AEC"/>
    <w:rsid w:val="008E0BC7"/>
    <w:rsid w:val="008E7006"/>
    <w:rsid w:val="008F5AC2"/>
    <w:rsid w:val="009154E2"/>
    <w:rsid w:val="009B2024"/>
    <w:rsid w:val="009C1ECA"/>
    <w:rsid w:val="009D2FD6"/>
    <w:rsid w:val="009D4E03"/>
    <w:rsid w:val="009D505F"/>
    <w:rsid w:val="00A0515D"/>
    <w:rsid w:val="00A2088B"/>
    <w:rsid w:val="00A23583"/>
    <w:rsid w:val="00A26475"/>
    <w:rsid w:val="00A47EF7"/>
    <w:rsid w:val="00A54D1A"/>
    <w:rsid w:val="00A566CA"/>
    <w:rsid w:val="00A7095F"/>
    <w:rsid w:val="00A71A64"/>
    <w:rsid w:val="00A85321"/>
    <w:rsid w:val="00AD012B"/>
    <w:rsid w:val="00AE2533"/>
    <w:rsid w:val="00AF33BE"/>
    <w:rsid w:val="00AF70C7"/>
    <w:rsid w:val="00B17563"/>
    <w:rsid w:val="00B26255"/>
    <w:rsid w:val="00B27750"/>
    <w:rsid w:val="00B87045"/>
    <w:rsid w:val="00BA3746"/>
    <w:rsid w:val="00BC3C1B"/>
    <w:rsid w:val="00BC52C8"/>
    <w:rsid w:val="00C10930"/>
    <w:rsid w:val="00C73716"/>
    <w:rsid w:val="00C906F3"/>
    <w:rsid w:val="00CD644C"/>
    <w:rsid w:val="00CF3E37"/>
    <w:rsid w:val="00D05E3C"/>
    <w:rsid w:val="00D13776"/>
    <w:rsid w:val="00D220B9"/>
    <w:rsid w:val="00D26BBB"/>
    <w:rsid w:val="00D6288B"/>
    <w:rsid w:val="00D94B54"/>
    <w:rsid w:val="00DC0E4A"/>
    <w:rsid w:val="00DD4010"/>
    <w:rsid w:val="00DE7A35"/>
    <w:rsid w:val="00DF21C6"/>
    <w:rsid w:val="00DF59ED"/>
    <w:rsid w:val="00E107C7"/>
    <w:rsid w:val="00E25365"/>
    <w:rsid w:val="00E52FEB"/>
    <w:rsid w:val="00E54D7E"/>
    <w:rsid w:val="00E65806"/>
    <w:rsid w:val="00E9488C"/>
    <w:rsid w:val="00E95DA0"/>
    <w:rsid w:val="00ED706F"/>
    <w:rsid w:val="00EF4A12"/>
    <w:rsid w:val="00F3058B"/>
    <w:rsid w:val="00F37CAE"/>
    <w:rsid w:val="00F936B7"/>
    <w:rsid w:val="00FF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84ED1"/>
  <w15:chartTrackingRefBased/>
  <w15:docId w15:val="{DA19ADB2-6264-401D-801A-F521BA84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A7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84A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384A74"/>
    <w:rPr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384A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84A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84A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84A74"/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384A74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384A74"/>
    <w:pPr>
      <w:snapToGrid w:val="0"/>
      <w:jc w:val="left"/>
    </w:pPr>
    <w:rPr>
      <w:sz w:val="18"/>
      <w:szCs w:val="18"/>
    </w:rPr>
  </w:style>
  <w:style w:type="character" w:customStyle="1" w:styleId="a9">
    <w:name w:val="脚注文本 字符"/>
    <w:basedOn w:val="a0"/>
    <w:link w:val="a8"/>
    <w:uiPriority w:val="99"/>
    <w:semiHidden/>
    <w:rsid w:val="00384A74"/>
    <w:rPr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384A74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384A74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384A74"/>
    <w:rPr>
      <w:sz w:val="20"/>
      <w:szCs w:val="20"/>
    </w:rPr>
  </w:style>
  <w:style w:type="character" w:customStyle="1" w:styleId="ad">
    <w:name w:val="批注文字 字符"/>
    <w:basedOn w:val="a0"/>
    <w:link w:val="ac"/>
    <w:uiPriority w:val="99"/>
    <w:rsid w:val="00384A74"/>
    <w:rPr>
      <w:sz w:val="20"/>
      <w:szCs w:val="20"/>
    </w:rPr>
  </w:style>
  <w:style w:type="paragraph" w:styleId="ae">
    <w:name w:val="List Paragraph"/>
    <w:basedOn w:val="a"/>
    <w:uiPriority w:val="34"/>
    <w:qFormat/>
    <w:rsid w:val="00384A74"/>
    <w:pPr>
      <w:ind w:firstLineChars="200" w:firstLine="420"/>
    </w:pPr>
  </w:style>
  <w:style w:type="paragraph" w:customStyle="1" w:styleId="EndNoteBibliography">
    <w:name w:val="EndNote Bibliography"/>
    <w:basedOn w:val="a"/>
    <w:link w:val="EndNoteBibliography0"/>
    <w:qFormat/>
    <w:rsid w:val="00384A74"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sid w:val="00384A74"/>
    <w:rPr>
      <w:rFonts w:ascii="等线" w:eastAsia="等线" w:hAnsi="等线"/>
      <w:sz w:val="20"/>
    </w:rPr>
  </w:style>
  <w:style w:type="table" w:styleId="af">
    <w:name w:val="Table Grid"/>
    <w:basedOn w:val="a1"/>
    <w:uiPriority w:val="39"/>
    <w:qFormat/>
    <w:rsid w:val="00384A7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line number"/>
    <w:basedOn w:val="a0"/>
    <w:uiPriority w:val="99"/>
    <w:semiHidden/>
    <w:unhideWhenUsed/>
    <w:rsid w:val="00384A74"/>
  </w:style>
  <w:style w:type="paragraph" w:customStyle="1" w:styleId="EndNoteBibliographyTitle">
    <w:name w:val="EndNote Bibliography Title"/>
    <w:basedOn w:val="a"/>
    <w:link w:val="EndNoteBibliographyTitle0"/>
    <w:rsid w:val="00384A74"/>
    <w:pPr>
      <w:jc w:val="center"/>
    </w:pPr>
    <w:rPr>
      <w:rFonts w:ascii="等线" w:eastAsia="等线" w:hAnsi="等线"/>
      <w:noProof/>
      <w:kern w:val="44"/>
      <w:sz w:val="20"/>
      <w:szCs w:val="44"/>
    </w:rPr>
  </w:style>
  <w:style w:type="character" w:customStyle="1" w:styleId="EndNoteBibliographyTitle0">
    <w:name w:val="EndNote Bibliography Title 字符"/>
    <w:basedOn w:val="10"/>
    <w:link w:val="EndNoteBibliographyTitle"/>
    <w:rsid w:val="00384A74"/>
    <w:rPr>
      <w:rFonts w:ascii="等线" w:eastAsia="等线" w:hAnsi="等线"/>
      <w:b w:val="0"/>
      <w:bCs w:val="0"/>
      <w:noProof/>
      <w:kern w:val="44"/>
      <w:sz w:val="20"/>
      <w:szCs w:val="44"/>
    </w:rPr>
  </w:style>
  <w:style w:type="paragraph" w:styleId="af1">
    <w:name w:val="annotation subject"/>
    <w:basedOn w:val="ac"/>
    <w:next w:val="ac"/>
    <w:link w:val="af2"/>
    <w:uiPriority w:val="99"/>
    <w:semiHidden/>
    <w:unhideWhenUsed/>
    <w:rsid w:val="00384A74"/>
    <w:pPr>
      <w:jc w:val="left"/>
    </w:pPr>
    <w:rPr>
      <w:b/>
      <w:bCs/>
    </w:rPr>
  </w:style>
  <w:style w:type="character" w:customStyle="1" w:styleId="af2">
    <w:name w:val="批注主题 字符"/>
    <w:basedOn w:val="ad"/>
    <w:link w:val="af1"/>
    <w:uiPriority w:val="99"/>
    <w:semiHidden/>
    <w:rsid w:val="00384A74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384A74"/>
  </w:style>
  <w:style w:type="character" w:customStyle="1" w:styleId="11">
    <w:name w:val="未处理的提及1"/>
    <w:basedOn w:val="a0"/>
    <w:uiPriority w:val="99"/>
    <w:semiHidden/>
    <w:unhideWhenUsed/>
    <w:rsid w:val="00384A74"/>
    <w:rPr>
      <w:color w:val="605E5C"/>
      <w:shd w:val="clear" w:color="auto" w:fill="E1DFDD"/>
    </w:rPr>
  </w:style>
  <w:style w:type="paragraph" w:styleId="af4">
    <w:name w:val="Balloon Text"/>
    <w:basedOn w:val="a"/>
    <w:link w:val="af5"/>
    <w:uiPriority w:val="99"/>
    <w:semiHidden/>
    <w:unhideWhenUsed/>
    <w:rsid w:val="006D2CC0"/>
    <w:rPr>
      <w:sz w:val="18"/>
      <w:szCs w:val="18"/>
    </w:rPr>
  </w:style>
  <w:style w:type="character" w:customStyle="1" w:styleId="af5">
    <w:name w:val="批注框文本 字符"/>
    <w:basedOn w:val="a0"/>
    <w:link w:val="af4"/>
    <w:uiPriority w:val="99"/>
    <w:semiHidden/>
    <w:rsid w:val="006D2CC0"/>
    <w:rPr>
      <w:sz w:val="18"/>
      <w:szCs w:val="18"/>
    </w:rPr>
  </w:style>
  <w:style w:type="character" w:customStyle="1" w:styleId="bibjournal">
    <w:name w:val="bib_journal"/>
    <w:rsid w:val="00A47EF7"/>
    <w:rPr>
      <w:sz w:val="21"/>
      <w:bdr w:val="none" w:sz="0" w:space="0" w:color="auto"/>
      <w:shd w:val="clear" w:color="auto" w:fill="F9DEC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9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endnotes" Target="endnotes.xml"/><Relationship Id="rId23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 佳豪</dc:creator>
  <cp:keywords/>
  <dc:description/>
  <cp:lastModifiedBy>Zn</cp:lastModifiedBy>
  <cp:revision>9</cp:revision>
  <dcterms:created xsi:type="dcterms:W3CDTF">2024-12-06T09:16:00Z</dcterms:created>
  <dcterms:modified xsi:type="dcterms:W3CDTF">2024-12-06T09:18:00Z</dcterms:modified>
</cp:coreProperties>
</file>