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1BEE5D" w14:textId="77777777" w:rsidR="00FA7971" w:rsidRPr="00B32681" w:rsidRDefault="00FA7971" w:rsidP="00FA7971">
      <w:pPr>
        <w:ind w:right="1"/>
        <w:jc w:val="left"/>
        <w:rPr>
          <w:bCs/>
          <w:lang w:eastAsia="zh-CN"/>
        </w:rPr>
      </w:pPr>
      <w:bookmarkStart w:id="0" w:name="_GoBack"/>
      <w:bookmarkEnd w:id="0"/>
      <w:r w:rsidRPr="00B32681">
        <w:rPr>
          <w:rFonts w:hint="eastAsia"/>
          <w:bCs/>
          <w:lang w:eastAsia="zh-CN"/>
        </w:rPr>
        <w:t>S</w:t>
      </w:r>
      <w:r w:rsidRPr="00B32681">
        <w:rPr>
          <w:bCs/>
          <w:lang w:eastAsia="zh-CN"/>
        </w:rPr>
        <w:t>upplementary data for</w:t>
      </w:r>
    </w:p>
    <w:p w14:paraId="3E6E27F0" w14:textId="77777777" w:rsidR="00970080" w:rsidRDefault="00970080" w:rsidP="00970080">
      <w:pPr>
        <w:pStyle w:val="hauthors"/>
        <w:autoSpaceDE w:val="0"/>
        <w:autoSpaceDN w:val="0"/>
        <w:adjustRightInd w:val="0"/>
        <w:snapToGrid w:val="0"/>
        <w:spacing w:before="0" w:line="240" w:lineRule="atLeast"/>
        <w:rPr>
          <w:b/>
          <w:sz w:val="30"/>
          <w:szCs w:val="30"/>
        </w:rPr>
      </w:pPr>
      <w:bookmarkStart w:id="1" w:name="OLE_LINK1"/>
      <w:bookmarkStart w:id="2" w:name="OLE_LINK2"/>
      <w:r w:rsidRPr="00E06D40">
        <w:rPr>
          <w:b/>
          <w:sz w:val="30"/>
          <w:szCs w:val="30"/>
        </w:rPr>
        <w:t xml:space="preserve">Engineering the </w:t>
      </w:r>
      <w:proofErr w:type="spellStart"/>
      <w:r w:rsidRPr="00E06D40">
        <w:rPr>
          <w:b/>
          <w:sz w:val="30"/>
          <w:szCs w:val="30"/>
        </w:rPr>
        <w:t>Thermoelectrical</w:t>
      </w:r>
      <w:proofErr w:type="spellEnd"/>
      <w:r w:rsidRPr="00E06D40">
        <w:rPr>
          <w:b/>
          <w:sz w:val="30"/>
          <w:szCs w:val="30"/>
        </w:rPr>
        <w:t xml:space="preserve"> Properties of PEDOT</w:t>
      </w:r>
      <w:proofErr w:type="gramStart"/>
      <w:r w:rsidRPr="00E06D40">
        <w:rPr>
          <w:b/>
          <w:sz w:val="30"/>
          <w:szCs w:val="30"/>
        </w:rPr>
        <w:t>:PSS</w:t>
      </w:r>
      <w:proofErr w:type="gramEnd"/>
      <w:r w:rsidRPr="00E06D40">
        <w:rPr>
          <w:b/>
          <w:sz w:val="30"/>
          <w:szCs w:val="30"/>
        </w:rPr>
        <w:t xml:space="preserve"> by Alkali Metal Ion Effect</w:t>
      </w:r>
    </w:p>
    <w:p w14:paraId="22FEE8D9" w14:textId="77777777" w:rsidR="00970080" w:rsidRPr="0004241C" w:rsidRDefault="00970080" w:rsidP="00970080">
      <w:pPr>
        <w:pStyle w:val="hauthors"/>
        <w:autoSpaceDE w:val="0"/>
        <w:autoSpaceDN w:val="0"/>
        <w:adjustRightInd w:val="0"/>
        <w:spacing w:before="0"/>
        <w:rPr>
          <w:rFonts w:eastAsiaTheme="minorEastAsia"/>
          <w:sz w:val="24"/>
          <w:szCs w:val="24"/>
          <w:lang w:val="it-IT"/>
        </w:rPr>
      </w:pPr>
      <w:r w:rsidRPr="0004241C">
        <w:rPr>
          <w:rFonts w:eastAsiaTheme="minorEastAsia"/>
          <w:sz w:val="24"/>
          <w:szCs w:val="24"/>
          <w:lang w:val="it-IT"/>
        </w:rPr>
        <w:t xml:space="preserve">Jingjin Dong </w:t>
      </w:r>
      <w:r w:rsidRPr="0004241C">
        <w:rPr>
          <w:rFonts w:eastAsiaTheme="minorEastAsia"/>
          <w:sz w:val="24"/>
          <w:szCs w:val="24"/>
          <w:vertAlign w:val="superscript"/>
          <w:lang w:val="it-IT"/>
        </w:rPr>
        <w:t>a</w:t>
      </w:r>
      <w:r w:rsidRPr="0004241C">
        <w:rPr>
          <w:rFonts w:eastAsiaTheme="minorEastAsia"/>
          <w:sz w:val="24"/>
          <w:szCs w:val="24"/>
          <w:lang w:val="it-IT"/>
        </w:rPr>
        <w:t xml:space="preserve">, Jian Liu </w:t>
      </w:r>
      <w:r w:rsidRPr="0004241C">
        <w:rPr>
          <w:rFonts w:eastAsiaTheme="minorEastAsia"/>
          <w:sz w:val="24"/>
          <w:szCs w:val="24"/>
          <w:vertAlign w:val="superscript"/>
          <w:lang w:val="it-IT"/>
        </w:rPr>
        <w:t>a</w:t>
      </w:r>
      <w:r w:rsidRPr="0004241C">
        <w:rPr>
          <w:rFonts w:eastAsiaTheme="minorEastAsia"/>
          <w:sz w:val="24"/>
          <w:szCs w:val="24"/>
          <w:lang w:val="it-IT"/>
        </w:rPr>
        <w:t xml:space="preserve">, Xinkai Qiu </w:t>
      </w:r>
      <w:r w:rsidRPr="0004241C">
        <w:rPr>
          <w:rFonts w:eastAsiaTheme="minorEastAsia"/>
          <w:sz w:val="24"/>
          <w:szCs w:val="24"/>
          <w:vertAlign w:val="superscript"/>
          <w:lang w:val="it-IT"/>
        </w:rPr>
        <w:t>a,b</w:t>
      </w:r>
      <w:r w:rsidRPr="0004241C">
        <w:rPr>
          <w:rFonts w:eastAsiaTheme="minorEastAsia"/>
          <w:sz w:val="24"/>
          <w:szCs w:val="24"/>
          <w:lang w:val="it-IT"/>
        </w:rPr>
        <w:t xml:space="preserve">, Ryan Chiechi </w:t>
      </w:r>
      <w:r w:rsidRPr="0004241C">
        <w:rPr>
          <w:rFonts w:eastAsiaTheme="minorEastAsia"/>
          <w:sz w:val="24"/>
          <w:szCs w:val="24"/>
          <w:vertAlign w:val="superscript"/>
          <w:lang w:val="it-IT"/>
        </w:rPr>
        <w:t>a,b</w:t>
      </w:r>
      <w:r w:rsidRPr="0004241C">
        <w:rPr>
          <w:rFonts w:eastAsiaTheme="minorEastAsia"/>
          <w:sz w:val="24"/>
          <w:szCs w:val="24"/>
          <w:lang w:val="it-IT"/>
        </w:rPr>
        <w:t>, L. Jan Anton Koster</w:t>
      </w:r>
      <w:r w:rsidRPr="0004241C">
        <w:rPr>
          <w:rFonts w:eastAsiaTheme="minorEastAsia"/>
          <w:sz w:val="24"/>
          <w:szCs w:val="24"/>
          <w:vertAlign w:val="superscript"/>
          <w:lang w:val="it-IT"/>
        </w:rPr>
        <w:t xml:space="preserve"> a</w:t>
      </w:r>
      <w:r w:rsidRPr="0004241C">
        <w:rPr>
          <w:rFonts w:eastAsiaTheme="minorEastAsia"/>
          <w:sz w:val="24"/>
          <w:szCs w:val="24"/>
          <w:lang w:val="it-IT"/>
        </w:rPr>
        <w:t xml:space="preserve">, Giuseppe Portale </w:t>
      </w:r>
      <w:r w:rsidRPr="0004241C">
        <w:rPr>
          <w:rFonts w:eastAsiaTheme="minorEastAsia"/>
          <w:sz w:val="24"/>
          <w:szCs w:val="24"/>
          <w:vertAlign w:val="superscript"/>
          <w:lang w:val="it-IT"/>
        </w:rPr>
        <w:t>a,</w:t>
      </w:r>
      <w:r w:rsidRPr="0004241C">
        <w:rPr>
          <w:rFonts w:eastAsiaTheme="minorEastAsia"/>
          <w:sz w:val="24"/>
          <w:szCs w:val="24"/>
          <w:lang w:val="it-IT"/>
        </w:rPr>
        <w:t>*</w:t>
      </w:r>
    </w:p>
    <w:p w14:paraId="28378B53" w14:textId="3794C291" w:rsidR="00970080" w:rsidRPr="00333421" w:rsidRDefault="00970080" w:rsidP="00970080">
      <w:pPr>
        <w:pStyle w:val="haffiliations"/>
        <w:autoSpaceDE w:val="0"/>
        <w:autoSpaceDN w:val="0"/>
        <w:adjustRightInd w:val="0"/>
        <w:snapToGrid w:val="0"/>
        <w:spacing w:before="0"/>
        <w:rPr>
          <w:rFonts w:eastAsiaTheme="minorEastAsia"/>
          <w:i/>
          <w:sz w:val="18"/>
          <w:szCs w:val="18"/>
        </w:rPr>
      </w:pPr>
      <w:proofErr w:type="gramStart"/>
      <w:r w:rsidRPr="00333421">
        <w:rPr>
          <w:rFonts w:eastAsiaTheme="minorEastAsia"/>
          <w:sz w:val="18"/>
          <w:szCs w:val="18"/>
          <w:vertAlign w:val="superscript"/>
        </w:rPr>
        <w:t>a</w:t>
      </w:r>
      <w:proofErr w:type="gramEnd"/>
      <w:r w:rsidRPr="00333421">
        <w:rPr>
          <w:rFonts w:eastAsiaTheme="minorEastAsia"/>
          <w:sz w:val="18"/>
          <w:szCs w:val="18"/>
          <w:vertAlign w:val="superscript"/>
        </w:rPr>
        <w:t xml:space="preserve"> </w:t>
      </w:r>
      <w:bookmarkStart w:id="3" w:name="OLE_LINK102"/>
      <w:bookmarkStart w:id="4" w:name="OLE_LINK103"/>
      <w:r w:rsidRPr="00E06D40">
        <w:rPr>
          <w:rFonts w:eastAsiaTheme="minorEastAsia"/>
          <w:i/>
          <w:sz w:val="18"/>
          <w:szCs w:val="18"/>
        </w:rPr>
        <w:t>Zernike Institute for Advanced Materials,</w:t>
      </w:r>
      <w:bookmarkStart w:id="5" w:name="OLE_LINK104"/>
      <w:bookmarkStart w:id="6" w:name="OLE_LINK105"/>
      <w:r w:rsidRPr="00E06D40">
        <w:rPr>
          <w:rFonts w:eastAsiaTheme="minorEastAsia"/>
          <w:i/>
          <w:sz w:val="18"/>
          <w:szCs w:val="18"/>
        </w:rPr>
        <w:t xml:space="preserve"> University of Groningen</w:t>
      </w:r>
      <w:bookmarkEnd w:id="3"/>
      <w:bookmarkEnd w:id="4"/>
      <w:r w:rsidRPr="00E06D40">
        <w:rPr>
          <w:rFonts w:eastAsiaTheme="minorEastAsia"/>
          <w:i/>
          <w:sz w:val="18"/>
          <w:szCs w:val="18"/>
        </w:rPr>
        <w:t xml:space="preserve">, </w:t>
      </w:r>
      <w:bookmarkStart w:id="7" w:name="OLE_LINK106"/>
      <w:r w:rsidRPr="00E06D40">
        <w:rPr>
          <w:rFonts w:eastAsiaTheme="minorEastAsia"/>
          <w:i/>
          <w:sz w:val="18"/>
          <w:szCs w:val="18"/>
        </w:rPr>
        <w:t>Groningen</w:t>
      </w:r>
      <w:r>
        <w:rPr>
          <w:rFonts w:eastAsiaTheme="minorEastAsia"/>
          <w:i/>
          <w:sz w:val="18"/>
          <w:szCs w:val="18"/>
          <w:lang w:eastAsia="zh-CN"/>
        </w:rPr>
        <w:t xml:space="preserve"> </w:t>
      </w:r>
      <w:r w:rsidRPr="00E06D40">
        <w:rPr>
          <w:rFonts w:eastAsiaTheme="minorEastAsia"/>
          <w:i/>
          <w:sz w:val="18"/>
          <w:szCs w:val="18"/>
        </w:rPr>
        <w:t>9747 AG</w:t>
      </w:r>
      <w:bookmarkEnd w:id="7"/>
      <w:r w:rsidRPr="00E06D40">
        <w:rPr>
          <w:rFonts w:eastAsiaTheme="minorEastAsia"/>
          <w:i/>
          <w:sz w:val="18"/>
          <w:szCs w:val="18"/>
        </w:rPr>
        <w:t>,</w:t>
      </w:r>
      <w:bookmarkEnd w:id="5"/>
      <w:bookmarkEnd w:id="6"/>
      <w:r w:rsidRPr="00E06D40">
        <w:rPr>
          <w:rFonts w:eastAsiaTheme="minorEastAsia"/>
          <w:i/>
          <w:sz w:val="18"/>
          <w:szCs w:val="18"/>
        </w:rPr>
        <w:t xml:space="preserve"> The Netherlands</w:t>
      </w:r>
    </w:p>
    <w:p w14:paraId="75E8B55B" w14:textId="60F8FB42" w:rsidR="00970080" w:rsidRPr="00333421" w:rsidRDefault="00970080" w:rsidP="00970080">
      <w:pPr>
        <w:pStyle w:val="haffiliations"/>
        <w:autoSpaceDE w:val="0"/>
        <w:autoSpaceDN w:val="0"/>
        <w:adjustRightInd w:val="0"/>
        <w:snapToGrid w:val="0"/>
        <w:spacing w:before="0"/>
        <w:rPr>
          <w:rFonts w:eastAsiaTheme="minorEastAsia"/>
          <w:i/>
          <w:sz w:val="18"/>
          <w:szCs w:val="18"/>
        </w:rPr>
      </w:pPr>
      <w:proofErr w:type="gramStart"/>
      <w:r w:rsidRPr="00333421">
        <w:rPr>
          <w:rFonts w:eastAsiaTheme="minorEastAsia"/>
          <w:sz w:val="18"/>
          <w:szCs w:val="18"/>
          <w:vertAlign w:val="superscript"/>
        </w:rPr>
        <w:t>b</w:t>
      </w:r>
      <w:proofErr w:type="gramEnd"/>
      <w:r w:rsidRPr="00333421">
        <w:rPr>
          <w:rFonts w:eastAsiaTheme="minorEastAsia"/>
          <w:sz w:val="18"/>
          <w:szCs w:val="18"/>
          <w:vertAlign w:val="superscript"/>
        </w:rPr>
        <w:t xml:space="preserve"> </w:t>
      </w:r>
      <w:proofErr w:type="spellStart"/>
      <w:r w:rsidRPr="00E06D40">
        <w:rPr>
          <w:rFonts w:eastAsiaTheme="minorEastAsia"/>
          <w:i/>
          <w:sz w:val="18"/>
          <w:szCs w:val="18"/>
        </w:rPr>
        <w:t>Stratingh</w:t>
      </w:r>
      <w:proofErr w:type="spellEnd"/>
      <w:r w:rsidRPr="00E06D40">
        <w:rPr>
          <w:rFonts w:eastAsiaTheme="minorEastAsia"/>
          <w:i/>
          <w:sz w:val="18"/>
          <w:szCs w:val="18"/>
        </w:rPr>
        <w:t xml:space="preserve"> Institute for Chemistry, University of Groningen, Groningen</w:t>
      </w:r>
      <w:r>
        <w:rPr>
          <w:rFonts w:eastAsiaTheme="minorEastAsia"/>
          <w:i/>
          <w:sz w:val="18"/>
          <w:szCs w:val="18"/>
        </w:rPr>
        <w:t xml:space="preserve"> </w:t>
      </w:r>
      <w:r w:rsidRPr="00E06D40">
        <w:rPr>
          <w:rFonts w:eastAsiaTheme="minorEastAsia"/>
          <w:i/>
          <w:sz w:val="18"/>
          <w:szCs w:val="18"/>
        </w:rPr>
        <w:t>9747 AG, The Netherlands</w:t>
      </w:r>
    </w:p>
    <w:p w14:paraId="7B826BD3" w14:textId="77777777" w:rsidR="00970080" w:rsidRPr="00333421" w:rsidRDefault="00970080" w:rsidP="00970080">
      <w:pPr>
        <w:pStyle w:val="haffiliations"/>
        <w:autoSpaceDE w:val="0"/>
        <w:autoSpaceDN w:val="0"/>
        <w:adjustRightInd w:val="0"/>
        <w:spacing w:before="0"/>
        <w:rPr>
          <w:sz w:val="18"/>
          <w:szCs w:val="18"/>
        </w:rPr>
      </w:pPr>
      <w:r w:rsidRPr="00333421">
        <w:rPr>
          <w:sz w:val="18"/>
          <w:szCs w:val="18"/>
        </w:rPr>
        <w:t xml:space="preserve">* Corresponding author. </w:t>
      </w:r>
    </w:p>
    <w:p w14:paraId="556F82F3" w14:textId="77777777" w:rsidR="00970080" w:rsidRPr="00333421" w:rsidRDefault="00970080" w:rsidP="00970080">
      <w:pPr>
        <w:pStyle w:val="haffiliations"/>
        <w:autoSpaceDE w:val="0"/>
        <w:autoSpaceDN w:val="0"/>
        <w:adjustRightInd w:val="0"/>
        <w:spacing w:before="0"/>
        <w:rPr>
          <w:i/>
          <w:sz w:val="18"/>
          <w:szCs w:val="18"/>
        </w:rPr>
      </w:pPr>
      <w:r w:rsidRPr="00333421">
        <w:rPr>
          <w:i/>
          <w:sz w:val="18"/>
          <w:szCs w:val="18"/>
        </w:rPr>
        <w:t xml:space="preserve">E-mail address: </w:t>
      </w:r>
      <w:r w:rsidRPr="00E06D40">
        <w:t>g.portale@rug.nl</w:t>
      </w:r>
      <w:r w:rsidRPr="00333421">
        <w:rPr>
          <w:rFonts w:hint="eastAsia"/>
          <w:sz w:val="18"/>
          <w:szCs w:val="18"/>
          <w:lang w:eastAsia="zh-CN"/>
        </w:rPr>
        <w:t xml:space="preserve"> (</w:t>
      </w:r>
      <w:r>
        <w:rPr>
          <w:sz w:val="18"/>
          <w:szCs w:val="18"/>
          <w:lang w:eastAsia="zh-CN"/>
        </w:rPr>
        <w:t>G</w:t>
      </w:r>
      <w:r w:rsidRPr="00333421">
        <w:rPr>
          <w:rFonts w:hint="eastAsia"/>
          <w:sz w:val="18"/>
          <w:szCs w:val="18"/>
          <w:lang w:eastAsia="zh-CN"/>
        </w:rPr>
        <w:t xml:space="preserve">. </w:t>
      </w:r>
      <w:proofErr w:type="spellStart"/>
      <w:r>
        <w:rPr>
          <w:sz w:val="18"/>
          <w:szCs w:val="18"/>
          <w:lang w:eastAsia="zh-CN"/>
        </w:rPr>
        <w:t>Portale</w:t>
      </w:r>
      <w:proofErr w:type="spellEnd"/>
      <w:r w:rsidRPr="00333421">
        <w:rPr>
          <w:rFonts w:hint="eastAsia"/>
          <w:sz w:val="18"/>
          <w:szCs w:val="18"/>
          <w:lang w:eastAsia="zh-CN"/>
        </w:rPr>
        <w:t>)</w:t>
      </w:r>
      <w:r>
        <w:rPr>
          <w:sz w:val="18"/>
          <w:szCs w:val="18"/>
          <w:lang w:eastAsia="zh-CN"/>
        </w:rPr>
        <w:t>.</w:t>
      </w:r>
      <w:r w:rsidRPr="00333421" w:rsidDel="006316CC">
        <w:rPr>
          <w:sz w:val="18"/>
          <w:szCs w:val="18"/>
        </w:rPr>
        <w:t xml:space="preserve"> </w:t>
      </w:r>
    </w:p>
    <w:bookmarkEnd w:id="1"/>
    <w:bookmarkEnd w:id="2"/>
    <w:p w14:paraId="328D4841" w14:textId="5D5CCF1B" w:rsidR="00CA314F" w:rsidRPr="00333421" w:rsidRDefault="00CA314F" w:rsidP="00CA314F">
      <w:pPr>
        <w:pStyle w:val="haffiliations"/>
        <w:autoSpaceDE w:val="0"/>
        <w:autoSpaceDN w:val="0"/>
        <w:adjustRightInd w:val="0"/>
        <w:spacing w:before="0"/>
        <w:rPr>
          <w:i/>
          <w:sz w:val="18"/>
          <w:szCs w:val="18"/>
        </w:rPr>
      </w:pPr>
    </w:p>
    <w:p w14:paraId="22E22F01" w14:textId="77777777" w:rsidR="007E6344" w:rsidRPr="00CA314F" w:rsidRDefault="007E6344" w:rsidP="007E6344">
      <w:pPr>
        <w:pStyle w:val="authadd"/>
        <w:autoSpaceDE w:val="0"/>
        <w:autoSpaceDN w:val="0"/>
        <w:adjustRightInd w:val="0"/>
        <w:spacing w:after="120"/>
        <w:rPr>
          <w:lang w:val="en-US"/>
        </w:rPr>
      </w:pPr>
    </w:p>
    <w:p w14:paraId="225B30A7" w14:textId="77777777" w:rsidR="00C53BF1" w:rsidRPr="00904F06" w:rsidRDefault="00C53BF1" w:rsidP="00C53BF1">
      <w:pPr>
        <w:pStyle w:val="hhead1"/>
        <w:autoSpaceDE w:val="0"/>
        <w:autoSpaceDN w:val="0"/>
        <w:adjustRightInd w:val="0"/>
        <w:rPr>
          <w:rFonts w:eastAsiaTheme="minorEastAsia"/>
          <w:b/>
          <w:sz w:val="24"/>
          <w:szCs w:val="24"/>
        </w:rPr>
      </w:pPr>
      <w:bookmarkStart w:id="8" w:name="BMeqn_ForcesandMoments"/>
      <w:bookmarkStart w:id="9" w:name="BMeqn_statespaceformulationofforcesandmo"/>
      <w:bookmarkEnd w:id="8"/>
      <w:bookmarkEnd w:id="9"/>
      <w:r w:rsidRPr="00904F06">
        <w:rPr>
          <w:rFonts w:eastAsiaTheme="minorEastAsia"/>
          <w:b/>
          <w:sz w:val="24"/>
          <w:szCs w:val="24"/>
        </w:rPr>
        <w:t>Experimental section</w:t>
      </w:r>
    </w:p>
    <w:p w14:paraId="1F6647AB" w14:textId="116FE0CF" w:rsidR="00C53BF1" w:rsidRDefault="00C53BF1" w:rsidP="00C53BF1">
      <w:pPr>
        <w:pStyle w:val="hparagraphindent"/>
        <w:autoSpaceDE w:val="0"/>
        <w:autoSpaceDN w:val="0"/>
        <w:adjustRightInd w:val="0"/>
        <w:snapToGrid w:val="0"/>
        <w:spacing w:before="0" w:line="240" w:lineRule="atLeast"/>
        <w:ind w:firstLineChars="200" w:firstLine="422"/>
        <w:jc w:val="both"/>
        <w:rPr>
          <w:rFonts w:eastAsiaTheme="minorEastAsia"/>
          <w:szCs w:val="24"/>
        </w:rPr>
      </w:pPr>
      <w:r w:rsidRPr="006F72A3">
        <w:rPr>
          <w:rFonts w:eastAsiaTheme="minorEastAsia"/>
          <w:b/>
          <w:bCs/>
          <w:iCs/>
          <w:szCs w:val="24"/>
        </w:rPr>
        <w:t>Materials:</w:t>
      </w:r>
      <w:r>
        <w:rPr>
          <w:rFonts w:eastAsiaTheme="minorEastAsia"/>
          <w:szCs w:val="24"/>
        </w:rPr>
        <w:t xml:space="preserve"> </w:t>
      </w:r>
      <w:proofErr w:type="gramStart"/>
      <w:r w:rsidR="00970080" w:rsidRPr="00970080">
        <w:rPr>
          <w:rFonts w:eastAsiaTheme="minorEastAsia"/>
          <w:szCs w:val="24"/>
        </w:rPr>
        <w:t>Poly(</w:t>
      </w:r>
      <w:proofErr w:type="gramEnd"/>
      <w:r w:rsidR="00970080" w:rsidRPr="00970080">
        <w:rPr>
          <w:rFonts w:eastAsiaTheme="minorEastAsia"/>
          <w:szCs w:val="24"/>
        </w:rPr>
        <w:t>3,4-ethylenedioxythiophene):poly(</w:t>
      </w:r>
      <w:proofErr w:type="spellStart"/>
      <w:r w:rsidR="00970080" w:rsidRPr="00970080">
        <w:rPr>
          <w:rFonts w:eastAsiaTheme="minorEastAsia"/>
          <w:szCs w:val="24"/>
        </w:rPr>
        <w:t>styrenesulfonate</w:t>
      </w:r>
      <w:proofErr w:type="spellEnd"/>
      <w:r w:rsidR="00970080" w:rsidRPr="00970080">
        <w:rPr>
          <w:rFonts w:eastAsiaTheme="minorEastAsia"/>
          <w:szCs w:val="24"/>
        </w:rPr>
        <w:t>) (PEDOT:PSS)</w:t>
      </w:r>
      <w:r>
        <w:rPr>
          <w:rFonts w:eastAsiaTheme="minorEastAsia"/>
          <w:szCs w:val="24"/>
        </w:rPr>
        <w:t xml:space="preserve"> aqueous solution (</w:t>
      </w:r>
      <w:proofErr w:type="spellStart"/>
      <w:r>
        <w:rPr>
          <w:rFonts w:eastAsiaTheme="minorEastAsia"/>
          <w:szCs w:val="24"/>
        </w:rPr>
        <w:t>Clevios</w:t>
      </w:r>
      <w:proofErr w:type="spellEnd"/>
      <w:r>
        <w:rPr>
          <w:rFonts w:eastAsiaTheme="minorEastAsia"/>
          <w:szCs w:val="24"/>
        </w:rPr>
        <w:t xml:space="preserve"> PH1000) was purchased from</w:t>
      </w:r>
      <w:bookmarkStart w:id="10" w:name="OLE_LINK3"/>
      <w:bookmarkStart w:id="11" w:name="OLE_LINK4"/>
      <w:r>
        <w:rPr>
          <w:rFonts w:eastAsiaTheme="minorEastAsia"/>
          <w:szCs w:val="24"/>
        </w:rPr>
        <w:t xml:space="preserve"> </w:t>
      </w:r>
      <w:proofErr w:type="spellStart"/>
      <w:r>
        <w:rPr>
          <w:rFonts w:eastAsiaTheme="minorEastAsia"/>
          <w:szCs w:val="24"/>
        </w:rPr>
        <w:t>Heraeus</w:t>
      </w:r>
      <w:bookmarkEnd w:id="10"/>
      <w:bookmarkEnd w:id="11"/>
      <w:proofErr w:type="spellEnd"/>
      <w:r w:rsidR="00944F2E">
        <w:rPr>
          <w:rFonts w:eastAsiaTheme="minorEastAsia"/>
          <w:szCs w:val="24"/>
        </w:rPr>
        <w:t>, Germany</w:t>
      </w:r>
      <w:r>
        <w:rPr>
          <w:rFonts w:eastAsiaTheme="minorEastAsia"/>
          <w:szCs w:val="24"/>
        </w:rPr>
        <w:t xml:space="preserve">. </w:t>
      </w:r>
      <w:r w:rsidR="00970080" w:rsidRPr="00970080">
        <w:rPr>
          <w:rFonts w:eastAsiaTheme="minorEastAsia"/>
          <w:szCs w:val="24"/>
        </w:rPr>
        <w:t xml:space="preserve">Dimethyl </w:t>
      </w:r>
      <w:proofErr w:type="spellStart"/>
      <w:r w:rsidR="00970080" w:rsidRPr="00970080">
        <w:rPr>
          <w:rFonts w:eastAsiaTheme="minorEastAsia"/>
          <w:szCs w:val="24"/>
        </w:rPr>
        <w:t>sulfoxide</w:t>
      </w:r>
      <w:proofErr w:type="spellEnd"/>
      <w:r w:rsidR="00970080" w:rsidRPr="00970080">
        <w:rPr>
          <w:rFonts w:eastAsiaTheme="minorEastAsia"/>
          <w:szCs w:val="24"/>
        </w:rPr>
        <w:t xml:space="preserve"> (DMSO)</w:t>
      </w:r>
      <w:r>
        <w:rPr>
          <w:rFonts w:eastAsiaTheme="minorEastAsia"/>
          <w:szCs w:val="24"/>
        </w:rPr>
        <w:t xml:space="preserve"> (99.8%), </w:t>
      </w:r>
      <w:proofErr w:type="spellStart"/>
      <w:r>
        <w:rPr>
          <w:rFonts w:eastAsiaTheme="minorEastAsia"/>
          <w:szCs w:val="24"/>
        </w:rPr>
        <w:t>LiOH</w:t>
      </w:r>
      <w:proofErr w:type="spellEnd"/>
      <w:r>
        <w:rPr>
          <w:rFonts w:eastAsiaTheme="minorEastAsia"/>
          <w:szCs w:val="24"/>
        </w:rPr>
        <w:t xml:space="preserve">, </w:t>
      </w:r>
      <w:proofErr w:type="spellStart"/>
      <w:r>
        <w:rPr>
          <w:rFonts w:eastAsiaTheme="minorEastAsia"/>
          <w:szCs w:val="24"/>
        </w:rPr>
        <w:t>NaOH</w:t>
      </w:r>
      <w:proofErr w:type="spellEnd"/>
      <w:r>
        <w:rPr>
          <w:rFonts w:eastAsiaTheme="minorEastAsia"/>
          <w:szCs w:val="24"/>
        </w:rPr>
        <w:t>, and KOH were purchased from Sigma Aldrich</w:t>
      </w:r>
      <w:r w:rsidR="00970080">
        <w:rPr>
          <w:rFonts w:eastAsiaTheme="minorEastAsia"/>
          <w:szCs w:val="24"/>
        </w:rPr>
        <w:t xml:space="preserve">, </w:t>
      </w:r>
      <w:r w:rsidR="00A62FF4">
        <w:rPr>
          <w:rFonts w:eastAsiaTheme="minorEastAsia"/>
          <w:szCs w:val="24"/>
        </w:rPr>
        <w:t>Germany</w:t>
      </w:r>
      <w:r>
        <w:rPr>
          <w:rFonts w:eastAsiaTheme="minorEastAsia"/>
          <w:szCs w:val="24"/>
        </w:rPr>
        <w:t>.</w:t>
      </w:r>
    </w:p>
    <w:p w14:paraId="31D82C29" w14:textId="5065A11C" w:rsidR="00C53BF1" w:rsidRDefault="00C53BF1" w:rsidP="00C53BF1">
      <w:pPr>
        <w:pStyle w:val="hparagraphindent"/>
        <w:autoSpaceDE w:val="0"/>
        <w:autoSpaceDN w:val="0"/>
        <w:adjustRightInd w:val="0"/>
        <w:snapToGrid w:val="0"/>
        <w:spacing w:before="0" w:line="240" w:lineRule="atLeast"/>
        <w:ind w:firstLineChars="200" w:firstLine="422"/>
        <w:jc w:val="both"/>
        <w:rPr>
          <w:rFonts w:eastAsiaTheme="minorEastAsia"/>
          <w:szCs w:val="24"/>
        </w:rPr>
      </w:pPr>
      <w:r w:rsidRPr="006F72A3">
        <w:rPr>
          <w:rFonts w:eastAsiaTheme="minorEastAsia"/>
          <w:b/>
          <w:bCs/>
          <w:iCs/>
          <w:szCs w:val="24"/>
        </w:rPr>
        <w:t>Film preparation:</w:t>
      </w:r>
      <w:r>
        <w:rPr>
          <w:rFonts w:eastAsiaTheme="minorEastAsia"/>
          <w:szCs w:val="24"/>
        </w:rPr>
        <w:t xml:space="preserve"> The borosilicate glass substrates (17.8 mm × 13.8 mm × 0.7 mm) were sequentially washed using detergent, acetone, and isopropanol. Next, the substrates were dried using a nitrogen gun and treated by </w:t>
      </w:r>
      <w:r w:rsidR="00970080" w:rsidRPr="00970080">
        <w:rPr>
          <w:rFonts w:eastAsiaTheme="minorEastAsia"/>
          <w:szCs w:val="24"/>
        </w:rPr>
        <w:t xml:space="preserve">ultraviolet </w:t>
      </w:r>
      <w:r w:rsidR="00970080">
        <w:rPr>
          <w:rFonts w:eastAsiaTheme="minorEastAsia"/>
          <w:szCs w:val="24"/>
        </w:rPr>
        <w:t>(</w:t>
      </w:r>
      <w:r>
        <w:rPr>
          <w:rFonts w:eastAsiaTheme="minorEastAsia"/>
          <w:szCs w:val="24"/>
        </w:rPr>
        <w:t>UV</w:t>
      </w:r>
      <w:r w:rsidR="00970080">
        <w:rPr>
          <w:rFonts w:eastAsiaTheme="minorEastAsia"/>
          <w:szCs w:val="24"/>
        </w:rPr>
        <w:t>)</w:t>
      </w:r>
      <w:r>
        <w:rPr>
          <w:rFonts w:eastAsiaTheme="minorEastAsia"/>
          <w:szCs w:val="24"/>
        </w:rPr>
        <w:t xml:space="preserve">–ozone for 10 min. The thin films were prepared by spin-coating PH1000-5% DMSO solution on the borosilicate glass. The speed was kept at 2000 </w:t>
      </w:r>
      <w:r w:rsidR="006D29FC">
        <w:rPr>
          <w:rFonts w:eastAsiaTheme="minorEastAsia"/>
          <w:szCs w:val="24"/>
        </w:rPr>
        <w:t>r</w:t>
      </w:r>
      <w:r w:rsidR="006D29FC" w:rsidRPr="00A62FF4">
        <w:rPr>
          <w:rFonts w:eastAsiaTheme="minorEastAsia"/>
          <w:szCs w:val="24"/>
        </w:rPr>
        <w:t>evolutions per minute</w:t>
      </w:r>
      <w:r w:rsidR="006D29FC">
        <w:rPr>
          <w:rFonts w:eastAsiaTheme="minorEastAsia"/>
          <w:szCs w:val="24"/>
        </w:rPr>
        <w:t xml:space="preserve"> (</w:t>
      </w:r>
      <w:r>
        <w:rPr>
          <w:rFonts w:eastAsiaTheme="minorEastAsia"/>
          <w:szCs w:val="24"/>
        </w:rPr>
        <w:t>rpm</w:t>
      </w:r>
      <w:r w:rsidR="006D29FC">
        <w:rPr>
          <w:rFonts w:eastAsiaTheme="minorEastAsia"/>
          <w:szCs w:val="24"/>
        </w:rPr>
        <w:t>)</w:t>
      </w:r>
      <w:r w:rsidR="00A62FF4">
        <w:rPr>
          <w:rFonts w:eastAsiaTheme="minorEastAsia"/>
          <w:szCs w:val="24"/>
        </w:rPr>
        <w:t xml:space="preserve"> </w:t>
      </w:r>
      <w:r>
        <w:rPr>
          <w:rFonts w:eastAsiaTheme="minorEastAsia"/>
          <w:szCs w:val="24"/>
        </w:rPr>
        <w:t>and the thin film was subsequently placed on a 130 °C hot plate for 10 min and then left to cool at room temperature. The film thickness (</w:t>
      </w:r>
      <w:r w:rsidRPr="006F72A3">
        <w:rPr>
          <w:rFonts w:eastAsiaTheme="minorEastAsia"/>
          <w:i/>
          <w:iCs/>
          <w:szCs w:val="24"/>
        </w:rPr>
        <w:t>d</w:t>
      </w:r>
      <w:r>
        <w:rPr>
          <w:rFonts w:eastAsiaTheme="minorEastAsia"/>
          <w:szCs w:val="24"/>
        </w:rPr>
        <w:t xml:space="preserve">) was about 60–65 nm. For the post-treated films, </w:t>
      </w:r>
      <w:r w:rsidR="00097FD3">
        <w:rPr>
          <w:rFonts w:eastAsiaTheme="minorEastAsia"/>
          <w:szCs w:val="24"/>
        </w:rPr>
        <w:t xml:space="preserve">a total of </w:t>
      </w:r>
      <w:r>
        <w:rPr>
          <w:rFonts w:eastAsiaTheme="minorEastAsia"/>
          <w:szCs w:val="24"/>
        </w:rPr>
        <w:t xml:space="preserve">200 </w:t>
      </w:r>
      <w:r>
        <w:rPr>
          <w:rFonts w:ascii="Symbol" w:eastAsia="Times New Roman" w:hAnsi="Symbol"/>
          <w:szCs w:val="24"/>
        </w:rPr>
        <w:t></w:t>
      </w:r>
      <w:r>
        <w:rPr>
          <w:rFonts w:eastAsiaTheme="minorEastAsia"/>
          <w:szCs w:val="24"/>
        </w:rPr>
        <w:t xml:space="preserve">L base solutions were injected onto the pristine film for 1 min. After removing the solvents, deionized water was used to wash the film three times. The film was subsequently placed on a 50 °C hot plate for 1 min to gently remove the remaining water; then the temperature was increased to 130 °C for 10 min. After cooling at room temperature, the final thin-film samples, which were extremely homogeneous, were successfully prepared. For the </w:t>
      </w:r>
      <w:r w:rsidR="00097FD3" w:rsidRPr="00097FD3">
        <w:rPr>
          <w:rFonts w:eastAsiaTheme="minorEastAsia"/>
          <w:szCs w:val="24"/>
        </w:rPr>
        <w:t>ultraviolet-visible-near-infrared (UV-</w:t>
      </w:r>
      <w:proofErr w:type="spellStart"/>
      <w:r w:rsidR="00097FD3" w:rsidRPr="00097FD3">
        <w:rPr>
          <w:rFonts w:eastAsiaTheme="minorEastAsia"/>
          <w:szCs w:val="24"/>
        </w:rPr>
        <w:t>vis</w:t>
      </w:r>
      <w:proofErr w:type="spellEnd"/>
      <w:r w:rsidR="00097FD3" w:rsidRPr="00097FD3">
        <w:rPr>
          <w:rFonts w:eastAsiaTheme="minorEastAsia"/>
          <w:szCs w:val="24"/>
        </w:rPr>
        <w:t>-NIR</w:t>
      </w:r>
      <w:proofErr w:type="gramStart"/>
      <w:r w:rsidR="00097FD3" w:rsidRPr="00097FD3">
        <w:rPr>
          <w:rFonts w:eastAsiaTheme="minorEastAsia"/>
          <w:szCs w:val="24"/>
        </w:rPr>
        <w:t>)</w:t>
      </w:r>
      <w:r>
        <w:rPr>
          <w:rFonts w:eastAsiaTheme="minorEastAsia"/>
          <w:szCs w:val="24"/>
        </w:rPr>
        <w:t>absorption</w:t>
      </w:r>
      <w:proofErr w:type="gramEnd"/>
      <w:r>
        <w:rPr>
          <w:rFonts w:eastAsiaTheme="minorEastAsia"/>
          <w:szCs w:val="24"/>
        </w:rPr>
        <w:t xml:space="preserve"> spectrum, the films were cast on quartz substrates using the same process. All the processes were performed in our lab under stable humidity of around 30%–35%.</w:t>
      </w:r>
    </w:p>
    <w:p w14:paraId="1CA0D4C1" w14:textId="482FF284" w:rsidR="00562452" w:rsidRDefault="00C53BF1" w:rsidP="00C53BF1">
      <w:pPr>
        <w:pStyle w:val="hparagraphindent"/>
        <w:autoSpaceDE w:val="0"/>
        <w:autoSpaceDN w:val="0"/>
        <w:adjustRightInd w:val="0"/>
        <w:snapToGrid w:val="0"/>
        <w:spacing w:before="0" w:line="240" w:lineRule="atLeast"/>
        <w:ind w:firstLineChars="200" w:firstLine="422"/>
        <w:jc w:val="both"/>
        <w:rPr>
          <w:rFonts w:eastAsiaTheme="minorEastAsia"/>
          <w:szCs w:val="24"/>
        </w:rPr>
      </w:pPr>
      <w:r w:rsidRPr="006F72A3">
        <w:rPr>
          <w:rFonts w:eastAsiaTheme="minorEastAsia"/>
          <w:b/>
          <w:bCs/>
          <w:iCs/>
          <w:szCs w:val="24"/>
        </w:rPr>
        <w:t>Characterization of thin films:</w:t>
      </w:r>
      <w:r>
        <w:rPr>
          <w:rFonts w:eastAsiaTheme="minorEastAsia"/>
          <w:szCs w:val="24"/>
        </w:rPr>
        <w:t xml:space="preserve"> The electrical conductivity was measured by an </w:t>
      </w:r>
      <w:proofErr w:type="spellStart"/>
      <w:r>
        <w:rPr>
          <w:rFonts w:eastAsiaTheme="minorEastAsia"/>
          <w:szCs w:val="24"/>
        </w:rPr>
        <w:t>Ossila</w:t>
      </w:r>
      <w:proofErr w:type="spellEnd"/>
      <w:r>
        <w:rPr>
          <w:rFonts w:eastAsiaTheme="minorEastAsia"/>
          <w:szCs w:val="24"/>
        </w:rPr>
        <w:t xml:space="preserve"> four-point probe station. For the </w:t>
      </w:r>
      <w:proofErr w:type="spellStart"/>
      <w:r>
        <w:rPr>
          <w:rFonts w:eastAsiaTheme="minorEastAsia"/>
          <w:szCs w:val="24"/>
        </w:rPr>
        <w:t>Seebeck</w:t>
      </w:r>
      <w:proofErr w:type="spellEnd"/>
      <w:r>
        <w:rPr>
          <w:rFonts w:eastAsiaTheme="minorEastAsia"/>
          <w:szCs w:val="24"/>
        </w:rPr>
        <w:t xml:space="preserve"> coefficient measurements, we kept the setup the same as reported before </w:t>
      </w:r>
      <w:r w:rsidR="00097FD3">
        <w:rPr>
          <w:rFonts w:eastAsiaTheme="minorEastAsia"/>
          <w:szCs w:val="24"/>
        </w:rPr>
        <w:t xml:space="preserve">Ref. </w:t>
      </w:r>
      <w:r>
        <w:rPr>
          <w:rFonts w:eastAsiaTheme="minorEastAsia"/>
          <w:szCs w:val="24"/>
        </w:rPr>
        <w:t>[</w:t>
      </w:r>
      <w:r w:rsidR="00097FD3">
        <w:rPr>
          <w:rStyle w:val="citebib"/>
          <w:rFonts w:eastAsiaTheme="minorEastAsia"/>
          <w:szCs w:val="24"/>
        </w:rPr>
        <w:t>1</w:t>
      </w:r>
      <w:r>
        <w:rPr>
          <w:rFonts w:eastAsiaTheme="minorEastAsia"/>
          <w:szCs w:val="24"/>
        </w:rPr>
        <w:t>]. The variable-temperature conductivity was measured under vacuum in a cryogenic probe station, as reported in our previous work [</w:t>
      </w:r>
      <w:r w:rsidR="00097FD3">
        <w:rPr>
          <w:rStyle w:val="citebib"/>
          <w:rFonts w:eastAsiaTheme="minorEastAsia"/>
          <w:szCs w:val="24"/>
        </w:rPr>
        <w:t>2</w:t>
      </w:r>
      <w:r>
        <w:rPr>
          <w:rFonts w:eastAsiaTheme="minorEastAsia"/>
          <w:szCs w:val="24"/>
        </w:rPr>
        <w:t>]. The UV-</w:t>
      </w:r>
      <w:proofErr w:type="spellStart"/>
      <w:r>
        <w:rPr>
          <w:rFonts w:eastAsiaTheme="minorEastAsia"/>
          <w:szCs w:val="24"/>
        </w:rPr>
        <w:t>vis</w:t>
      </w:r>
      <w:proofErr w:type="spellEnd"/>
      <w:r>
        <w:rPr>
          <w:rFonts w:eastAsiaTheme="minorEastAsia"/>
          <w:szCs w:val="24"/>
        </w:rPr>
        <w:t xml:space="preserve">-NIR absorption spectrum of the solid films was measured using a Shimadzu UV-3600. </w:t>
      </w:r>
      <w:bookmarkStart w:id="12" w:name="OLE_LINK113"/>
      <w:bookmarkStart w:id="13" w:name="OLE_LINK114"/>
      <w:r w:rsidR="0028068C">
        <w:rPr>
          <w:rFonts w:eastAsiaTheme="minorEastAsia"/>
          <w:szCs w:val="24"/>
        </w:rPr>
        <w:t>Attenuated total reflectance Fourier-transform infrared (ATR-FTIR</w:t>
      </w:r>
      <w:proofErr w:type="gramStart"/>
      <w:r w:rsidR="0028068C">
        <w:rPr>
          <w:rFonts w:eastAsiaTheme="minorEastAsia"/>
          <w:szCs w:val="24"/>
        </w:rPr>
        <w:t xml:space="preserve">) </w:t>
      </w:r>
      <w:bookmarkEnd w:id="12"/>
      <w:bookmarkEnd w:id="13"/>
      <w:r>
        <w:rPr>
          <w:rFonts w:eastAsiaTheme="minorEastAsia"/>
          <w:szCs w:val="24"/>
        </w:rPr>
        <w:t xml:space="preserve"> measurement</w:t>
      </w:r>
      <w:proofErr w:type="gramEnd"/>
      <w:r>
        <w:rPr>
          <w:rFonts w:eastAsiaTheme="minorEastAsia"/>
          <w:szCs w:val="24"/>
        </w:rPr>
        <w:t xml:space="preserve"> was carried out with </w:t>
      </w:r>
      <w:bookmarkStart w:id="14" w:name="OLE_LINK5"/>
      <w:bookmarkStart w:id="15" w:name="OLE_LINK6"/>
      <w:r>
        <w:rPr>
          <w:rFonts w:eastAsiaTheme="minorEastAsia"/>
          <w:szCs w:val="24"/>
        </w:rPr>
        <w:t xml:space="preserve">a PIKE </w:t>
      </w:r>
      <w:proofErr w:type="spellStart"/>
      <w:r>
        <w:rPr>
          <w:rFonts w:eastAsiaTheme="minorEastAsia"/>
          <w:szCs w:val="24"/>
        </w:rPr>
        <w:t>MIRacle</w:t>
      </w:r>
      <w:proofErr w:type="spellEnd"/>
      <w:r>
        <w:rPr>
          <w:rFonts w:eastAsiaTheme="minorEastAsia"/>
          <w:szCs w:val="24"/>
        </w:rPr>
        <w:t xml:space="preserve"> ATR</w:t>
      </w:r>
      <w:bookmarkEnd w:id="14"/>
      <w:bookmarkEnd w:id="15"/>
      <w:r>
        <w:rPr>
          <w:rFonts w:eastAsiaTheme="minorEastAsia"/>
          <w:szCs w:val="24"/>
        </w:rPr>
        <w:t xml:space="preserve"> accessory with a diamond prism in a </w:t>
      </w:r>
      <w:bookmarkStart w:id="16" w:name="OLE_LINK7"/>
      <w:bookmarkStart w:id="17" w:name="OLE_LINK8"/>
      <w:r>
        <w:rPr>
          <w:rFonts w:eastAsiaTheme="minorEastAsia"/>
          <w:szCs w:val="24"/>
        </w:rPr>
        <w:t>Vertex 70 spectrometer (</w:t>
      </w:r>
      <w:proofErr w:type="spellStart"/>
      <w:r>
        <w:rPr>
          <w:rFonts w:eastAsiaTheme="minorEastAsia"/>
          <w:szCs w:val="24"/>
        </w:rPr>
        <w:t>Bruker</w:t>
      </w:r>
      <w:proofErr w:type="spellEnd"/>
      <w:r w:rsidR="0028068C">
        <w:rPr>
          <w:rFonts w:eastAsiaTheme="minorEastAsia"/>
          <w:szCs w:val="24"/>
        </w:rPr>
        <w:t>, USA</w:t>
      </w:r>
      <w:r>
        <w:rPr>
          <w:rFonts w:eastAsiaTheme="minorEastAsia"/>
          <w:szCs w:val="24"/>
        </w:rPr>
        <w:t>),</w:t>
      </w:r>
      <w:bookmarkEnd w:id="16"/>
      <w:bookmarkEnd w:id="17"/>
      <w:r>
        <w:rPr>
          <w:rFonts w:eastAsiaTheme="minorEastAsia"/>
          <w:szCs w:val="24"/>
        </w:rPr>
        <w:t xml:space="preserve"> and the system was continuously purged with nitrogen gas (N</w:t>
      </w:r>
      <w:r>
        <w:rPr>
          <w:rFonts w:eastAsiaTheme="minorEastAsia"/>
          <w:szCs w:val="24"/>
          <w:vertAlign w:val="subscript"/>
        </w:rPr>
        <w:t>2</w:t>
      </w:r>
      <w:r>
        <w:rPr>
          <w:rFonts w:eastAsiaTheme="minorEastAsia"/>
          <w:szCs w:val="24"/>
        </w:rPr>
        <w:t>). Infrared (IR) spectra were acquired at a resolution of 4 cm</w:t>
      </w:r>
      <w:r>
        <w:rPr>
          <w:rFonts w:ascii="Symbol" w:eastAsia="Times New Roman" w:hAnsi="Symbol"/>
          <w:szCs w:val="24"/>
          <w:vertAlign w:val="superscript"/>
        </w:rPr>
        <w:t></w:t>
      </w:r>
      <w:r>
        <w:rPr>
          <w:rFonts w:eastAsiaTheme="minorEastAsia"/>
          <w:szCs w:val="24"/>
          <w:vertAlign w:val="superscript"/>
        </w:rPr>
        <w:t>1</w:t>
      </w:r>
      <w:r>
        <w:rPr>
          <w:rFonts w:eastAsiaTheme="minorEastAsia"/>
          <w:szCs w:val="24"/>
        </w:rPr>
        <w:t xml:space="preserve"> and 32 scans were taken between 1800 and 800 cm</w:t>
      </w:r>
      <w:r>
        <w:rPr>
          <w:rFonts w:ascii="Symbol" w:eastAsia="Times New Roman" w:hAnsi="Symbol"/>
          <w:szCs w:val="24"/>
          <w:vertAlign w:val="superscript"/>
        </w:rPr>
        <w:t></w:t>
      </w:r>
      <w:r>
        <w:rPr>
          <w:rFonts w:eastAsiaTheme="minorEastAsia"/>
          <w:szCs w:val="24"/>
          <w:vertAlign w:val="superscript"/>
        </w:rPr>
        <w:t>1</w:t>
      </w:r>
      <w:r>
        <w:rPr>
          <w:rFonts w:eastAsiaTheme="minorEastAsia"/>
          <w:szCs w:val="24"/>
        </w:rPr>
        <w:t xml:space="preserve">. The presented spectra were baseline-corrected using the same rubber band correction for all spectra. The measurements were performed on the </w:t>
      </w:r>
      <w:bookmarkStart w:id="18" w:name="OLE_LINK9"/>
      <w:bookmarkStart w:id="19" w:name="OLE_LINK10"/>
      <w:proofErr w:type="spellStart"/>
      <w:r>
        <w:rPr>
          <w:rFonts w:eastAsiaTheme="minorEastAsia"/>
          <w:szCs w:val="24"/>
        </w:rPr>
        <w:t>diEnviroScope</w:t>
      </w:r>
      <w:proofErr w:type="spellEnd"/>
      <w:r>
        <w:rPr>
          <w:rFonts w:eastAsiaTheme="minorEastAsia"/>
          <w:szCs w:val="24"/>
        </w:rPr>
        <w:t xml:space="preserve"> (</w:t>
      </w:r>
      <w:proofErr w:type="spellStart"/>
      <w:r>
        <w:rPr>
          <w:rFonts w:eastAsiaTheme="minorEastAsia"/>
          <w:szCs w:val="24"/>
        </w:rPr>
        <w:t>V</w:t>
      </w:r>
      <w:r w:rsidR="000215C4">
        <w:rPr>
          <w:rFonts w:eastAsiaTheme="minorEastAsia"/>
          <w:szCs w:val="24"/>
        </w:rPr>
        <w:t>eeco</w:t>
      </w:r>
      <w:proofErr w:type="spellEnd"/>
      <w:r w:rsidR="000215C4">
        <w:rPr>
          <w:rFonts w:eastAsiaTheme="minorEastAsia"/>
          <w:szCs w:val="24"/>
        </w:rPr>
        <w:t>, USA</w:t>
      </w:r>
      <w:r>
        <w:rPr>
          <w:rFonts w:eastAsiaTheme="minorEastAsia"/>
          <w:szCs w:val="24"/>
        </w:rPr>
        <w:t xml:space="preserve">) </w:t>
      </w:r>
      <w:bookmarkEnd w:id="18"/>
      <w:bookmarkEnd w:id="19"/>
      <w:r>
        <w:rPr>
          <w:rFonts w:eastAsiaTheme="minorEastAsia"/>
          <w:szCs w:val="24"/>
        </w:rPr>
        <w:t xml:space="preserve">with </w:t>
      </w:r>
      <w:bookmarkStart w:id="20" w:name="OLE_LINK11"/>
      <w:bookmarkStart w:id="21" w:name="OLE_LINK12"/>
      <w:r>
        <w:rPr>
          <w:rFonts w:eastAsiaTheme="minorEastAsia"/>
          <w:szCs w:val="24"/>
        </w:rPr>
        <w:t>TESP probe</w:t>
      </w:r>
      <w:bookmarkEnd w:id="20"/>
      <w:bookmarkEnd w:id="21"/>
      <w:r>
        <w:rPr>
          <w:rFonts w:eastAsiaTheme="minorEastAsia"/>
          <w:szCs w:val="24"/>
        </w:rPr>
        <w:t>s</w:t>
      </w:r>
      <w:r w:rsidR="000215C4">
        <w:rPr>
          <w:rFonts w:eastAsiaTheme="minorEastAsia"/>
          <w:szCs w:val="24"/>
        </w:rPr>
        <w:t xml:space="preserve"> (</w:t>
      </w:r>
      <w:proofErr w:type="spellStart"/>
      <w:r w:rsidR="00A62FF4" w:rsidRPr="0004241C">
        <w:rPr>
          <w:rFonts w:eastAsiaTheme="minorEastAsia"/>
          <w:szCs w:val="24"/>
        </w:rPr>
        <w:t>Bruker</w:t>
      </w:r>
      <w:proofErr w:type="spellEnd"/>
      <w:r w:rsidR="00A62FF4" w:rsidRPr="0004241C">
        <w:rPr>
          <w:rFonts w:eastAsiaTheme="minorEastAsia"/>
          <w:szCs w:val="24"/>
        </w:rPr>
        <w:t>, USA</w:t>
      </w:r>
      <w:proofErr w:type="gramStart"/>
      <w:r w:rsidR="000215C4">
        <w:rPr>
          <w:rFonts w:eastAsiaTheme="minorEastAsia"/>
          <w:szCs w:val="24"/>
        </w:rPr>
        <w:t xml:space="preserve">) </w:t>
      </w:r>
      <w:r>
        <w:rPr>
          <w:rFonts w:eastAsiaTheme="minorEastAsia"/>
          <w:szCs w:val="24"/>
        </w:rPr>
        <w:t>.</w:t>
      </w:r>
      <w:proofErr w:type="gramEnd"/>
      <w:r>
        <w:rPr>
          <w:rFonts w:eastAsiaTheme="minorEastAsia"/>
          <w:szCs w:val="24"/>
        </w:rPr>
        <w:t xml:space="preserve"> Microscope measurement was performed on a Nikon E200 at </w:t>
      </w:r>
      <w:r w:rsidR="000215C4">
        <w:rPr>
          <w:rFonts w:eastAsiaTheme="minorEastAsia"/>
          <w:szCs w:val="24"/>
        </w:rPr>
        <w:t>ten</w:t>
      </w:r>
      <w:r>
        <w:rPr>
          <w:rFonts w:eastAsiaTheme="minorEastAsia"/>
          <w:szCs w:val="24"/>
        </w:rPr>
        <w:t xml:space="preserve">-fold magnification. For surface morphology measurement, tapping mode </w:t>
      </w:r>
      <w:r w:rsidR="006D29FC" w:rsidRPr="006D29FC">
        <w:rPr>
          <w:rFonts w:eastAsiaTheme="minorEastAsia"/>
          <w:szCs w:val="24"/>
        </w:rPr>
        <w:t xml:space="preserve">atomic force microscopy </w:t>
      </w:r>
      <w:r w:rsidR="006D29FC">
        <w:rPr>
          <w:rFonts w:eastAsiaTheme="minorEastAsia"/>
          <w:szCs w:val="24"/>
        </w:rPr>
        <w:t>(</w:t>
      </w:r>
      <w:r>
        <w:rPr>
          <w:rFonts w:eastAsiaTheme="minorEastAsia"/>
          <w:szCs w:val="24"/>
        </w:rPr>
        <w:t>AFM</w:t>
      </w:r>
      <w:r w:rsidR="006D29FC">
        <w:rPr>
          <w:rFonts w:eastAsiaTheme="minorEastAsia"/>
          <w:szCs w:val="24"/>
        </w:rPr>
        <w:t>)</w:t>
      </w:r>
      <w:r>
        <w:rPr>
          <w:rFonts w:eastAsiaTheme="minorEastAsia"/>
          <w:szCs w:val="24"/>
        </w:rPr>
        <w:t xml:space="preserve"> measurements were performed on a </w:t>
      </w:r>
      <w:proofErr w:type="spellStart"/>
      <w:r>
        <w:rPr>
          <w:rFonts w:eastAsiaTheme="minorEastAsia"/>
          <w:szCs w:val="24"/>
        </w:rPr>
        <w:t>Bruker</w:t>
      </w:r>
      <w:proofErr w:type="spellEnd"/>
      <w:r>
        <w:rPr>
          <w:rFonts w:eastAsiaTheme="minorEastAsia"/>
          <w:szCs w:val="24"/>
        </w:rPr>
        <w:t xml:space="preserve"> AFM multimode MMAFM-2 equipped with a RTESPA-300 probe (resonant frequency 300 kHz, spring constant 40 N</w:t>
      </w:r>
      <w:r w:rsidR="000215C4">
        <w:rPr>
          <w:rFonts w:eastAsiaTheme="minorEastAsia"/>
          <w:szCs w:val="24"/>
        </w:rPr>
        <w:t>·</w:t>
      </w:r>
      <w:r>
        <w:rPr>
          <w:rFonts w:eastAsiaTheme="minorEastAsia"/>
          <w:szCs w:val="24"/>
        </w:rPr>
        <w:t>m</w:t>
      </w:r>
      <w:r w:rsidR="000215C4" w:rsidRPr="0004241C">
        <w:rPr>
          <w:rFonts w:eastAsiaTheme="minorEastAsia"/>
          <w:szCs w:val="24"/>
          <w:vertAlign w:val="superscript"/>
        </w:rPr>
        <w:t>−1</w:t>
      </w:r>
      <w:r>
        <w:rPr>
          <w:rFonts w:eastAsiaTheme="minorEastAsia"/>
          <w:szCs w:val="24"/>
        </w:rPr>
        <w:t xml:space="preserve">, </w:t>
      </w:r>
      <w:proofErr w:type="spellStart"/>
      <w:r>
        <w:rPr>
          <w:rFonts w:eastAsiaTheme="minorEastAsia"/>
          <w:szCs w:val="24"/>
        </w:rPr>
        <w:t>Burker</w:t>
      </w:r>
      <w:proofErr w:type="spellEnd"/>
      <w:r w:rsidR="000215C4">
        <w:rPr>
          <w:rFonts w:eastAsiaTheme="minorEastAsia"/>
          <w:szCs w:val="24"/>
        </w:rPr>
        <w:t>, USA</w:t>
      </w:r>
      <w:r>
        <w:rPr>
          <w:rFonts w:eastAsiaTheme="minorEastAsia"/>
          <w:szCs w:val="24"/>
        </w:rPr>
        <w:t>). The height images and phase images were captured at a scan rate of 0.8 Hz and 640 points</w:t>
      </w:r>
      <w:r w:rsidR="000215C4">
        <w:rPr>
          <w:rFonts w:eastAsiaTheme="minorEastAsia"/>
          <w:szCs w:val="24"/>
        </w:rPr>
        <w:t xml:space="preserve"> per </w:t>
      </w:r>
      <w:r>
        <w:rPr>
          <w:rFonts w:eastAsiaTheme="minorEastAsia"/>
          <w:szCs w:val="24"/>
        </w:rPr>
        <w:t xml:space="preserve">line. The data were analyzed with </w:t>
      </w:r>
      <w:proofErr w:type="spellStart"/>
      <w:r>
        <w:rPr>
          <w:rFonts w:eastAsiaTheme="minorEastAsia"/>
          <w:szCs w:val="24"/>
        </w:rPr>
        <w:t>Nanoscope</w:t>
      </w:r>
      <w:proofErr w:type="spellEnd"/>
      <w:r>
        <w:rPr>
          <w:rFonts w:eastAsiaTheme="minorEastAsia"/>
          <w:szCs w:val="24"/>
        </w:rPr>
        <w:t xml:space="preserve"> Analysis 1.5 (provided by </w:t>
      </w:r>
      <w:proofErr w:type="spellStart"/>
      <w:r>
        <w:rPr>
          <w:rFonts w:eastAsiaTheme="minorEastAsia"/>
          <w:szCs w:val="24"/>
        </w:rPr>
        <w:t>Bruker</w:t>
      </w:r>
      <w:proofErr w:type="spellEnd"/>
      <w:r w:rsidR="000215C4">
        <w:rPr>
          <w:rFonts w:eastAsiaTheme="minorEastAsia"/>
          <w:szCs w:val="24"/>
        </w:rPr>
        <w:t>, USA</w:t>
      </w:r>
      <w:r>
        <w:rPr>
          <w:rFonts w:eastAsiaTheme="minorEastAsia"/>
          <w:szCs w:val="24"/>
        </w:rPr>
        <w:t xml:space="preserve">). To determine the thickness, small scratches were made in the film using a very fine needle. The scan direction was set perpendicular to the scratch direction, allowing the determination of the height of the scratch (and therefore the film thickness). </w:t>
      </w:r>
      <w:r w:rsidR="000215C4" w:rsidRPr="000215C4">
        <w:rPr>
          <w:rFonts w:eastAsiaTheme="minorEastAsia"/>
          <w:szCs w:val="24"/>
        </w:rPr>
        <w:t>Grazing-incidence wide-angle X-ray scattering (GIWAXS)</w:t>
      </w:r>
      <w:r>
        <w:rPr>
          <w:rFonts w:eastAsiaTheme="minorEastAsia"/>
          <w:szCs w:val="24"/>
        </w:rPr>
        <w:t xml:space="preserve"> measurements were performed at the Dutch</w:t>
      </w:r>
      <w:r w:rsidR="000215C4">
        <w:rPr>
          <w:rFonts w:eastAsiaTheme="minorEastAsia"/>
          <w:szCs w:val="24"/>
        </w:rPr>
        <w:t>–</w:t>
      </w:r>
      <w:r>
        <w:rPr>
          <w:rFonts w:eastAsiaTheme="minorEastAsia"/>
          <w:szCs w:val="24"/>
        </w:rPr>
        <w:t xml:space="preserve">Belgian </w:t>
      </w:r>
      <w:proofErr w:type="spellStart"/>
      <w:r>
        <w:rPr>
          <w:rFonts w:eastAsiaTheme="minorEastAsia"/>
          <w:szCs w:val="24"/>
        </w:rPr>
        <w:t>beamline</w:t>
      </w:r>
      <w:proofErr w:type="spellEnd"/>
      <w:r>
        <w:rPr>
          <w:rFonts w:eastAsiaTheme="minorEastAsia"/>
          <w:szCs w:val="24"/>
        </w:rPr>
        <w:t xml:space="preserve"> (DUBBLE) BM26B at the European Synchrotron Radiation Facility (ESRF), Grenoble, France. An X-ray beam with an energy of 12 </w:t>
      </w:r>
      <w:proofErr w:type="spellStart"/>
      <w:r>
        <w:rPr>
          <w:rFonts w:eastAsiaTheme="minorEastAsia"/>
          <w:szCs w:val="24"/>
        </w:rPr>
        <w:t>keV</w:t>
      </w:r>
      <w:proofErr w:type="spellEnd"/>
      <w:r>
        <w:rPr>
          <w:rFonts w:eastAsiaTheme="minorEastAsia"/>
          <w:szCs w:val="24"/>
        </w:rPr>
        <w:t xml:space="preserve"> (</w:t>
      </w:r>
      <w:r w:rsidRPr="0004241C">
        <w:rPr>
          <w:rFonts w:ascii="Symbol" w:eastAsia="Times New Roman" w:hAnsi="Symbol"/>
          <w:i/>
          <w:szCs w:val="24"/>
        </w:rPr>
        <w:t></w:t>
      </w:r>
      <w:r w:rsidR="000215C4">
        <w:rPr>
          <w:rFonts w:ascii="Symbol" w:eastAsia="Times New Roman" w:hAnsi="Symbol"/>
          <w:szCs w:val="24"/>
        </w:rPr>
        <w:t></w:t>
      </w:r>
      <w:r>
        <w:rPr>
          <w:rFonts w:eastAsiaTheme="minorEastAsia"/>
          <w:szCs w:val="24"/>
        </w:rPr>
        <w:t>= 1.033 Å</w:t>
      </w:r>
      <w:r w:rsidR="000215C4">
        <w:rPr>
          <w:rFonts w:eastAsiaTheme="minorEastAsia"/>
          <w:szCs w:val="24"/>
        </w:rPr>
        <w:t xml:space="preserve">, where </w:t>
      </w:r>
      <w:r w:rsidR="000215C4" w:rsidRPr="00815B00">
        <w:rPr>
          <w:rFonts w:ascii="Symbol" w:eastAsia="Times New Roman" w:hAnsi="Symbol"/>
          <w:i/>
          <w:szCs w:val="24"/>
        </w:rPr>
        <w:t></w:t>
      </w:r>
      <w:r w:rsidR="000215C4">
        <w:rPr>
          <w:rFonts w:ascii="Symbol" w:eastAsia="Times New Roman" w:hAnsi="Symbol"/>
          <w:i/>
          <w:szCs w:val="24"/>
        </w:rPr>
        <w:t></w:t>
      </w:r>
      <w:r w:rsidR="00A62FF4">
        <w:rPr>
          <w:rFonts w:eastAsia="Times New Roman"/>
          <w:szCs w:val="24"/>
        </w:rPr>
        <w:t xml:space="preserve">represents the beam </w:t>
      </w:r>
      <w:r w:rsidR="00D66089" w:rsidRPr="0004241C">
        <w:rPr>
          <w:rFonts w:eastAsia="Times New Roman"/>
          <w:szCs w:val="24"/>
        </w:rPr>
        <w:t>wavelength</w:t>
      </w:r>
      <w:r>
        <w:rPr>
          <w:rFonts w:eastAsiaTheme="minorEastAsia"/>
          <w:szCs w:val="24"/>
        </w:rPr>
        <w:t xml:space="preserve">) was used with a sample-to-detector distance of 407.4 mm. GIWAXS frames were collected using a </w:t>
      </w:r>
      <w:bookmarkStart w:id="22" w:name="OLE_LINK13"/>
      <w:bookmarkStart w:id="23" w:name="OLE_LINK14"/>
      <w:r>
        <w:rPr>
          <w:rFonts w:eastAsiaTheme="minorEastAsia"/>
          <w:szCs w:val="24"/>
        </w:rPr>
        <w:t>Pilatus 1M camera</w:t>
      </w:r>
      <w:bookmarkEnd w:id="22"/>
      <w:bookmarkEnd w:id="23"/>
      <w:r>
        <w:rPr>
          <w:rFonts w:eastAsiaTheme="minorEastAsia"/>
          <w:szCs w:val="24"/>
        </w:rPr>
        <w:t xml:space="preserve"> and using an exposure time of 30 s per frame. All the necessary corrections for GIWAXS data have been taken into account (detector efficiency, flat field, solid angle, and polarization). The beam center was estimated using the known position of diffracted rings from standard Silver </w:t>
      </w:r>
      <w:proofErr w:type="spellStart"/>
      <w:r>
        <w:rPr>
          <w:rFonts w:eastAsiaTheme="minorEastAsia"/>
          <w:szCs w:val="24"/>
        </w:rPr>
        <w:lastRenderedPageBreak/>
        <w:t>Behenate</w:t>
      </w:r>
      <w:proofErr w:type="spellEnd"/>
      <w:r>
        <w:rPr>
          <w:rFonts w:eastAsiaTheme="minorEastAsia"/>
          <w:szCs w:val="24"/>
        </w:rPr>
        <w:t xml:space="preserve"> and </w:t>
      </w:r>
      <w:r>
        <w:rPr>
          <w:rFonts w:ascii="Symbol" w:eastAsia="Times New Roman" w:hAnsi="Symbol"/>
          <w:szCs w:val="24"/>
        </w:rPr>
        <w:t></w:t>
      </w:r>
      <w:r>
        <w:rPr>
          <w:rFonts w:eastAsiaTheme="minorEastAsia"/>
          <w:szCs w:val="24"/>
        </w:rPr>
        <w:t>-Al</w:t>
      </w:r>
      <w:r>
        <w:rPr>
          <w:rFonts w:eastAsiaTheme="minorEastAsia"/>
          <w:szCs w:val="24"/>
          <w:vertAlign w:val="subscript"/>
        </w:rPr>
        <w:t>2</w:t>
      </w:r>
      <w:r>
        <w:rPr>
          <w:rFonts w:eastAsiaTheme="minorEastAsia"/>
          <w:szCs w:val="24"/>
        </w:rPr>
        <w:t>O</w:t>
      </w:r>
      <w:r>
        <w:rPr>
          <w:rFonts w:eastAsiaTheme="minorEastAsia"/>
          <w:szCs w:val="24"/>
          <w:vertAlign w:val="subscript"/>
        </w:rPr>
        <w:t>3</w:t>
      </w:r>
      <w:r>
        <w:rPr>
          <w:rFonts w:eastAsiaTheme="minorEastAsia"/>
          <w:szCs w:val="24"/>
        </w:rPr>
        <w:t xml:space="preserve"> powders. The scattering vector </w:t>
      </w:r>
      <w:r>
        <w:rPr>
          <w:rFonts w:eastAsiaTheme="minorEastAsia"/>
          <w:i/>
          <w:szCs w:val="24"/>
        </w:rPr>
        <w:t>q</w:t>
      </w:r>
      <w:r>
        <w:rPr>
          <w:rFonts w:eastAsiaTheme="minorEastAsia"/>
          <w:szCs w:val="24"/>
        </w:rPr>
        <w:t xml:space="preserve"> was defined with respect to the center of the incident beam and has a magnitude of </w:t>
      </w:r>
      <w:r w:rsidRPr="006F72A3">
        <w:rPr>
          <w:rFonts w:eastAsiaTheme="minorEastAsia"/>
          <w:i/>
          <w:iCs/>
          <w:szCs w:val="24"/>
        </w:rPr>
        <w:t>q</w:t>
      </w:r>
      <w:r w:rsidR="00986095">
        <w:rPr>
          <w:rFonts w:eastAsiaTheme="minorEastAsia"/>
          <w:i/>
          <w:iCs/>
          <w:szCs w:val="24"/>
        </w:rPr>
        <w:t xml:space="preserve"> </w:t>
      </w:r>
      <w:r>
        <w:rPr>
          <w:rFonts w:eastAsiaTheme="minorEastAsia"/>
          <w:szCs w:val="24"/>
        </w:rPr>
        <w:t>= (4</w:t>
      </w:r>
      <w:r>
        <w:rPr>
          <w:rFonts w:ascii="Symbol" w:eastAsia="Times New Roman" w:hAnsi="Symbol"/>
          <w:szCs w:val="24"/>
        </w:rPr>
        <w:t></w:t>
      </w:r>
      <w:r>
        <w:rPr>
          <w:rFonts w:eastAsiaTheme="minorEastAsia"/>
          <w:szCs w:val="24"/>
        </w:rPr>
        <w:t>/</w:t>
      </w:r>
      <w:r w:rsidRPr="0004241C">
        <w:rPr>
          <w:rFonts w:ascii="Symbol" w:eastAsia="Times New Roman" w:hAnsi="Symbol"/>
          <w:i/>
          <w:szCs w:val="24"/>
        </w:rPr>
        <w:t></w:t>
      </w:r>
      <w:proofErr w:type="gramStart"/>
      <w:r>
        <w:rPr>
          <w:rFonts w:eastAsiaTheme="minorEastAsia"/>
          <w:szCs w:val="24"/>
        </w:rPr>
        <w:t>)sin</w:t>
      </w:r>
      <w:proofErr w:type="gramEnd"/>
      <w:r>
        <w:rPr>
          <w:rFonts w:eastAsiaTheme="minorEastAsia"/>
          <w:szCs w:val="24"/>
        </w:rPr>
        <w:t>(</w:t>
      </w:r>
      <w:r w:rsidR="00562452">
        <w:rPr>
          <w:rFonts w:eastAsiaTheme="minorEastAsia"/>
          <w:szCs w:val="24"/>
        </w:rPr>
        <w:t>2</w:t>
      </w:r>
      <w:r w:rsidRPr="0004241C">
        <w:rPr>
          <w:rFonts w:ascii="Symbol" w:eastAsia="Times New Roman" w:hAnsi="Symbol"/>
          <w:i/>
          <w:szCs w:val="24"/>
        </w:rPr>
        <w:t></w:t>
      </w:r>
      <w:r w:rsidR="00562452">
        <w:rPr>
          <w:rFonts w:ascii="Symbol" w:eastAsia="Times New Roman" w:hAnsi="Symbol"/>
          <w:i/>
          <w:szCs w:val="24"/>
        </w:rPr>
        <w:t></w:t>
      </w:r>
      <w:r w:rsidR="00562452" w:rsidRPr="006D29FC">
        <w:rPr>
          <w:rFonts w:ascii="Symbol" w:eastAsia="Times New Roman" w:hAnsi="Symbol"/>
          <w:szCs w:val="24"/>
        </w:rPr>
        <w:t></w:t>
      </w:r>
      <w:r>
        <w:rPr>
          <w:rFonts w:eastAsiaTheme="minorEastAsia"/>
          <w:szCs w:val="24"/>
        </w:rPr>
        <w:t>), where 2</w:t>
      </w:r>
      <w:r w:rsidRPr="0004241C">
        <w:rPr>
          <w:rFonts w:ascii="Symbol" w:eastAsia="Times New Roman" w:hAnsi="Symbol"/>
          <w:i/>
          <w:szCs w:val="24"/>
        </w:rPr>
        <w:t></w:t>
      </w:r>
      <w:r>
        <w:rPr>
          <w:rFonts w:eastAsiaTheme="minorEastAsia"/>
          <w:szCs w:val="24"/>
        </w:rPr>
        <w:t xml:space="preserve"> is the scattering angle of the X-ray beam. Herein, we opted to present the wedge-shaped corrected images, where </w:t>
      </w:r>
      <w:proofErr w:type="spellStart"/>
      <w:r>
        <w:rPr>
          <w:rFonts w:eastAsiaTheme="minorEastAsia"/>
          <w:i/>
          <w:szCs w:val="24"/>
        </w:rPr>
        <w:t>q</w:t>
      </w:r>
      <w:r w:rsidRPr="0004241C">
        <w:rPr>
          <w:rFonts w:eastAsiaTheme="minorEastAsia"/>
          <w:i/>
          <w:szCs w:val="24"/>
          <w:vertAlign w:val="subscript"/>
        </w:rPr>
        <w:t>xy</w:t>
      </w:r>
      <w:proofErr w:type="spellEnd"/>
      <w:r>
        <w:rPr>
          <w:rFonts w:eastAsiaTheme="minorEastAsia"/>
          <w:szCs w:val="24"/>
        </w:rPr>
        <w:t xml:space="preserve"> and </w:t>
      </w:r>
      <w:proofErr w:type="spellStart"/>
      <w:r>
        <w:rPr>
          <w:rFonts w:eastAsiaTheme="minorEastAsia"/>
          <w:i/>
          <w:szCs w:val="24"/>
        </w:rPr>
        <w:t>q</w:t>
      </w:r>
      <w:r w:rsidRPr="0004241C">
        <w:rPr>
          <w:rFonts w:eastAsiaTheme="minorEastAsia"/>
          <w:i/>
          <w:szCs w:val="24"/>
          <w:vertAlign w:val="subscript"/>
        </w:rPr>
        <w:t>z</w:t>
      </w:r>
      <w:proofErr w:type="spellEnd"/>
      <w:r>
        <w:rPr>
          <w:rFonts w:eastAsiaTheme="minorEastAsia"/>
          <w:szCs w:val="24"/>
        </w:rPr>
        <w:t xml:space="preserve"> are the in-plane and near-out-of-plane scattering vectors, respectively. The scattering vectors are defined as follows:</w:t>
      </w:r>
    </w:p>
    <w:p w14:paraId="07BD1323" w14:textId="27EB9321" w:rsidR="00562452" w:rsidRDefault="00562452" w:rsidP="003779A0">
      <w:pPr>
        <w:pStyle w:val="hparagraphindent"/>
        <w:wordWrap w:val="0"/>
        <w:autoSpaceDE w:val="0"/>
        <w:autoSpaceDN w:val="0"/>
        <w:adjustRightInd w:val="0"/>
        <w:snapToGrid w:val="0"/>
        <w:spacing w:before="0" w:line="240" w:lineRule="atLeast"/>
        <w:ind w:firstLineChars="200" w:firstLine="420"/>
        <w:jc w:val="right"/>
        <w:rPr>
          <w:rFonts w:eastAsiaTheme="minorEastAsia"/>
          <w:szCs w:val="24"/>
        </w:rPr>
      </w:pPr>
      <m:oMath>
        <m:r>
          <w:rPr>
            <w:rFonts w:ascii="Cambria Math" w:hAnsi="Cambria Math"/>
          </w:rPr>
          <m:t>q=</m:t>
        </m:r>
        <m:d>
          <m:dPr>
            <m:begChr m:val="{"/>
            <m:endChr m:val=""/>
            <m:ctrlPr>
              <w:rPr>
                <w:rFonts w:ascii="Cambria Math" w:hAnsi="Cambria Math"/>
                <w:i/>
              </w:rPr>
            </m:ctrlPr>
          </m:dPr>
          <m:e>
            <m:eqArr>
              <m:eqArrPr>
                <m:ctrlPr>
                  <w:rPr>
                    <w:rFonts w:ascii="Cambria Math" w:hAnsi="Cambria Math"/>
                    <w:i/>
                  </w:rPr>
                </m:ctrlPr>
              </m:eqArrPr>
              <m:e>
                <m:sSub>
                  <m:sSubPr>
                    <m:ctrlPr>
                      <w:rPr>
                        <w:rFonts w:ascii="Cambria Math" w:hAnsi="Cambria Math"/>
                        <w:i/>
                      </w:rPr>
                    </m:ctrlPr>
                  </m:sSubPr>
                  <m:e>
                    <m:r>
                      <w:rPr>
                        <w:rFonts w:ascii="Cambria Math" w:hAnsi="Cambria Math"/>
                      </w:rPr>
                      <m:t>q</m:t>
                    </m:r>
                  </m:e>
                  <m:sub>
                    <m:r>
                      <w:rPr>
                        <w:rFonts w:ascii="Cambria Math" w:hAnsi="Cambria Math"/>
                      </w:rPr>
                      <m:t>x</m:t>
                    </m:r>
                  </m:sub>
                </m:sSub>
                <m:r>
                  <w:rPr>
                    <w:rFonts w:ascii="Cambria Math" w:hAnsi="Cambria Math"/>
                  </w:rPr>
                  <m:t>=</m:t>
                </m:r>
                <m:f>
                  <m:fPr>
                    <m:ctrlPr>
                      <w:rPr>
                        <w:rFonts w:ascii="Cambria Math" w:hAnsi="Cambria Math"/>
                        <w:i/>
                      </w:rPr>
                    </m:ctrlPr>
                  </m:fPr>
                  <m:num>
                    <m:r>
                      <w:rPr>
                        <w:rFonts w:ascii="Cambria Math" w:hAnsi="Cambria Math"/>
                      </w:rPr>
                      <m:t>2</m:t>
                    </m:r>
                    <m:r>
                      <m:rPr>
                        <m:sty m:val="p"/>
                      </m:rPr>
                      <w:rPr>
                        <w:rFonts w:ascii="Cambria Math" w:hAnsi="Cambria Math"/>
                      </w:rPr>
                      <m:t>π</m:t>
                    </m:r>
                  </m:num>
                  <m:den>
                    <m:r>
                      <w:rPr>
                        <w:rFonts w:ascii="Cambria Math" w:hAnsi="Cambria Math"/>
                      </w:rPr>
                      <m:t>λ</m:t>
                    </m:r>
                  </m:den>
                </m:f>
                <m:d>
                  <m:dPr>
                    <m:ctrlPr>
                      <w:rPr>
                        <w:rFonts w:ascii="Cambria Math" w:hAnsi="Cambria Math"/>
                        <w:i/>
                      </w:rPr>
                    </m:ctrlPr>
                  </m:dPr>
                  <m:e>
                    <m:r>
                      <m:rPr>
                        <m:sty m:val="p"/>
                      </m:rPr>
                      <w:rPr>
                        <w:rFonts w:ascii="Cambria Math" w:hAnsi="Cambria Math"/>
                      </w:rPr>
                      <m:t>cos⁡</m:t>
                    </m:r>
                    <m:r>
                      <w:rPr>
                        <w:rFonts w:ascii="Cambria Math" w:hAnsi="Cambria Math"/>
                      </w:rPr>
                      <m:t>(2</m:t>
                    </m:r>
                    <m:sSub>
                      <m:sSubPr>
                        <m:ctrlPr>
                          <w:rPr>
                            <w:rFonts w:ascii="Cambria Math" w:hAnsi="Cambria Math"/>
                            <w:i/>
                          </w:rPr>
                        </m:ctrlPr>
                      </m:sSubPr>
                      <m:e>
                        <m:r>
                          <w:rPr>
                            <w:rFonts w:ascii="Cambria Math" w:hAnsi="Cambria Math"/>
                          </w:rPr>
                          <m:t>θ</m:t>
                        </m:r>
                      </m:e>
                      <m:sub>
                        <m:r>
                          <m:rPr>
                            <m:sty m:val="p"/>
                          </m:rPr>
                          <w:rPr>
                            <w:rFonts w:ascii="Cambria Math" w:hAnsi="Cambria Math"/>
                          </w:rPr>
                          <m:t>f</m:t>
                        </m:r>
                      </m:sub>
                    </m:sSub>
                    <m:r>
                      <w:rPr>
                        <w:rFonts w:ascii="Cambria Math" w:hAnsi="Cambria Math"/>
                      </w:rPr>
                      <m:t>)</m:t>
                    </m:r>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α</m:t>
                                </m:r>
                              </m:e>
                              <m:sub>
                                <m:r>
                                  <m:rPr>
                                    <m:sty m:val="p"/>
                                  </m:rPr>
                                  <w:rPr>
                                    <w:rFonts w:ascii="Cambria Math" w:hAnsi="Cambria Math"/>
                                  </w:rPr>
                                  <m:t>f</m:t>
                                </m:r>
                              </m:sub>
                            </m:sSub>
                          </m:e>
                        </m:d>
                      </m:e>
                    </m:func>
                    <m:r>
                      <w:rPr>
                        <w:rFonts w:ascii="Cambria Math" w:hAnsi="Cambria Math"/>
                      </w:rPr>
                      <m:t>-</m:t>
                    </m:r>
                    <m:r>
                      <m:rPr>
                        <m:sty m:val="p"/>
                      </m:rPr>
                      <w:rPr>
                        <w:rFonts w:ascii="Cambria Math" w:hAnsi="Cambria Math"/>
                      </w:rPr>
                      <m:t>cos⁡</m:t>
                    </m:r>
                    <m:r>
                      <w:rPr>
                        <w:rFonts w:ascii="Cambria Math" w:hAnsi="Cambria Math"/>
                      </w:rPr>
                      <m:t>(</m:t>
                    </m:r>
                    <m:sSub>
                      <m:sSubPr>
                        <m:ctrlPr>
                          <w:rPr>
                            <w:rFonts w:ascii="Cambria Math" w:hAnsi="Cambria Math"/>
                          </w:rPr>
                        </m:ctrlPr>
                      </m:sSubPr>
                      <m:e>
                        <m:r>
                          <w:rPr>
                            <w:rFonts w:ascii="Cambria Math" w:hAnsi="Cambria Math"/>
                          </w:rPr>
                          <m:t>α</m:t>
                        </m:r>
                      </m:e>
                      <m:sub>
                        <m:r>
                          <m:rPr>
                            <m:sty m:val="p"/>
                          </m:rPr>
                          <w:rPr>
                            <w:rFonts w:ascii="Cambria Math" w:hAnsi="Cambria Math"/>
                          </w:rPr>
                          <m:t>i</m:t>
                        </m:r>
                      </m:sub>
                    </m:sSub>
                    <m:r>
                      <w:rPr>
                        <w:rFonts w:ascii="Cambria Math" w:hAnsi="Cambria Math"/>
                      </w:rPr>
                      <m:t>)</m:t>
                    </m:r>
                  </m:e>
                </m:d>
              </m:e>
              <m:e>
                <m:sSub>
                  <m:sSubPr>
                    <m:ctrlPr>
                      <w:rPr>
                        <w:rFonts w:ascii="Cambria Math" w:hAnsi="Cambria Math"/>
                        <w:i/>
                      </w:rPr>
                    </m:ctrlPr>
                  </m:sSubPr>
                  <m:e>
                    <m:r>
                      <w:rPr>
                        <w:rFonts w:ascii="Cambria Math" w:hAnsi="Cambria Math"/>
                      </w:rPr>
                      <m:t>q</m:t>
                    </m:r>
                  </m:e>
                  <m:sub>
                    <m:r>
                      <w:rPr>
                        <w:rFonts w:ascii="Cambria Math" w:hAnsi="Cambria Math"/>
                      </w:rPr>
                      <m:t>y</m:t>
                    </m:r>
                  </m:sub>
                </m:sSub>
                <m:r>
                  <w:rPr>
                    <w:rFonts w:ascii="Cambria Math" w:hAnsi="Cambria Math"/>
                  </w:rPr>
                  <m:t>=</m:t>
                </m:r>
                <m:f>
                  <m:fPr>
                    <m:ctrlPr>
                      <w:rPr>
                        <w:rFonts w:ascii="Cambria Math" w:hAnsi="Cambria Math"/>
                        <w:i/>
                      </w:rPr>
                    </m:ctrlPr>
                  </m:fPr>
                  <m:num>
                    <m:r>
                      <m:rPr>
                        <m:sty m:val="p"/>
                      </m:rPr>
                      <w:rPr>
                        <w:rFonts w:ascii="Cambria Math" w:hAnsi="Cambria Math"/>
                      </w:rPr>
                      <m:t>2π</m:t>
                    </m:r>
                  </m:num>
                  <m:den>
                    <m:r>
                      <w:rPr>
                        <w:rFonts w:ascii="Cambria Math" w:hAnsi="Cambria Math"/>
                      </w:rPr>
                      <m:t>λ</m:t>
                    </m:r>
                  </m:den>
                </m:f>
                <m:d>
                  <m:dPr>
                    <m:ctrlPr>
                      <w:rPr>
                        <w:rFonts w:ascii="Cambria Math" w:hAnsi="Cambria Math"/>
                        <w:i/>
                      </w:rPr>
                    </m:ctrlPr>
                  </m:dPr>
                  <m:e>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2</m:t>
                            </m:r>
                            <m:sSub>
                              <m:sSubPr>
                                <m:ctrlPr>
                                  <w:rPr>
                                    <w:rFonts w:ascii="Cambria Math" w:hAnsi="Cambria Math"/>
                                    <w:i/>
                                  </w:rPr>
                                </m:ctrlPr>
                              </m:sSubPr>
                              <m:e>
                                <m:r>
                                  <w:rPr>
                                    <w:rFonts w:ascii="Cambria Math" w:hAnsi="Cambria Math"/>
                                  </w:rPr>
                                  <m:t>θ</m:t>
                                </m:r>
                              </m:e>
                              <m:sub>
                                <m:r>
                                  <m:rPr>
                                    <m:sty m:val="p"/>
                                  </m:rPr>
                                  <w:rPr>
                                    <w:rFonts w:ascii="Cambria Math" w:hAnsi="Cambria Math"/>
                                  </w:rPr>
                                  <m:t>f</m:t>
                                </m:r>
                              </m:sub>
                            </m:sSub>
                          </m:e>
                        </m:d>
                      </m:e>
                    </m:func>
                    <m:func>
                      <m:funcPr>
                        <m:ctrlPr>
                          <w:rPr>
                            <w:rFonts w:ascii="Cambria Math" w:hAnsi="Cambria Math"/>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α</m:t>
                                </m:r>
                              </m:e>
                              <m:sub>
                                <m:r>
                                  <m:rPr>
                                    <m:sty m:val="p"/>
                                  </m:rPr>
                                  <w:rPr>
                                    <w:rFonts w:ascii="Cambria Math" w:hAnsi="Cambria Math"/>
                                  </w:rPr>
                                  <m:t>f</m:t>
                                </m:r>
                              </m:sub>
                            </m:sSub>
                          </m:e>
                        </m:d>
                      </m:e>
                    </m:func>
                  </m:e>
                </m:d>
                <m:ctrlPr>
                  <w:rPr>
                    <w:rFonts w:ascii="Cambria Math" w:eastAsia="Cambria Math" w:hAnsi="Cambria Math"/>
                    <w:i/>
                  </w:rPr>
                </m:ctrlPr>
              </m:e>
              <m:e>
                <m:sSub>
                  <m:sSubPr>
                    <m:ctrlPr>
                      <w:rPr>
                        <w:rFonts w:ascii="Cambria Math" w:hAnsi="Cambria Math"/>
                        <w:i/>
                      </w:rPr>
                    </m:ctrlPr>
                  </m:sSubPr>
                  <m:e>
                    <m:r>
                      <w:rPr>
                        <w:rFonts w:ascii="Cambria Math" w:hAnsi="Cambria Math"/>
                      </w:rPr>
                      <m:t>q</m:t>
                    </m:r>
                  </m:e>
                  <m:sub>
                    <m:r>
                      <w:rPr>
                        <w:rFonts w:ascii="Cambria Math" w:hAnsi="Cambria Math"/>
                      </w:rPr>
                      <m:t>z</m:t>
                    </m:r>
                  </m:sub>
                </m:sSub>
                <m:r>
                  <w:rPr>
                    <w:rFonts w:ascii="Cambria Math" w:hAnsi="Cambria Math"/>
                  </w:rPr>
                  <m:t>=</m:t>
                </m:r>
                <m:f>
                  <m:fPr>
                    <m:ctrlPr>
                      <w:rPr>
                        <w:rFonts w:ascii="Cambria Math" w:hAnsi="Cambria Math"/>
                        <w:i/>
                      </w:rPr>
                    </m:ctrlPr>
                  </m:fPr>
                  <m:num>
                    <m:r>
                      <m:rPr>
                        <m:sty m:val="p"/>
                      </m:rPr>
                      <w:rPr>
                        <w:rFonts w:ascii="Cambria Math" w:hAnsi="Cambria Math"/>
                      </w:rPr>
                      <m:t>2π</m:t>
                    </m:r>
                  </m:num>
                  <m:den>
                    <m:r>
                      <w:rPr>
                        <w:rFonts w:ascii="Cambria Math" w:hAnsi="Cambria Math"/>
                      </w:rPr>
                      <m:t>λ</m:t>
                    </m:r>
                  </m:den>
                </m:f>
                <m:d>
                  <m:dPr>
                    <m:ctrlPr>
                      <w:rPr>
                        <w:rFonts w:ascii="Cambria Math" w:hAnsi="Cambria Math"/>
                        <w:i/>
                      </w:rPr>
                    </m:ctrlPr>
                  </m:dPr>
                  <m:e>
                    <m:func>
                      <m:funcPr>
                        <m:ctrlPr>
                          <w:rPr>
                            <w:rFonts w:ascii="Cambria Math" w:hAnsi="Cambria Math"/>
                          </w:rPr>
                        </m:ctrlPr>
                      </m:funcPr>
                      <m:fName>
                        <m:r>
                          <m:rPr>
                            <m:sty m:val="p"/>
                          </m:rPr>
                          <w:rPr>
                            <w:rFonts w:ascii="Cambria Math" w:hAnsi="Cambria Math"/>
                          </w:rPr>
                          <m:t>sin</m:t>
                        </m:r>
                      </m:fName>
                      <m:e>
                        <m:d>
                          <m:dPr>
                            <m:ctrlPr>
                              <w:rPr>
                                <w:rFonts w:ascii="Cambria Math" w:hAnsi="Cambria Math"/>
                                <w:i/>
                              </w:rPr>
                            </m:ctrlPr>
                          </m:dPr>
                          <m:e>
                            <m:sSub>
                              <m:sSubPr>
                                <m:ctrlPr>
                                  <w:rPr>
                                    <w:rFonts w:ascii="Cambria Math" w:hAnsi="Cambria Math"/>
                                  </w:rPr>
                                </m:ctrlPr>
                              </m:sSubPr>
                              <m:e>
                                <m:r>
                                  <w:rPr>
                                    <w:rFonts w:ascii="Cambria Math" w:hAnsi="Cambria Math"/>
                                  </w:rPr>
                                  <m:t>α</m:t>
                                </m:r>
                              </m:e>
                              <m:sub>
                                <m:r>
                                  <m:rPr>
                                    <m:sty m:val="p"/>
                                  </m:rPr>
                                  <w:rPr>
                                    <w:rFonts w:ascii="Cambria Math" w:hAnsi="Cambria Math"/>
                                  </w:rPr>
                                  <m:t>i</m:t>
                                </m:r>
                              </m:sub>
                            </m:sSub>
                          </m:e>
                        </m:d>
                      </m:e>
                    </m:func>
                    <m:r>
                      <w:rPr>
                        <w:rFonts w:ascii="Cambria Math" w:hAnsi="Cambria Math"/>
                      </w:rPr>
                      <m:t>+</m:t>
                    </m:r>
                    <m:r>
                      <m:rPr>
                        <m:sty m:val="p"/>
                      </m:rPr>
                      <w:rPr>
                        <w:rFonts w:ascii="Cambria Math" w:hAnsi="Cambria Math"/>
                      </w:rPr>
                      <m:t>sin⁡</m:t>
                    </m:r>
                    <m:r>
                      <w:rPr>
                        <w:rFonts w:ascii="Cambria Math" w:hAnsi="Cambria Math"/>
                      </w:rPr>
                      <m:t>(</m:t>
                    </m:r>
                    <m:sSub>
                      <m:sSubPr>
                        <m:ctrlPr>
                          <w:rPr>
                            <w:rFonts w:ascii="Cambria Math" w:hAnsi="Cambria Math"/>
                            <w:i/>
                          </w:rPr>
                        </m:ctrlPr>
                      </m:sSubPr>
                      <m:e>
                        <m:r>
                          <w:rPr>
                            <w:rFonts w:ascii="Cambria Math" w:hAnsi="Cambria Math"/>
                          </w:rPr>
                          <m:t>α</m:t>
                        </m:r>
                      </m:e>
                      <m:sub>
                        <m:r>
                          <m:rPr>
                            <m:sty m:val="p"/>
                          </m:rPr>
                          <w:rPr>
                            <w:rFonts w:ascii="Cambria Math" w:hAnsi="Cambria Math"/>
                          </w:rPr>
                          <m:t>f</m:t>
                        </m:r>
                      </m:sub>
                    </m:sSub>
                    <m:r>
                      <w:rPr>
                        <w:rFonts w:ascii="Cambria Math" w:hAnsi="Cambria Math"/>
                      </w:rPr>
                      <m:t>)</m:t>
                    </m:r>
                  </m:e>
                </m:d>
              </m:e>
            </m:eqArr>
          </m:e>
        </m:d>
      </m:oMath>
      <w:r w:rsidR="001118A9">
        <w:rPr>
          <w:rFonts w:eastAsiaTheme="minorEastAsia"/>
          <w:szCs w:val="24"/>
        </w:rPr>
        <w:t xml:space="preserve">                    (1)</w:t>
      </w:r>
    </w:p>
    <w:p w14:paraId="289C3DB7" w14:textId="71007FD9" w:rsidR="00562452" w:rsidRDefault="00C53BF1" w:rsidP="00562452">
      <w:pPr>
        <w:pStyle w:val="hparagraphindent"/>
        <w:autoSpaceDE w:val="0"/>
        <w:autoSpaceDN w:val="0"/>
        <w:adjustRightInd w:val="0"/>
        <w:snapToGrid w:val="0"/>
        <w:spacing w:before="0" w:line="240" w:lineRule="atLeast"/>
        <w:ind w:firstLineChars="0" w:firstLine="0"/>
        <w:jc w:val="both"/>
        <w:rPr>
          <w:rFonts w:eastAsiaTheme="minorEastAsia"/>
          <w:szCs w:val="24"/>
        </w:rPr>
      </w:pPr>
      <w:proofErr w:type="gramStart"/>
      <w:r>
        <w:rPr>
          <w:rFonts w:eastAsiaTheme="minorEastAsia"/>
          <w:szCs w:val="24"/>
        </w:rPr>
        <w:t>where</w:t>
      </w:r>
      <w:proofErr w:type="gramEnd"/>
      <w:r>
        <w:rPr>
          <w:rFonts w:eastAsiaTheme="minorEastAsia"/>
          <w:szCs w:val="24"/>
        </w:rPr>
        <w:t xml:space="preserve"> </w:t>
      </w:r>
      <w:r w:rsidRPr="0004241C">
        <w:rPr>
          <w:rFonts w:ascii="Symbol" w:eastAsia="Times New Roman" w:hAnsi="Symbol"/>
          <w:i/>
          <w:szCs w:val="24"/>
        </w:rPr>
        <w:t></w:t>
      </w:r>
      <w:r>
        <w:rPr>
          <w:rFonts w:eastAsiaTheme="minorEastAsia"/>
          <w:szCs w:val="24"/>
          <w:vertAlign w:val="subscript"/>
        </w:rPr>
        <w:t>f</w:t>
      </w:r>
      <w:r>
        <w:rPr>
          <w:rFonts w:eastAsiaTheme="minorEastAsia"/>
          <w:szCs w:val="24"/>
        </w:rPr>
        <w:t xml:space="preserve"> is the exit angle in the vertical direction</w:t>
      </w:r>
      <w:r w:rsidR="00562452">
        <w:rPr>
          <w:rFonts w:eastAsiaTheme="minorEastAsia"/>
          <w:szCs w:val="24"/>
        </w:rPr>
        <w:t xml:space="preserve">, </w:t>
      </w:r>
      <w:r w:rsidR="00562452" w:rsidRPr="00C63AD6">
        <w:rPr>
          <w:rFonts w:ascii="Symbol" w:eastAsia="Times New Roman" w:hAnsi="Symbol"/>
          <w:i/>
          <w:szCs w:val="24"/>
        </w:rPr>
        <w:t></w:t>
      </w:r>
      <w:proofErr w:type="spellStart"/>
      <w:r w:rsidR="00562452">
        <w:rPr>
          <w:rFonts w:eastAsiaTheme="minorEastAsia"/>
          <w:szCs w:val="24"/>
          <w:vertAlign w:val="subscript"/>
        </w:rPr>
        <w:t>i</w:t>
      </w:r>
      <w:proofErr w:type="spellEnd"/>
      <w:r>
        <w:rPr>
          <w:rFonts w:eastAsiaTheme="minorEastAsia"/>
          <w:szCs w:val="24"/>
        </w:rPr>
        <w:t xml:space="preserve"> </w:t>
      </w:r>
      <w:r w:rsidR="00562452">
        <w:rPr>
          <w:rFonts w:eastAsiaTheme="minorEastAsia"/>
          <w:szCs w:val="24"/>
        </w:rPr>
        <w:t>is the incident angle</w:t>
      </w:r>
      <w:r w:rsidR="006D29FC">
        <w:rPr>
          <w:rFonts w:eastAsiaTheme="minorEastAsia"/>
          <w:szCs w:val="24"/>
        </w:rPr>
        <w:t>,</w:t>
      </w:r>
      <w:r w:rsidR="00562452">
        <w:rPr>
          <w:rFonts w:eastAsiaTheme="minorEastAsia"/>
          <w:szCs w:val="24"/>
        </w:rPr>
        <w:t xml:space="preserve"> </w:t>
      </w:r>
      <w:r>
        <w:rPr>
          <w:rFonts w:eastAsiaTheme="minorEastAsia"/>
          <w:szCs w:val="24"/>
        </w:rPr>
        <w:t>and 2</w:t>
      </w:r>
      <w:r>
        <w:rPr>
          <w:rFonts w:ascii="Symbol" w:eastAsia="Times New Roman" w:hAnsi="Symbol"/>
          <w:i/>
          <w:szCs w:val="24"/>
        </w:rPr>
        <w:t></w:t>
      </w:r>
      <w:r>
        <w:rPr>
          <w:rFonts w:eastAsiaTheme="minorEastAsia"/>
          <w:szCs w:val="24"/>
          <w:vertAlign w:val="subscript"/>
        </w:rPr>
        <w:t>f</w:t>
      </w:r>
      <w:r>
        <w:rPr>
          <w:rFonts w:eastAsiaTheme="minorEastAsia"/>
          <w:szCs w:val="24"/>
        </w:rPr>
        <w:t xml:space="preserve"> is the in-plane scattering angle, in agreement with standard GIWAXS notation. </w:t>
      </w:r>
      <w:r w:rsidR="00562452">
        <w:rPr>
          <w:rFonts w:eastAsiaTheme="minorEastAsia"/>
          <w:szCs w:val="24"/>
        </w:rPr>
        <w:t xml:space="preserve">The parallel component of the scattering vector </w:t>
      </w:r>
      <w:r w:rsidR="006D29FC">
        <w:rPr>
          <w:rFonts w:eastAsiaTheme="minorEastAsia"/>
          <w:szCs w:val="24"/>
        </w:rPr>
        <w:t>(</w:t>
      </w:r>
      <w:proofErr w:type="spellStart"/>
      <w:proofErr w:type="gramStart"/>
      <w:r w:rsidR="006D29FC" w:rsidRPr="00C96854">
        <w:rPr>
          <w:rFonts w:eastAsiaTheme="minorEastAsia"/>
          <w:i/>
          <w:szCs w:val="24"/>
        </w:rPr>
        <w:t>q</w:t>
      </w:r>
      <w:r w:rsidR="006D29FC" w:rsidRPr="00C96854">
        <w:rPr>
          <w:rFonts w:eastAsiaTheme="minorEastAsia"/>
          <w:szCs w:val="24"/>
          <w:vertAlign w:val="subscript"/>
        </w:rPr>
        <w:t>r</w:t>
      </w:r>
      <w:proofErr w:type="spellEnd"/>
      <w:proofErr w:type="gramEnd"/>
      <w:r w:rsidR="006D29FC">
        <w:rPr>
          <w:rFonts w:eastAsiaTheme="minorEastAsia"/>
          <w:szCs w:val="24"/>
        </w:rPr>
        <w:t xml:space="preserve">) </w:t>
      </w:r>
      <w:r w:rsidR="00562452">
        <w:rPr>
          <w:rFonts w:eastAsiaTheme="minorEastAsia"/>
          <w:szCs w:val="24"/>
        </w:rPr>
        <w:t>is calculated as:</w:t>
      </w:r>
    </w:p>
    <w:p w14:paraId="2F63AA87" w14:textId="55B8781D" w:rsidR="00562452" w:rsidRDefault="000F69F6" w:rsidP="003779A0">
      <w:pPr>
        <w:pStyle w:val="hparagraphindent"/>
        <w:wordWrap w:val="0"/>
        <w:autoSpaceDE w:val="0"/>
        <w:autoSpaceDN w:val="0"/>
        <w:adjustRightInd w:val="0"/>
        <w:snapToGrid w:val="0"/>
        <w:spacing w:before="0" w:line="240" w:lineRule="atLeast"/>
        <w:ind w:firstLineChars="0" w:firstLine="0"/>
        <w:jc w:val="right"/>
        <w:rPr>
          <w:rFonts w:eastAsiaTheme="minorEastAsia"/>
          <w:szCs w:val="24"/>
          <w:lang w:eastAsia="zh-CN"/>
        </w:rPr>
      </w:pPr>
      <m:oMath>
        <m:sSub>
          <m:sSubPr>
            <m:ctrlPr>
              <w:rPr>
                <w:rFonts w:ascii="Cambria Math" w:eastAsiaTheme="minorEastAsia" w:hAnsi="Cambria Math"/>
                <w:i/>
                <w:szCs w:val="24"/>
              </w:rPr>
            </m:ctrlPr>
          </m:sSubPr>
          <m:e>
            <m:r>
              <w:rPr>
                <w:rFonts w:ascii="Cambria Math" w:eastAsiaTheme="minorEastAsia" w:hAnsi="Cambria Math"/>
                <w:szCs w:val="24"/>
              </w:rPr>
              <m:t>q</m:t>
            </m:r>
          </m:e>
          <m:sub>
            <m:r>
              <m:rPr>
                <m:sty m:val="p"/>
              </m:rPr>
              <w:rPr>
                <w:rFonts w:ascii="Cambria Math" w:eastAsiaTheme="minorEastAsia" w:hAnsi="Cambria Math"/>
                <w:szCs w:val="24"/>
              </w:rPr>
              <m:t>r</m:t>
            </m:r>
          </m:sub>
        </m:sSub>
        <m:r>
          <w:rPr>
            <w:rFonts w:ascii="Cambria Math" w:eastAsiaTheme="minorEastAsia" w:hAnsi="Cambria Math"/>
            <w:szCs w:val="24"/>
          </w:rPr>
          <m:t>=</m:t>
        </m:r>
        <m:rad>
          <m:radPr>
            <m:degHide m:val="1"/>
            <m:ctrlPr>
              <w:rPr>
                <w:rFonts w:ascii="Cambria Math" w:eastAsiaTheme="minorEastAsia" w:hAnsi="Cambria Math"/>
                <w:i/>
                <w:szCs w:val="24"/>
              </w:rPr>
            </m:ctrlPr>
          </m:radPr>
          <m:deg/>
          <m:e>
            <m:sSubSup>
              <m:sSubSupPr>
                <m:ctrlPr>
                  <w:rPr>
                    <w:rFonts w:ascii="Cambria Math" w:hAnsi="Cambria Math"/>
                    <w:i/>
                    <w:szCs w:val="24"/>
                  </w:rPr>
                </m:ctrlPr>
              </m:sSubSupPr>
              <m:e>
                <m:r>
                  <w:rPr>
                    <w:rFonts w:ascii="Cambria Math" w:hAnsi="Cambria Math"/>
                    <w:szCs w:val="24"/>
                  </w:rPr>
                  <m:t>q</m:t>
                </m:r>
              </m:e>
              <m:sub>
                <m:r>
                  <w:rPr>
                    <w:rFonts w:ascii="Cambria Math" w:hAnsi="Cambria Math"/>
                    <w:szCs w:val="24"/>
                  </w:rPr>
                  <m:t>x</m:t>
                </m:r>
              </m:sub>
              <m:sup>
                <m:r>
                  <w:rPr>
                    <w:rFonts w:ascii="Cambria Math" w:hAnsi="Cambria Math"/>
                    <w:szCs w:val="24"/>
                  </w:rPr>
                  <m:t>2</m:t>
                </m:r>
              </m:sup>
            </m:sSubSup>
            <m:r>
              <w:rPr>
                <w:rFonts w:ascii="Cambria Math" w:hAnsi="Cambria Math"/>
                <w:szCs w:val="24"/>
              </w:rPr>
              <m:t>+</m:t>
            </m:r>
            <m:sSup>
              <m:sSupPr>
                <m:ctrlPr>
                  <w:rPr>
                    <w:rFonts w:ascii="Cambria Math" w:eastAsiaTheme="minorEastAsia" w:hAnsi="Cambria Math"/>
                    <w:i/>
                    <w:szCs w:val="24"/>
                  </w:rPr>
                </m:ctrlPr>
              </m:sSupPr>
              <m:e>
                <m:sSub>
                  <m:sSubPr>
                    <m:ctrlPr>
                      <w:rPr>
                        <w:rFonts w:ascii="Cambria Math" w:hAnsi="Cambria Math"/>
                        <w:i/>
                        <w:szCs w:val="24"/>
                      </w:rPr>
                    </m:ctrlPr>
                  </m:sSubPr>
                  <m:e>
                    <m:sSubSup>
                      <m:sSubSupPr>
                        <m:ctrlPr>
                          <w:rPr>
                            <w:rFonts w:ascii="Cambria Math" w:hAnsi="Cambria Math"/>
                            <w:i/>
                            <w:szCs w:val="24"/>
                          </w:rPr>
                        </m:ctrlPr>
                      </m:sSubSupPr>
                      <m:e>
                        <m:r>
                          <w:rPr>
                            <w:rFonts w:ascii="Cambria Math" w:hAnsi="Cambria Math"/>
                            <w:szCs w:val="24"/>
                          </w:rPr>
                          <m:t>q</m:t>
                        </m:r>
                      </m:e>
                      <m:sub>
                        <m:r>
                          <w:rPr>
                            <w:rFonts w:ascii="Cambria Math" w:hAnsi="Cambria Math"/>
                            <w:szCs w:val="24"/>
                          </w:rPr>
                          <m:t>y</m:t>
                        </m:r>
                      </m:sub>
                      <m:sup>
                        <m:r>
                          <w:rPr>
                            <w:rFonts w:ascii="Cambria Math" w:hAnsi="Cambria Math"/>
                            <w:szCs w:val="24"/>
                          </w:rPr>
                          <m:t>2</m:t>
                        </m:r>
                      </m:sup>
                    </m:sSubSup>
                  </m:e>
                  <m:sub/>
                </m:sSub>
              </m:e>
              <m:sup/>
            </m:sSup>
          </m:e>
        </m:rad>
      </m:oMath>
      <w:r w:rsidR="001118A9">
        <w:rPr>
          <w:rFonts w:eastAsiaTheme="minorEastAsia" w:hint="eastAsia"/>
          <w:szCs w:val="24"/>
          <w:lang w:eastAsia="zh-CN"/>
        </w:rPr>
        <w:t xml:space="preserve"> </w:t>
      </w:r>
      <w:r w:rsidR="001118A9">
        <w:rPr>
          <w:rFonts w:eastAsiaTheme="minorEastAsia"/>
          <w:szCs w:val="24"/>
          <w:lang w:eastAsia="zh-CN"/>
        </w:rPr>
        <w:t xml:space="preserve">                                (2)</w:t>
      </w:r>
    </w:p>
    <w:p w14:paraId="4D22EDD8" w14:textId="2130A3A4" w:rsidR="00CA55B5" w:rsidRDefault="00C53BF1" w:rsidP="0004241C">
      <w:pPr>
        <w:pStyle w:val="hparagraphindent"/>
        <w:autoSpaceDE w:val="0"/>
        <w:autoSpaceDN w:val="0"/>
        <w:adjustRightInd w:val="0"/>
        <w:snapToGrid w:val="0"/>
        <w:spacing w:before="0" w:line="240" w:lineRule="atLeast"/>
        <w:ind w:firstLineChars="0" w:firstLine="0"/>
        <w:jc w:val="both"/>
        <w:rPr>
          <w:rFonts w:eastAsiaTheme="minorEastAsia"/>
          <w:szCs w:val="24"/>
        </w:rPr>
      </w:pPr>
      <w:r>
        <w:rPr>
          <w:rFonts w:eastAsiaTheme="minorEastAsia"/>
          <w:szCs w:val="24"/>
        </w:rPr>
        <w:t xml:space="preserve">An incident angle </w:t>
      </w:r>
      <w:r w:rsidRPr="0004241C">
        <w:rPr>
          <w:rFonts w:ascii="Symbol" w:eastAsia="Times New Roman" w:hAnsi="Symbol"/>
          <w:i/>
          <w:szCs w:val="24"/>
        </w:rPr>
        <w:t></w:t>
      </w:r>
      <w:proofErr w:type="spellStart"/>
      <w:r>
        <w:rPr>
          <w:rFonts w:eastAsiaTheme="minorEastAsia"/>
          <w:szCs w:val="24"/>
          <w:vertAlign w:val="subscript"/>
        </w:rPr>
        <w:t>i</w:t>
      </w:r>
      <w:proofErr w:type="spellEnd"/>
      <w:r w:rsidR="00986095">
        <w:rPr>
          <w:rFonts w:eastAsiaTheme="minorEastAsia"/>
          <w:szCs w:val="24"/>
          <w:vertAlign w:val="subscript"/>
        </w:rPr>
        <w:t xml:space="preserve"> </w:t>
      </w:r>
      <w:r>
        <w:rPr>
          <w:rFonts w:eastAsiaTheme="minorEastAsia"/>
          <w:szCs w:val="24"/>
        </w:rPr>
        <w:t>= 0.25° was used for all the samples. The crystal coherence length along the 010 direction (</w:t>
      </w:r>
      <w:r w:rsidR="00CA55B5">
        <w:rPr>
          <w:rFonts w:eastAsiaTheme="minorEastAsia"/>
          <w:szCs w:val="24"/>
        </w:rPr>
        <w:t>CCL</w:t>
      </w:r>
      <w:r w:rsidR="00CA55B5">
        <w:rPr>
          <w:rFonts w:eastAsiaTheme="minorEastAsia"/>
          <w:szCs w:val="24"/>
          <w:vertAlign w:val="subscript"/>
        </w:rPr>
        <w:t>010</w:t>
      </w:r>
      <w:r>
        <w:rPr>
          <w:rFonts w:eastAsiaTheme="minorEastAsia"/>
          <w:szCs w:val="24"/>
        </w:rPr>
        <w:t xml:space="preserve">) was calculated by the following equation: </w:t>
      </w:r>
      <w:r w:rsidR="00CA55B5">
        <w:rPr>
          <w:rFonts w:eastAsiaTheme="minorEastAsia"/>
          <w:szCs w:val="24"/>
        </w:rPr>
        <w:t>CCL</w:t>
      </w:r>
      <w:r w:rsidR="00CA55B5">
        <w:rPr>
          <w:rFonts w:eastAsiaTheme="minorEastAsia"/>
          <w:szCs w:val="24"/>
          <w:vertAlign w:val="subscript"/>
        </w:rPr>
        <w:t>010</w:t>
      </w:r>
      <w:r>
        <w:rPr>
          <w:rFonts w:eastAsiaTheme="minorEastAsia"/>
          <w:szCs w:val="24"/>
        </w:rPr>
        <w:t>= 2</w:t>
      </w:r>
      <w:r>
        <w:rPr>
          <w:rFonts w:ascii="Symbol" w:eastAsia="Times New Roman" w:hAnsi="Symbol"/>
          <w:szCs w:val="24"/>
        </w:rPr>
        <w:t></w:t>
      </w:r>
      <w:r>
        <w:rPr>
          <w:rFonts w:eastAsiaTheme="minorEastAsia"/>
          <w:szCs w:val="24"/>
        </w:rPr>
        <w:t xml:space="preserve">/FWHM, where FWHM represents the full width of the half maximum of the peak. The </w:t>
      </w:r>
      <w:r w:rsidRPr="006F72A3">
        <w:rPr>
          <w:rFonts w:eastAsiaTheme="minorEastAsia"/>
          <w:i/>
          <w:iCs/>
          <w:szCs w:val="24"/>
        </w:rPr>
        <w:t>in situ</w:t>
      </w:r>
      <w:r>
        <w:rPr>
          <w:rFonts w:eastAsiaTheme="minorEastAsia"/>
          <w:szCs w:val="24"/>
        </w:rPr>
        <w:t xml:space="preserve"> GIWAXS setup was the same as we reported previously [</w:t>
      </w:r>
      <w:r w:rsidR="00AE31CE">
        <w:rPr>
          <w:rStyle w:val="citebib"/>
          <w:rFonts w:eastAsiaTheme="minorEastAsia"/>
          <w:szCs w:val="24"/>
        </w:rPr>
        <w:t>3</w:t>
      </w:r>
      <w:r>
        <w:rPr>
          <w:rFonts w:eastAsiaTheme="minorEastAsia"/>
          <w:szCs w:val="24"/>
        </w:rPr>
        <w:t xml:space="preserve">]. </w:t>
      </w:r>
      <w:r w:rsidR="00792AFF">
        <w:rPr>
          <w:rFonts w:eastAsiaTheme="minorEastAsia"/>
          <w:szCs w:val="24"/>
        </w:rPr>
        <w:t xml:space="preserve">A total of </w:t>
      </w:r>
      <w:r>
        <w:rPr>
          <w:rFonts w:eastAsiaTheme="minorEastAsia"/>
          <w:szCs w:val="24"/>
        </w:rPr>
        <w:t xml:space="preserve">200 </w:t>
      </w:r>
      <w:r>
        <w:rPr>
          <w:rFonts w:ascii="Symbol" w:eastAsia="Times New Roman" w:hAnsi="Symbol"/>
          <w:szCs w:val="24"/>
        </w:rPr>
        <w:t></w:t>
      </w:r>
      <w:r>
        <w:rPr>
          <w:rFonts w:eastAsiaTheme="minorEastAsia"/>
          <w:szCs w:val="24"/>
        </w:rPr>
        <w:t>L base solutions were remotely controlled to drop onto the pristine films, and were left to dry at room temperature. The GIWAXS images were acquired after the dropping of the bases.</w:t>
      </w:r>
    </w:p>
    <w:p w14:paraId="20E4DBFC" w14:textId="77777777" w:rsidR="001118A9" w:rsidRDefault="001118A9" w:rsidP="0004241C">
      <w:pPr>
        <w:pStyle w:val="hparagraphindent"/>
        <w:autoSpaceDE w:val="0"/>
        <w:autoSpaceDN w:val="0"/>
        <w:adjustRightInd w:val="0"/>
        <w:snapToGrid w:val="0"/>
        <w:spacing w:before="0" w:line="240" w:lineRule="atLeast"/>
        <w:ind w:firstLineChars="0" w:firstLine="0"/>
        <w:jc w:val="both"/>
        <w:rPr>
          <w:rFonts w:eastAsiaTheme="minorEastAsia"/>
          <w:szCs w:val="24"/>
        </w:rPr>
      </w:pPr>
    </w:p>
    <w:p w14:paraId="23703F6A" w14:textId="77777777" w:rsidR="00C96854" w:rsidRDefault="00C96854" w:rsidP="00C96854">
      <w:pPr>
        <w:pStyle w:val="hfigureimage"/>
        <w:autoSpaceDE w:val="0"/>
        <w:autoSpaceDN w:val="0"/>
        <w:adjustRightInd w:val="0"/>
        <w:rPr>
          <w:rFonts w:eastAsiaTheme="minorEastAsia"/>
        </w:rPr>
      </w:pPr>
      <w:r>
        <w:rPr>
          <w:rFonts w:eastAsiaTheme="minorEastAsia"/>
          <w:noProof/>
          <w:lang w:eastAsia="zh-CN"/>
        </w:rPr>
        <w:drawing>
          <wp:inline distT="0" distB="0" distL="0" distR="0" wp14:anchorId="665FA152" wp14:editId="7DBCA4AC">
            <wp:extent cx="5731510" cy="2016760"/>
            <wp:effectExtent l="0" t="0" r="2540" b="254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stretch>
                      <a:fillRect/>
                    </a:stretch>
                  </pic:blipFill>
                  <pic:spPr>
                    <a:xfrm>
                      <a:off x="0" y="0"/>
                      <a:ext cx="5731510" cy="2016760"/>
                    </a:xfrm>
                    <a:prstGeom prst="rect">
                      <a:avLst/>
                    </a:prstGeom>
                  </pic:spPr>
                </pic:pic>
              </a:graphicData>
            </a:graphic>
          </wp:inline>
        </w:drawing>
      </w:r>
    </w:p>
    <w:p w14:paraId="243D7FE1" w14:textId="77777777" w:rsidR="00C96854" w:rsidRDefault="00C96854" w:rsidP="00C96854">
      <w:pPr>
        <w:pStyle w:val="hfigurecaption"/>
        <w:autoSpaceDE w:val="0"/>
        <w:autoSpaceDN w:val="0"/>
        <w:adjustRightInd w:val="0"/>
        <w:snapToGrid w:val="0"/>
        <w:spacing w:before="0"/>
        <w:jc w:val="both"/>
        <w:rPr>
          <w:rFonts w:eastAsiaTheme="minorEastAsia"/>
          <w:szCs w:val="24"/>
        </w:rPr>
      </w:pPr>
      <w:r>
        <w:rPr>
          <w:rFonts w:eastAsiaTheme="minorEastAsia"/>
          <w:b/>
          <w:szCs w:val="24"/>
        </w:rPr>
        <w:t>Fig. S1.</w:t>
      </w:r>
      <w:r>
        <w:rPr>
          <w:rFonts w:eastAsiaTheme="minorEastAsia"/>
          <w:szCs w:val="24"/>
        </w:rPr>
        <w:t xml:space="preserve"> Optical microscope images of the KOH_PT sample (a) with and (b) without a scratch showing excellent large-scale homogeneity. The scratch was made with a fine needle on purpose, for better contrast. Black spots were caused by some dust in our optics.</w:t>
      </w:r>
    </w:p>
    <w:p w14:paraId="1094DD35" w14:textId="77777777" w:rsidR="00C96854" w:rsidRDefault="00C96854" w:rsidP="00C96854">
      <w:pPr>
        <w:pStyle w:val="hfigureimage"/>
        <w:autoSpaceDE w:val="0"/>
        <w:autoSpaceDN w:val="0"/>
        <w:adjustRightInd w:val="0"/>
        <w:rPr>
          <w:rFonts w:eastAsiaTheme="minorEastAsia"/>
        </w:rPr>
      </w:pPr>
      <w:r>
        <w:rPr>
          <w:rFonts w:eastAsiaTheme="minorEastAsia"/>
          <w:noProof/>
          <w:lang w:eastAsia="zh-CN"/>
        </w:rPr>
        <w:lastRenderedPageBreak/>
        <w:drawing>
          <wp:inline distT="0" distB="0" distL="0" distR="0" wp14:anchorId="54B40672" wp14:editId="0FC8DDA4">
            <wp:extent cx="4086744" cy="2853387"/>
            <wp:effectExtent l="0" t="0" r="254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stretch>
                      <a:fillRect/>
                    </a:stretch>
                  </pic:blipFill>
                  <pic:spPr>
                    <a:xfrm>
                      <a:off x="0" y="0"/>
                      <a:ext cx="713941" cy="498477"/>
                    </a:xfrm>
                    <a:prstGeom prst="rect">
                      <a:avLst/>
                    </a:prstGeom>
                  </pic:spPr>
                </pic:pic>
              </a:graphicData>
            </a:graphic>
          </wp:inline>
        </w:drawing>
      </w:r>
    </w:p>
    <w:p w14:paraId="39F70628" w14:textId="77777777" w:rsidR="00C96854" w:rsidRDefault="00C96854" w:rsidP="00C96854">
      <w:pPr>
        <w:pStyle w:val="hfigurecaption"/>
        <w:autoSpaceDE w:val="0"/>
        <w:autoSpaceDN w:val="0"/>
        <w:adjustRightInd w:val="0"/>
        <w:snapToGrid w:val="0"/>
        <w:spacing w:before="0" w:line="240" w:lineRule="atLeast"/>
        <w:jc w:val="both"/>
        <w:outlineLvl w:val="9"/>
        <w:rPr>
          <w:rFonts w:eastAsiaTheme="minorEastAsia"/>
          <w:szCs w:val="24"/>
        </w:rPr>
      </w:pPr>
      <w:r>
        <w:rPr>
          <w:rFonts w:eastAsiaTheme="minorEastAsia"/>
          <w:b/>
          <w:szCs w:val="24"/>
        </w:rPr>
        <w:t>Fig. S2.</w:t>
      </w:r>
      <w:r>
        <w:rPr>
          <w:rFonts w:eastAsiaTheme="minorEastAsia"/>
          <w:szCs w:val="24"/>
        </w:rPr>
        <w:t xml:space="preserve"> GIWAXS integration </w:t>
      </w:r>
      <w:proofErr w:type="spellStart"/>
      <w:r>
        <w:rPr>
          <w:rFonts w:eastAsiaTheme="minorEastAsia"/>
          <w:szCs w:val="24"/>
        </w:rPr>
        <w:t>linecuts</w:t>
      </w:r>
      <w:proofErr w:type="spellEnd"/>
      <w:r>
        <w:rPr>
          <w:rFonts w:eastAsiaTheme="minorEastAsia"/>
          <w:szCs w:val="24"/>
        </w:rPr>
        <w:t xml:space="preserve"> in the near-out-of-plane direction (</w:t>
      </w:r>
      <w:proofErr w:type="spellStart"/>
      <w:r w:rsidRPr="006F72A3">
        <w:rPr>
          <w:rFonts w:eastAsiaTheme="minorEastAsia"/>
          <w:i/>
          <w:iCs/>
          <w:szCs w:val="24"/>
        </w:rPr>
        <w:t>q</w:t>
      </w:r>
      <w:r w:rsidRPr="00792AFF">
        <w:rPr>
          <w:rFonts w:eastAsiaTheme="minorEastAsia"/>
          <w:i/>
          <w:szCs w:val="24"/>
          <w:vertAlign w:val="subscript"/>
        </w:rPr>
        <w:t>z</w:t>
      </w:r>
      <w:proofErr w:type="spellEnd"/>
      <w:r>
        <w:rPr>
          <w:rFonts w:eastAsiaTheme="minorEastAsia"/>
          <w:szCs w:val="24"/>
        </w:rPr>
        <w:t>) for pristine PEDOT</w:t>
      </w:r>
      <w:proofErr w:type="gramStart"/>
      <w:r>
        <w:rPr>
          <w:rFonts w:eastAsiaTheme="minorEastAsia"/>
          <w:szCs w:val="24"/>
        </w:rPr>
        <w:t>:PSS:DMSO</w:t>
      </w:r>
      <w:proofErr w:type="gramEnd"/>
      <w:r>
        <w:rPr>
          <w:rFonts w:eastAsiaTheme="minorEastAsia"/>
          <w:szCs w:val="24"/>
        </w:rPr>
        <w:t xml:space="preserve"> films and PEDOT:PSS:DMSO films post-treated with 1 mol·L</w:t>
      </w:r>
      <w:r w:rsidRPr="009772F2">
        <w:rPr>
          <w:rFonts w:eastAsiaTheme="minorEastAsia"/>
          <w:szCs w:val="24"/>
          <w:vertAlign w:val="superscript"/>
        </w:rPr>
        <w:t>−1</w:t>
      </w:r>
      <w:r>
        <w:rPr>
          <w:rFonts w:eastAsiaTheme="minorEastAsia"/>
          <w:szCs w:val="24"/>
        </w:rPr>
        <w:t xml:space="preserve"> </w:t>
      </w:r>
      <w:proofErr w:type="spellStart"/>
      <w:r>
        <w:rPr>
          <w:rFonts w:eastAsiaTheme="minorEastAsia"/>
          <w:szCs w:val="24"/>
        </w:rPr>
        <w:t>LiOH</w:t>
      </w:r>
      <w:proofErr w:type="spellEnd"/>
      <w:r>
        <w:rPr>
          <w:rFonts w:eastAsiaTheme="minorEastAsia"/>
          <w:szCs w:val="24"/>
        </w:rPr>
        <w:t xml:space="preserve">, </w:t>
      </w:r>
      <w:proofErr w:type="spellStart"/>
      <w:r>
        <w:rPr>
          <w:rFonts w:eastAsiaTheme="minorEastAsia"/>
          <w:szCs w:val="24"/>
        </w:rPr>
        <w:t>NaOH</w:t>
      </w:r>
      <w:proofErr w:type="spellEnd"/>
      <w:r>
        <w:rPr>
          <w:rFonts w:eastAsiaTheme="minorEastAsia"/>
          <w:szCs w:val="24"/>
        </w:rPr>
        <w:t>, and KOH solutions. The dips are due to the gaps in the Pilatus detector.</w:t>
      </w:r>
    </w:p>
    <w:p w14:paraId="4BD0D26E" w14:textId="77777777" w:rsidR="00C96854" w:rsidRDefault="00C96854" w:rsidP="00C96854">
      <w:pPr>
        <w:pStyle w:val="hfigureimage"/>
        <w:autoSpaceDE w:val="0"/>
        <w:autoSpaceDN w:val="0"/>
        <w:adjustRightInd w:val="0"/>
        <w:rPr>
          <w:rFonts w:eastAsiaTheme="minorEastAsia"/>
        </w:rPr>
      </w:pPr>
      <w:r w:rsidRPr="00C96854">
        <w:rPr>
          <w:rFonts w:eastAsiaTheme="minorEastAsia"/>
          <w:noProof/>
          <w:lang w:eastAsia="zh-CN"/>
        </w:rPr>
        <w:drawing>
          <wp:inline distT="0" distB="0" distL="0" distR="0" wp14:anchorId="2D7F11E8" wp14:editId="7EDEB5E9">
            <wp:extent cx="5969000" cy="238569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a:fillRect/>
                    </a:stretch>
                  </pic:blipFill>
                  <pic:spPr>
                    <a:xfrm>
                      <a:off x="0" y="0"/>
                      <a:ext cx="5969000" cy="2385695"/>
                    </a:xfrm>
                    <a:prstGeom prst="rect">
                      <a:avLst/>
                    </a:prstGeom>
                  </pic:spPr>
                </pic:pic>
              </a:graphicData>
            </a:graphic>
          </wp:inline>
        </w:drawing>
      </w:r>
    </w:p>
    <w:p w14:paraId="252592D7" w14:textId="77777777" w:rsidR="00C96854" w:rsidRDefault="00C96854" w:rsidP="00C96854">
      <w:pPr>
        <w:pStyle w:val="hfigurecaption"/>
        <w:autoSpaceDE w:val="0"/>
        <w:autoSpaceDN w:val="0"/>
        <w:adjustRightInd w:val="0"/>
        <w:snapToGrid w:val="0"/>
        <w:spacing w:before="0" w:line="240" w:lineRule="atLeast"/>
        <w:jc w:val="both"/>
        <w:outlineLvl w:val="9"/>
        <w:rPr>
          <w:rFonts w:eastAsiaTheme="minorEastAsia"/>
          <w:szCs w:val="24"/>
        </w:rPr>
      </w:pPr>
      <w:r>
        <w:rPr>
          <w:rFonts w:eastAsiaTheme="minorEastAsia"/>
          <w:b/>
          <w:szCs w:val="24"/>
        </w:rPr>
        <w:t>Fig. S3.</w:t>
      </w:r>
      <w:r>
        <w:rPr>
          <w:rFonts w:eastAsiaTheme="minorEastAsia"/>
          <w:szCs w:val="24"/>
        </w:rPr>
        <w:t xml:space="preserve"> (a) Time evolution of the integrated GIWAXS profiles for the 1 mol·L</w:t>
      </w:r>
      <w:r w:rsidRPr="009772F2">
        <w:rPr>
          <w:rFonts w:eastAsiaTheme="minorEastAsia"/>
          <w:szCs w:val="24"/>
          <w:vertAlign w:val="superscript"/>
        </w:rPr>
        <w:t>−1</w:t>
      </w:r>
      <w:r>
        <w:rPr>
          <w:rFonts w:eastAsiaTheme="minorEastAsia"/>
          <w:szCs w:val="24"/>
        </w:rPr>
        <w:t xml:space="preserve"> </w:t>
      </w:r>
      <w:proofErr w:type="spellStart"/>
      <w:r>
        <w:rPr>
          <w:rFonts w:eastAsiaTheme="minorEastAsia"/>
          <w:szCs w:val="24"/>
        </w:rPr>
        <w:t>LiOH</w:t>
      </w:r>
      <w:proofErr w:type="spellEnd"/>
      <w:r>
        <w:rPr>
          <w:rFonts w:eastAsiaTheme="minorEastAsia"/>
          <w:szCs w:val="24"/>
        </w:rPr>
        <w:t xml:space="preserve"> solution post-treatment process and (b) the profiles at the time points </w:t>
      </w:r>
      <w:r>
        <w:rPr>
          <w:rFonts w:eastAsiaTheme="minorEastAsia"/>
          <w:i/>
          <w:iCs/>
          <w:szCs w:val="24"/>
        </w:rPr>
        <w:t xml:space="preserve">t </w:t>
      </w:r>
      <w:r>
        <w:rPr>
          <w:rFonts w:eastAsiaTheme="minorEastAsia"/>
          <w:szCs w:val="24"/>
        </w:rPr>
        <w:t xml:space="preserve">= 420 s and </w:t>
      </w:r>
      <w:r>
        <w:rPr>
          <w:rFonts w:eastAsiaTheme="minorEastAsia"/>
          <w:i/>
          <w:iCs/>
          <w:szCs w:val="24"/>
        </w:rPr>
        <w:t>t</w:t>
      </w:r>
      <w:r>
        <w:rPr>
          <w:rFonts w:eastAsiaTheme="minorEastAsia"/>
          <w:szCs w:val="24"/>
        </w:rPr>
        <w:t xml:space="preserve"> = 1800 s. The sharp peaks are due to </w:t>
      </w:r>
      <w:proofErr w:type="spellStart"/>
      <w:r>
        <w:rPr>
          <w:rFonts w:eastAsiaTheme="minorEastAsia"/>
          <w:szCs w:val="24"/>
        </w:rPr>
        <w:t>LiOH</w:t>
      </w:r>
      <w:proofErr w:type="spellEnd"/>
      <w:r>
        <w:rPr>
          <w:rFonts w:eastAsiaTheme="minorEastAsia"/>
          <w:szCs w:val="24"/>
        </w:rPr>
        <w:t xml:space="preserve"> crystallization on the film surface.</w:t>
      </w:r>
    </w:p>
    <w:p w14:paraId="2C99F84C" w14:textId="77777777" w:rsidR="00C96854" w:rsidRDefault="00C96854" w:rsidP="00C96854">
      <w:pPr>
        <w:pStyle w:val="hfigureimage"/>
        <w:autoSpaceDE w:val="0"/>
        <w:autoSpaceDN w:val="0"/>
        <w:adjustRightInd w:val="0"/>
        <w:rPr>
          <w:rFonts w:eastAsiaTheme="minorEastAsia"/>
        </w:rPr>
      </w:pPr>
      <w:r>
        <w:rPr>
          <w:rFonts w:eastAsiaTheme="minorEastAsia"/>
          <w:noProof/>
          <w:lang w:eastAsia="zh-CN"/>
        </w:rPr>
        <w:lastRenderedPageBreak/>
        <w:drawing>
          <wp:inline distT="0" distB="0" distL="0" distR="0" wp14:anchorId="1AD0A4DF" wp14:editId="5151CA17">
            <wp:extent cx="5731510" cy="3082925"/>
            <wp:effectExtent l="0" t="0" r="2540" b="317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0"/>
                    <a:stretch>
                      <a:fillRect/>
                    </a:stretch>
                  </pic:blipFill>
                  <pic:spPr>
                    <a:xfrm>
                      <a:off x="0" y="0"/>
                      <a:ext cx="5731510" cy="3082925"/>
                    </a:xfrm>
                    <a:prstGeom prst="rect">
                      <a:avLst/>
                    </a:prstGeom>
                  </pic:spPr>
                </pic:pic>
              </a:graphicData>
            </a:graphic>
          </wp:inline>
        </w:drawing>
      </w:r>
    </w:p>
    <w:p w14:paraId="29D73621" w14:textId="77777777" w:rsidR="00C96854" w:rsidRDefault="00C96854" w:rsidP="00C96854">
      <w:pPr>
        <w:pStyle w:val="hfigurecaption"/>
        <w:autoSpaceDE w:val="0"/>
        <w:autoSpaceDN w:val="0"/>
        <w:adjustRightInd w:val="0"/>
        <w:snapToGrid w:val="0"/>
        <w:spacing w:before="0" w:line="240" w:lineRule="atLeast"/>
        <w:jc w:val="both"/>
        <w:outlineLvl w:val="9"/>
        <w:rPr>
          <w:rFonts w:eastAsiaTheme="minorEastAsia"/>
          <w:szCs w:val="24"/>
        </w:rPr>
      </w:pPr>
      <w:r>
        <w:rPr>
          <w:rFonts w:eastAsiaTheme="minorEastAsia"/>
          <w:b/>
          <w:szCs w:val="24"/>
        </w:rPr>
        <w:t>Fig. S4.</w:t>
      </w:r>
      <w:r>
        <w:rPr>
          <w:rFonts w:eastAsiaTheme="minorEastAsia"/>
          <w:szCs w:val="24"/>
        </w:rPr>
        <w:t xml:space="preserve"> (</w:t>
      </w:r>
      <w:proofErr w:type="gramStart"/>
      <w:r>
        <w:rPr>
          <w:rFonts w:eastAsiaTheme="minorEastAsia"/>
          <w:szCs w:val="24"/>
        </w:rPr>
        <w:t>a–e</w:t>
      </w:r>
      <w:proofErr w:type="gramEnd"/>
      <w:r>
        <w:rPr>
          <w:rFonts w:eastAsiaTheme="minorEastAsia"/>
          <w:szCs w:val="24"/>
        </w:rPr>
        <w:t xml:space="preserve">) GIWAXS images and (f) full integration </w:t>
      </w:r>
      <w:proofErr w:type="spellStart"/>
      <w:r>
        <w:rPr>
          <w:rFonts w:eastAsiaTheme="minorEastAsia"/>
          <w:szCs w:val="24"/>
        </w:rPr>
        <w:t>linecuts</w:t>
      </w:r>
      <w:proofErr w:type="spellEnd"/>
      <w:r>
        <w:rPr>
          <w:rFonts w:eastAsiaTheme="minorEastAsia"/>
          <w:szCs w:val="24"/>
        </w:rPr>
        <w:t xml:space="preserve"> of </w:t>
      </w:r>
      <w:proofErr w:type="spellStart"/>
      <w:r>
        <w:rPr>
          <w:rFonts w:eastAsiaTheme="minorEastAsia"/>
          <w:szCs w:val="24"/>
        </w:rPr>
        <w:t>NaOH_PT</w:t>
      </w:r>
      <w:proofErr w:type="spellEnd"/>
      <w:r>
        <w:rPr>
          <w:rFonts w:eastAsiaTheme="minorEastAsia"/>
          <w:szCs w:val="24"/>
        </w:rPr>
        <w:t xml:space="preserve"> films with different concentrations of solution. The dip in the intensity profiles in part (f) is due to the gaps in the Pilatus detector.</w:t>
      </w:r>
    </w:p>
    <w:p w14:paraId="70F7144E" w14:textId="77777777" w:rsidR="00816E63" w:rsidRPr="0004241C" w:rsidRDefault="00816E63" w:rsidP="00816E63">
      <w:pPr>
        <w:pStyle w:val="hreferencehead"/>
        <w:autoSpaceDE w:val="0"/>
        <w:autoSpaceDN w:val="0"/>
        <w:adjustRightInd w:val="0"/>
        <w:rPr>
          <w:rFonts w:eastAsiaTheme="minorEastAsia"/>
          <w:szCs w:val="24"/>
          <w:lang w:val="nl-NL"/>
        </w:rPr>
      </w:pPr>
      <w:r w:rsidRPr="0004241C">
        <w:rPr>
          <w:rFonts w:eastAsiaTheme="minorEastAsia"/>
          <w:szCs w:val="24"/>
          <w:lang w:val="nl-NL"/>
        </w:rPr>
        <w:t>References</w:t>
      </w:r>
    </w:p>
    <w:p w14:paraId="51D2D60B" w14:textId="2E7551D8" w:rsidR="00816E63" w:rsidRPr="00816E63" w:rsidRDefault="00816E63" w:rsidP="00816E63">
      <w:pPr>
        <w:snapToGrid w:val="0"/>
        <w:spacing w:line="240" w:lineRule="atLeast"/>
        <w:ind w:left="315" w:hangingChars="150" w:hanging="315"/>
        <w:rPr>
          <w:sz w:val="21"/>
          <w:szCs w:val="21"/>
          <w:lang w:val="nl-NL"/>
        </w:rPr>
      </w:pPr>
      <w:r w:rsidRPr="00816E63">
        <w:rPr>
          <w:sz w:val="21"/>
          <w:szCs w:val="21"/>
          <w:lang w:val="nl-NL"/>
        </w:rPr>
        <w:t xml:space="preserve">[1] Liu J, Qiu L, Portale G, Koopmans M, ten Brink G, Hummelen JC, et al. </w:t>
      </w:r>
      <w:r w:rsidRPr="00816E63">
        <w:rPr>
          <w:i/>
          <w:sz w:val="21"/>
          <w:szCs w:val="21"/>
        </w:rPr>
        <w:t>N</w:t>
      </w:r>
      <w:r w:rsidRPr="00816E63">
        <w:rPr>
          <w:sz w:val="21"/>
          <w:szCs w:val="21"/>
        </w:rPr>
        <w:t xml:space="preserve">-type organic thermoelectrics: improved power factor by tailoring host-dopant miscibility. </w:t>
      </w:r>
      <w:r w:rsidRPr="00816E63">
        <w:rPr>
          <w:sz w:val="21"/>
          <w:szCs w:val="21"/>
          <w:lang w:val="nl-NL"/>
        </w:rPr>
        <w:t>Adv Mater 2017;29(36):1701641.</w:t>
      </w:r>
    </w:p>
    <w:p w14:paraId="206A3871" w14:textId="6053A77F" w:rsidR="00816E63" w:rsidRPr="00816E63" w:rsidRDefault="00816E63" w:rsidP="00816E63">
      <w:pPr>
        <w:snapToGrid w:val="0"/>
        <w:spacing w:line="240" w:lineRule="atLeast"/>
        <w:ind w:left="315" w:hangingChars="150" w:hanging="315"/>
        <w:rPr>
          <w:sz w:val="21"/>
          <w:szCs w:val="21"/>
          <w:lang w:val="nl-NL"/>
        </w:rPr>
      </w:pPr>
      <w:r w:rsidRPr="00816E63">
        <w:rPr>
          <w:sz w:val="21"/>
          <w:szCs w:val="21"/>
          <w:lang w:val="nl-NL"/>
        </w:rPr>
        <w:t xml:space="preserve">[2] Liu J, Ye G, van der Zee B, Dong J, Qiu X, Liu Y, et al. </w:t>
      </w:r>
      <w:r w:rsidRPr="00816E63">
        <w:rPr>
          <w:i/>
          <w:sz w:val="21"/>
          <w:szCs w:val="21"/>
        </w:rPr>
        <w:t>N</w:t>
      </w:r>
      <w:r w:rsidRPr="00816E63">
        <w:rPr>
          <w:sz w:val="21"/>
          <w:szCs w:val="21"/>
        </w:rPr>
        <w:t xml:space="preserve">-type organic thermoelectrics of donor–acceptor copolymers: improved power factor by molecular tailoring of the density of states. </w:t>
      </w:r>
      <w:r w:rsidRPr="00816E63">
        <w:rPr>
          <w:sz w:val="21"/>
          <w:szCs w:val="21"/>
          <w:lang w:val="nl-NL"/>
        </w:rPr>
        <w:t>Adv Mater 2018;30(44):1804290.</w:t>
      </w:r>
    </w:p>
    <w:p w14:paraId="260415BA" w14:textId="2B87C12B" w:rsidR="00816E63" w:rsidRPr="00816E63" w:rsidRDefault="00816E63" w:rsidP="00816E63">
      <w:pPr>
        <w:snapToGrid w:val="0"/>
        <w:spacing w:line="240" w:lineRule="atLeast"/>
        <w:ind w:left="315" w:hangingChars="150" w:hanging="315"/>
        <w:rPr>
          <w:sz w:val="21"/>
          <w:szCs w:val="21"/>
        </w:rPr>
      </w:pPr>
      <w:r w:rsidRPr="00816E63">
        <w:rPr>
          <w:sz w:val="21"/>
          <w:szCs w:val="21"/>
          <w:lang w:val="nl-NL"/>
        </w:rPr>
        <w:t>[3] Dong J, Shao S, Kahmann S, Rommens AJ, Hermida-Merino D, ten Brink GH, et al.</w:t>
      </w:r>
      <w:r w:rsidRPr="00816E63">
        <w:rPr>
          <w:rFonts w:hint="eastAsia"/>
          <w:sz w:val="21"/>
          <w:szCs w:val="21"/>
          <w:lang w:val="nl-NL"/>
        </w:rPr>
        <w:t xml:space="preserve"> </w:t>
      </w:r>
      <w:r w:rsidRPr="00816E63">
        <w:rPr>
          <w:sz w:val="21"/>
          <w:szCs w:val="21"/>
        </w:rPr>
        <w:t xml:space="preserve">Mechanism of crystal formation in Ruddlesden‒Popper Sn-based perovskites. </w:t>
      </w:r>
      <w:r w:rsidRPr="00816E63">
        <w:rPr>
          <w:sz w:val="21"/>
          <w:szCs w:val="21"/>
          <w:lang w:val="nl-NL"/>
        </w:rPr>
        <w:t>Adv Funct Mater 2020;30(24):2001294.</w:t>
      </w:r>
    </w:p>
    <w:p w14:paraId="5BDE0F20" w14:textId="77777777" w:rsidR="00816E63" w:rsidRDefault="00816E63" w:rsidP="00C96854">
      <w:pPr>
        <w:pStyle w:val="hfigurecaption"/>
        <w:autoSpaceDE w:val="0"/>
        <w:autoSpaceDN w:val="0"/>
        <w:adjustRightInd w:val="0"/>
        <w:snapToGrid w:val="0"/>
        <w:spacing w:before="0" w:line="240" w:lineRule="atLeast"/>
        <w:jc w:val="both"/>
        <w:outlineLvl w:val="9"/>
        <w:rPr>
          <w:rFonts w:eastAsiaTheme="minorEastAsia"/>
          <w:szCs w:val="24"/>
        </w:rPr>
      </w:pPr>
    </w:p>
    <w:p w14:paraId="3F1CCE3C" w14:textId="2EF71BAA" w:rsidR="00AE31CE" w:rsidRPr="00FA7971" w:rsidRDefault="00AE31CE" w:rsidP="00816E63">
      <w:pPr>
        <w:autoSpaceDE/>
        <w:autoSpaceDN/>
        <w:adjustRightInd/>
        <w:spacing w:after="200" w:line="276" w:lineRule="auto"/>
        <w:jc w:val="left"/>
      </w:pPr>
    </w:p>
    <w:sectPr w:rsidR="00AE31CE" w:rsidRPr="00FA7971" w:rsidSect="003813FA">
      <w:footerReference w:type="default" r:id="rId11"/>
      <w:headerReference w:type="first" r:id="rId12"/>
      <w:footerReference w:type="first" r:id="rId13"/>
      <w:pgSz w:w="12280" w:h="15900"/>
      <w:pgMar w:top="1440" w:right="1440" w:bottom="1440" w:left="1440" w:header="720" w:footer="720" w:gutter="0"/>
      <w:cols w:space="720"/>
      <w:noEndnote/>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4CA5E" w16cex:dateUtc="2021-03-23T12:13:00Z"/>
  <w16cex:commentExtensible w16cex:durableId="2404CA6F" w16cex:dateUtc="2021-03-23T12:13:00Z"/>
  <w16cex:commentExtensible w16cex:durableId="2404509A" w16cex:dateUtc="2021-03-23T03: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F8F669" w16cid:durableId="240337CD"/>
  <w16cid:commentId w16cid:paraId="5F65B0FA" w16cid:durableId="2404CA5E"/>
  <w16cid:commentId w16cid:paraId="672FE6D0" w16cid:durableId="240337CE"/>
  <w16cid:commentId w16cid:paraId="4C86691E" w16cid:durableId="2404CA6F"/>
  <w16cid:commentId w16cid:paraId="495603BC" w16cid:durableId="240337CF"/>
  <w16cid:commentId w16cid:paraId="16A11C55" w16cid:durableId="2404509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8BEB84" w14:textId="77777777" w:rsidR="000F69F6" w:rsidRDefault="000F69F6">
      <w:r>
        <w:separator/>
      </w:r>
    </w:p>
  </w:endnote>
  <w:endnote w:type="continuationSeparator" w:id="0">
    <w:p w14:paraId="070626DE" w14:textId="77777777" w:rsidR="000F69F6" w:rsidRDefault="000F6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Gulliver-Regular">
    <w:altName w:val="Times New Roman"/>
    <w:panose1 w:val="00000000000000000000"/>
    <w:charset w:val="00"/>
    <w:family w:val="roman"/>
    <w:notTrueType/>
    <w:pitch w:val="variable"/>
    <w:sig w:usb0="800000AF" w:usb1="4000204A" w:usb2="00000000" w:usb3="00000000" w:csb0="000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0813301"/>
      <w:docPartObj>
        <w:docPartGallery w:val="Page Numbers (Bottom of Page)"/>
        <w:docPartUnique/>
      </w:docPartObj>
    </w:sdtPr>
    <w:sdtEndPr/>
    <w:sdtContent>
      <w:p w14:paraId="0819C972" w14:textId="3E5729DC" w:rsidR="00CF219A" w:rsidRDefault="00CF219A">
        <w:pPr>
          <w:pStyle w:val="a4"/>
          <w:jc w:val="right"/>
        </w:pPr>
        <w:r>
          <w:fldChar w:fldCharType="begin"/>
        </w:r>
        <w:r>
          <w:instrText>PAGE   \* MERGEFORMAT</w:instrText>
        </w:r>
        <w:r>
          <w:fldChar w:fldCharType="separate"/>
        </w:r>
        <w:r w:rsidR="005561F1" w:rsidRPr="005561F1">
          <w:rPr>
            <w:lang w:val="zh-CN" w:eastAsia="zh-CN"/>
          </w:rPr>
          <w:t>4</w:t>
        </w:r>
        <w:r>
          <w:fldChar w:fldCharType="end"/>
        </w:r>
      </w:p>
    </w:sdtContent>
  </w:sdt>
  <w:p w14:paraId="43807F1E" w14:textId="622D8A26" w:rsidR="00CF219A" w:rsidRDefault="00CF219A">
    <w:pPr>
      <w:widowControl w:val="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8B0DC1" w14:textId="6A430AFD" w:rsidR="00CF219A" w:rsidRDefault="00CF219A" w:rsidP="003813FA">
    <w:pPr>
      <w:pStyle w:val="a4"/>
      <w:spacing w:after="120"/>
      <w:rPr>
        <w:rFonts w:ascii="Gulliver-Regular" w:hAnsi="Gulliver-Regular"/>
        <w:snapToGrid w:val="0"/>
        <w:sz w:val="18"/>
        <w:szCs w:val="18"/>
        <w:lang w:eastAsia="zh-CN"/>
      </w:rPr>
    </w:pPr>
    <w:r w:rsidRPr="00D9409D">
      <w:rPr>
        <w:rFonts w:ascii="Gulliver-Regular" w:hAnsi="Gulliver-Regular"/>
        <w:sz w:val="18"/>
        <w:szCs w:val="18"/>
      </w:rPr>
      <w:t>2095-8099/</w:t>
    </w:r>
    <w:r w:rsidRPr="00D9409D">
      <w:rPr>
        <w:rFonts w:ascii="Gulliver-Regular" w:hAnsi="Gulliver-Regular"/>
        <w:snapToGrid w:val="0"/>
        <w:sz w:val="18"/>
        <w:szCs w:val="18"/>
      </w:rPr>
      <w:t>© 20</w:t>
    </w:r>
    <w:r>
      <w:rPr>
        <w:rFonts w:ascii="Gulliver-Regular" w:hAnsi="Gulliver-Regular"/>
        <w:snapToGrid w:val="0"/>
        <w:sz w:val="18"/>
        <w:szCs w:val="18"/>
      </w:rPr>
      <w:t>21</w:t>
    </w:r>
    <w:r w:rsidRPr="00D9409D">
      <w:rPr>
        <w:rFonts w:ascii="Gulliver-Regular" w:hAnsi="Gulliver-Regular"/>
        <w:snapToGrid w:val="0"/>
        <w:sz w:val="18"/>
        <w:szCs w:val="18"/>
      </w:rPr>
      <w:t xml:space="preserve"> THE AUTHORS. Published by Elsevier LTD on behalf of Chinese Academy of Engineering and Higher Education Press Limited Company</w:t>
    </w:r>
    <w:r w:rsidRPr="00D9409D">
      <w:rPr>
        <w:rFonts w:ascii="Gulliver-Regular" w:hAnsi="Gulliver-Regular"/>
        <w:snapToGrid w:val="0"/>
        <w:sz w:val="18"/>
        <w:szCs w:val="18"/>
        <w:lang w:eastAsia="zh-CN"/>
      </w:rPr>
      <w:t xml:space="preserve">. </w:t>
    </w:r>
  </w:p>
  <w:p w14:paraId="580038AC" w14:textId="409B74D6" w:rsidR="00CF219A" w:rsidRDefault="00CF219A" w:rsidP="003813FA">
    <w:pPr>
      <w:pStyle w:val="a4"/>
      <w:spacing w:after="120"/>
    </w:pPr>
    <w:r w:rsidRPr="00D9409D">
      <w:rPr>
        <w:rFonts w:ascii="Gulliver-Regular" w:hAnsi="Gulliver-Regular"/>
        <w:snapToGrid w:val="0"/>
        <w:sz w:val="18"/>
        <w:szCs w:val="18"/>
        <w:lang w:eastAsia="zh-CN"/>
      </w:rPr>
      <w:t>This is an open access article under the CC BY-NC-ND license</w:t>
    </w:r>
    <w:r w:rsidRPr="00D9409D">
      <w:rPr>
        <w:rFonts w:ascii="Gulliver-Regular" w:hAnsi="Gulliver-Regular"/>
        <w:snapToGrid w:val="0"/>
        <w:sz w:val="18"/>
        <w:szCs w:val="18"/>
      </w:rPr>
      <w:t xml:space="preserve"> (</w:t>
    </w:r>
    <w:hyperlink r:id="rId1" w:history="1">
      <w:r w:rsidRPr="00D9409D">
        <w:rPr>
          <w:rStyle w:val="ad"/>
          <w:rFonts w:ascii="Gulliver-Regular" w:hAnsi="Gulliver-Regular"/>
          <w:snapToGrid w:val="0"/>
          <w:sz w:val="18"/>
          <w:szCs w:val="18"/>
        </w:rPr>
        <w:t>http://creativecommons.org/licenses/by-nc-nd/4.0/</w:t>
      </w:r>
    </w:hyperlink>
    <w:r w:rsidRPr="00D9409D">
      <w:rPr>
        <w:rFonts w:ascii="Gulliver-Regular" w:hAnsi="Gulliver-Regular"/>
        <w:snapToGrid w:val="0"/>
        <w:sz w:val="18"/>
        <w:szCs w:val="18"/>
      </w:rPr>
      <w:t>).</w:t>
    </w:r>
  </w:p>
  <w:p w14:paraId="7435D4AE" w14:textId="77777777" w:rsidR="00CF219A" w:rsidRDefault="00CF219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EA156B" w14:textId="77777777" w:rsidR="000F69F6" w:rsidRDefault="000F69F6">
      <w:r>
        <w:separator/>
      </w:r>
    </w:p>
  </w:footnote>
  <w:footnote w:type="continuationSeparator" w:id="0">
    <w:p w14:paraId="7A585078" w14:textId="77777777" w:rsidR="000F69F6" w:rsidRDefault="000F69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A9EF0" w14:textId="3AD766A4" w:rsidR="00CF219A" w:rsidRPr="00C36D99" w:rsidRDefault="00CF219A" w:rsidP="003813FA">
    <w:pPr>
      <w:pStyle w:val="a5"/>
      <w:jc w:val="center"/>
      <w:rPr>
        <w:sz w:val="18"/>
        <w:szCs w:val="18"/>
      </w:rPr>
    </w:pPr>
    <w:r w:rsidRPr="00D9409D">
      <w:rPr>
        <w:rFonts w:ascii="Gulliver-Regular" w:hAnsi="Gulliver-Regular"/>
        <w:sz w:val="18"/>
        <w:szCs w:val="18"/>
      </w:rPr>
      <w:t xml:space="preserve">Engineering </w:t>
    </w:r>
    <w:r>
      <w:rPr>
        <w:rFonts w:ascii="Gulliver-Regular" w:hAnsi="Gulliver-Regular"/>
        <w:sz w:val="18"/>
        <w:szCs w:val="18"/>
        <w:lang w:eastAsia="zh-CN"/>
      </w:rPr>
      <w:t>7</w:t>
    </w:r>
    <w:r w:rsidRPr="00D9409D">
      <w:rPr>
        <w:rFonts w:ascii="Gulliver-Regular" w:hAnsi="Gulliver-Regular"/>
        <w:sz w:val="18"/>
        <w:szCs w:val="18"/>
      </w:rPr>
      <w:t xml:space="preserve"> (20</w:t>
    </w:r>
    <w:r>
      <w:rPr>
        <w:rFonts w:ascii="Gulliver-Regular" w:hAnsi="Gulliver-Regular"/>
        <w:sz w:val="18"/>
        <w:szCs w:val="18"/>
      </w:rPr>
      <w:t>21</w:t>
    </w:r>
    <w:r w:rsidRPr="00D9409D">
      <w:rPr>
        <w:rFonts w:ascii="Gulliver-Regular" w:hAnsi="Gulliver-Regular"/>
        <w:sz w:val="18"/>
        <w:szCs w:val="18"/>
      </w:rPr>
      <w:t>) xxx-xxx</w:t>
    </w:r>
  </w:p>
  <w:p w14:paraId="4B7A791D" w14:textId="77777777" w:rsidR="00CF219A" w:rsidRDefault="00CF219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oNotDisplayPageBoundaries/>
  <w:embedSystemFonts/>
  <w:bordersDoNotSurroundHeader/>
  <w:bordersDoNotSurroundFooter/>
  <w:proofState w:spelling="clean" w:grammar="clean"/>
  <w:trackRevision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D36"/>
    <w:rsid w:val="00000140"/>
    <w:rsid w:val="000103B9"/>
    <w:rsid w:val="000215C4"/>
    <w:rsid w:val="000378B1"/>
    <w:rsid w:val="0004241C"/>
    <w:rsid w:val="00062ABE"/>
    <w:rsid w:val="00066B01"/>
    <w:rsid w:val="0007069D"/>
    <w:rsid w:val="00072C41"/>
    <w:rsid w:val="00072F08"/>
    <w:rsid w:val="00077B58"/>
    <w:rsid w:val="00087997"/>
    <w:rsid w:val="00091AA2"/>
    <w:rsid w:val="00097FD3"/>
    <w:rsid w:val="000A4964"/>
    <w:rsid w:val="000B2BE6"/>
    <w:rsid w:val="000B79C0"/>
    <w:rsid w:val="000C6421"/>
    <w:rsid w:val="000E327F"/>
    <w:rsid w:val="000F69F6"/>
    <w:rsid w:val="001007E7"/>
    <w:rsid w:val="00105332"/>
    <w:rsid w:val="001118A9"/>
    <w:rsid w:val="00112ECC"/>
    <w:rsid w:val="00126010"/>
    <w:rsid w:val="00147EE1"/>
    <w:rsid w:val="00161007"/>
    <w:rsid w:val="00174FA7"/>
    <w:rsid w:val="00176844"/>
    <w:rsid w:val="00183FEA"/>
    <w:rsid w:val="0019484B"/>
    <w:rsid w:val="00195DD1"/>
    <w:rsid w:val="00197E0D"/>
    <w:rsid w:val="001A016A"/>
    <w:rsid w:val="001B4CBF"/>
    <w:rsid w:val="001B608D"/>
    <w:rsid w:val="001C79F4"/>
    <w:rsid w:val="001E15AD"/>
    <w:rsid w:val="001E2E31"/>
    <w:rsid w:val="001E4649"/>
    <w:rsid w:val="002142A9"/>
    <w:rsid w:val="00216151"/>
    <w:rsid w:val="00220500"/>
    <w:rsid w:val="00244D3D"/>
    <w:rsid w:val="0025509D"/>
    <w:rsid w:val="00257D7C"/>
    <w:rsid w:val="0028068C"/>
    <w:rsid w:val="002824BD"/>
    <w:rsid w:val="0028424E"/>
    <w:rsid w:val="00286B5B"/>
    <w:rsid w:val="002B2FAC"/>
    <w:rsid w:val="002C1F9F"/>
    <w:rsid w:val="002C2187"/>
    <w:rsid w:val="002D3DE2"/>
    <w:rsid w:val="002E0A68"/>
    <w:rsid w:val="002F0454"/>
    <w:rsid w:val="002F236F"/>
    <w:rsid w:val="00322DE1"/>
    <w:rsid w:val="003244F6"/>
    <w:rsid w:val="00330642"/>
    <w:rsid w:val="00333AF4"/>
    <w:rsid w:val="00340A7F"/>
    <w:rsid w:val="00366CEF"/>
    <w:rsid w:val="003779A0"/>
    <w:rsid w:val="003813FA"/>
    <w:rsid w:val="00392184"/>
    <w:rsid w:val="003A094F"/>
    <w:rsid w:val="003D02D9"/>
    <w:rsid w:val="003D683D"/>
    <w:rsid w:val="003E166C"/>
    <w:rsid w:val="0040324F"/>
    <w:rsid w:val="00403780"/>
    <w:rsid w:val="00423A39"/>
    <w:rsid w:val="00423B26"/>
    <w:rsid w:val="004423ED"/>
    <w:rsid w:val="004429F3"/>
    <w:rsid w:val="00450CCF"/>
    <w:rsid w:val="004562E6"/>
    <w:rsid w:val="00466743"/>
    <w:rsid w:val="0046762D"/>
    <w:rsid w:val="00467F76"/>
    <w:rsid w:val="0048205C"/>
    <w:rsid w:val="004827EA"/>
    <w:rsid w:val="004B6DBC"/>
    <w:rsid w:val="004C2C86"/>
    <w:rsid w:val="004E5BE7"/>
    <w:rsid w:val="004F038A"/>
    <w:rsid w:val="004F5D9B"/>
    <w:rsid w:val="004F7EA0"/>
    <w:rsid w:val="005513EB"/>
    <w:rsid w:val="005561F1"/>
    <w:rsid w:val="005606F2"/>
    <w:rsid w:val="005614FB"/>
    <w:rsid w:val="00562452"/>
    <w:rsid w:val="005667E5"/>
    <w:rsid w:val="005862D0"/>
    <w:rsid w:val="005A2A97"/>
    <w:rsid w:val="005A3E68"/>
    <w:rsid w:val="005B6932"/>
    <w:rsid w:val="005C62E1"/>
    <w:rsid w:val="005D18A2"/>
    <w:rsid w:val="005D576E"/>
    <w:rsid w:val="005D5FDE"/>
    <w:rsid w:val="005F68F7"/>
    <w:rsid w:val="0060476C"/>
    <w:rsid w:val="0060721C"/>
    <w:rsid w:val="006109B4"/>
    <w:rsid w:val="00632ADE"/>
    <w:rsid w:val="00647D16"/>
    <w:rsid w:val="006540C8"/>
    <w:rsid w:val="00686662"/>
    <w:rsid w:val="006D10F2"/>
    <w:rsid w:val="006D29FC"/>
    <w:rsid w:val="006D39EC"/>
    <w:rsid w:val="006E4046"/>
    <w:rsid w:val="006E5C66"/>
    <w:rsid w:val="006F03D3"/>
    <w:rsid w:val="006F6C32"/>
    <w:rsid w:val="0070380F"/>
    <w:rsid w:val="007255E6"/>
    <w:rsid w:val="00726A8B"/>
    <w:rsid w:val="00726DDB"/>
    <w:rsid w:val="00734E15"/>
    <w:rsid w:val="0073629F"/>
    <w:rsid w:val="0075083F"/>
    <w:rsid w:val="0075710E"/>
    <w:rsid w:val="0077303D"/>
    <w:rsid w:val="00782D2D"/>
    <w:rsid w:val="0078605F"/>
    <w:rsid w:val="00786831"/>
    <w:rsid w:val="00790182"/>
    <w:rsid w:val="00792AFF"/>
    <w:rsid w:val="00797E62"/>
    <w:rsid w:val="007C2B10"/>
    <w:rsid w:val="007C7744"/>
    <w:rsid w:val="007D27A7"/>
    <w:rsid w:val="007D6BA5"/>
    <w:rsid w:val="007E1A88"/>
    <w:rsid w:val="007E6344"/>
    <w:rsid w:val="007F4412"/>
    <w:rsid w:val="00800B35"/>
    <w:rsid w:val="008143D1"/>
    <w:rsid w:val="00814B24"/>
    <w:rsid w:val="008155D9"/>
    <w:rsid w:val="00816E63"/>
    <w:rsid w:val="00831049"/>
    <w:rsid w:val="008670D1"/>
    <w:rsid w:val="00870C32"/>
    <w:rsid w:val="008B42EA"/>
    <w:rsid w:val="008B4FF9"/>
    <w:rsid w:val="008E1617"/>
    <w:rsid w:val="008E58FF"/>
    <w:rsid w:val="008F7CAB"/>
    <w:rsid w:val="008F7CC2"/>
    <w:rsid w:val="00904F06"/>
    <w:rsid w:val="00914D36"/>
    <w:rsid w:val="00923E6D"/>
    <w:rsid w:val="009245FA"/>
    <w:rsid w:val="00944F2E"/>
    <w:rsid w:val="009509B3"/>
    <w:rsid w:val="00962D66"/>
    <w:rsid w:val="00970080"/>
    <w:rsid w:val="00976B46"/>
    <w:rsid w:val="00986095"/>
    <w:rsid w:val="009905A3"/>
    <w:rsid w:val="00990A97"/>
    <w:rsid w:val="00992CF2"/>
    <w:rsid w:val="00997E8D"/>
    <w:rsid w:val="009C138A"/>
    <w:rsid w:val="009C3905"/>
    <w:rsid w:val="009C6DC2"/>
    <w:rsid w:val="00A119E5"/>
    <w:rsid w:val="00A12151"/>
    <w:rsid w:val="00A4193D"/>
    <w:rsid w:val="00A62FF4"/>
    <w:rsid w:val="00A81AE8"/>
    <w:rsid w:val="00AA5568"/>
    <w:rsid w:val="00AB1C53"/>
    <w:rsid w:val="00AC5FFE"/>
    <w:rsid w:val="00AE31CE"/>
    <w:rsid w:val="00AE32DC"/>
    <w:rsid w:val="00AF2CAE"/>
    <w:rsid w:val="00B25144"/>
    <w:rsid w:val="00B36636"/>
    <w:rsid w:val="00B36E67"/>
    <w:rsid w:val="00B437D2"/>
    <w:rsid w:val="00B5204C"/>
    <w:rsid w:val="00B559E7"/>
    <w:rsid w:val="00B55F09"/>
    <w:rsid w:val="00B5793B"/>
    <w:rsid w:val="00B91D18"/>
    <w:rsid w:val="00BA6B43"/>
    <w:rsid w:val="00BB4AF6"/>
    <w:rsid w:val="00BB71B3"/>
    <w:rsid w:val="00BB7BE5"/>
    <w:rsid w:val="00BB7E79"/>
    <w:rsid w:val="00BD2EDE"/>
    <w:rsid w:val="00BE36F1"/>
    <w:rsid w:val="00BF2AED"/>
    <w:rsid w:val="00C26AEB"/>
    <w:rsid w:val="00C276D2"/>
    <w:rsid w:val="00C4010C"/>
    <w:rsid w:val="00C40D66"/>
    <w:rsid w:val="00C41B8B"/>
    <w:rsid w:val="00C47AC2"/>
    <w:rsid w:val="00C53BF1"/>
    <w:rsid w:val="00C632A2"/>
    <w:rsid w:val="00C666BB"/>
    <w:rsid w:val="00C66FDD"/>
    <w:rsid w:val="00C70B6E"/>
    <w:rsid w:val="00C76415"/>
    <w:rsid w:val="00C91208"/>
    <w:rsid w:val="00C94243"/>
    <w:rsid w:val="00C96854"/>
    <w:rsid w:val="00CA314F"/>
    <w:rsid w:val="00CA55B5"/>
    <w:rsid w:val="00CA5FD2"/>
    <w:rsid w:val="00CA7872"/>
    <w:rsid w:val="00CB3587"/>
    <w:rsid w:val="00CB78CE"/>
    <w:rsid w:val="00CF219A"/>
    <w:rsid w:val="00D118DA"/>
    <w:rsid w:val="00D26011"/>
    <w:rsid w:val="00D46AA7"/>
    <w:rsid w:val="00D46DD3"/>
    <w:rsid w:val="00D65B1D"/>
    <w:rsid w:val="00D66089"/>
    <w:rsid w:val="00D664AA"/>
    <w:rsid w:val="00D6678C"/>
    <w:rsid w:val="00D67236"/>
    <w:rsid w:val="00D67D8F"/>
    <w:rsid w:val="00D87921"/>
    <w:rsid w:val="00DC3EF2"/>
    <w:rsid w:val="00DE1D36"/>
    <w:rsid w:val="00DF317B"/>
    <w:rsid w:val="00E16894"/>
    <w:rsid w:val="00E45B32"/>
    <w:rsid w:val="00E46845"/>
    <w:rsid w:val="00E514DF"/>
    <w:rsid w:val="00E52858"/>
    <w:rsid w:val="00E73426"/>
    <w:rsid w:val="00E84447"/>
    <w:rsid w:val="00E97E04"/>
    <w:rsid w:val="00EA0D0B"/>
    <w:rsid w:val="00EA2A89"/>
    <w:rsid w:val="00EA51ED"/>
    <w:rsid w:val="00EB6BEE"/>
    <w:rsid w:val="00EE4B29"/>
    <w:rsid w:val="00EF3234"/>
    <w:rsid w:val="00F0371C"/>
    <w:rsid w:val="00F064E7"/>
    <w:rsid w:val="00F1381B"/>
    <w:rsid w:val="00F21F05"/>
    <w:rsid w:val="00F2313B"/>
    <w:rsid w:val="00F42F33"/>
    <w:rsid w:val="00F44855"/>
    <w:rsid w:val="00F4650B"/>
    <w:rsid w:val="00F54CA9"/>
    <w:rsid w:val="00F90904"/>
    <w:rsid w:val="00F95AF7"/>
    <w:rsid w:val="00FA7971"/>
    <w:rsid w:val="00FC3404"/>
    <w:rsid w:val="00FD4D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B65E0E4"/>
  <w14:defaultImageDpi w14:val="96"/>
  <w15:docId w15:val="{E179F1EB-8B9C-4F8A-888C-EB843DA65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adjustRightInd w:val="0"/>
      <w:spacing w:after="0" w:line="240" w:lineRule="auto"/>
      <w:jc w:val="both"/>
    </w:pPr>
    <w:rPr>
      <w:rFonts w:ascii="Times New Roman" w:hAnsi="Times New Roman" w:cs="Times New Roman"/>
      <w:noProof/>
      <w:sz w:val="24"/>
      <w:szCs w:val="24"/>
    </w:rPr>
  </w:style>
  <w:style w:type="paragraph" w:styleId="1">
    <w:name w:val="heading 1"/>
    <w:basedOn w:val="a"/>
    <w:next w:val="a"/>
    <w:link w:val="1Char"/>
    <w:uiPriority w:val="99"/>
    <w:qFormat/>
    <w:pPr>
      <w:keepNext/>
      <w:widowControl w:val="0"/>
      <w:spacing w:before="240" w:after="120"/>
      <w:jc w:val="left"/>
      <w:outlineLvl w:val="0"/>
    </w:pPr>
    <w:rPr>
      <w:b/>
      <w:bCs/>
      <w:sz w:val="40"/>
      <w:szCs w:val="40"/>
    </w:rPr>
  </w:style>
  <w:style w:type="paragraph" w:styleId="2">
    <w:name w:val="heading 2"/>
    <w:basedOn w:val="a"/>
    <w:next w:val="a"/>
    <w:link w:val="2Char"/>
    <w:uiPriority w:val="99"/>
    <w:qFormat/>
    <w:pPr>
      <w:keepNext/>
      <w:widowControl w:val="0"/>
      <w:spacing w:before="240" w:after="120"/>
      <w:jc w:val="left"/>
      <w:outlineLvl w:val="1"/>
    </w:pPr>
    <w:rPr>
      <w:b/>
      <w:bCs/>
      <w:sz w:val="32"/>
      <w:szCs w:val="32"/>
    </w:rPr>
  </w:style>
  <w:style w:type="paragraph" w:styleId="3">
    <w:name w:val="heading 3"/>
    <w:basedOn w:val="a"/>
    <w:next w:val="a"/>
    <w:link w:val="3Char"/>
    <w:uiPriority w:val="99"/>
    <w:qFormat/>
    <w:pPr>
      <w:keepNext/>
      <w:widowControl w:val="0"/>
      <w:spacing w:before="240" w:after="120"/>
      <w:jc w:val="left"/>
      <w:outlineLvl w:val="2"/>
    </w:pPr>
    <w:rPr>
      <w:b/>
      <w:bCs/>
      <w:sz w:val="32"/>
      <w:szCs w:val="32"/>
    </w:rPr>
  </w:style>
  <w:style w:type="paragraph" w:styleId="4">
    <w:name w:val="heading 4"/>
    <w:basedOn w:val="a"/>
    <w:next w:val="a"/>
    <w:link w:val="4Char"/>
    <w:uiPriority w:val="99"/>
    <w:qFormat/>
    <w:pPr>
      <w:keepNext/>
      <w:widowControl w:val="0"/>
      <w:spacing w:before="240" w:after="120"/>
      <w:jc w:val="left"/>
      <w:outlineLvl w:val="3"/>
    </w:pPr>
    <w:rPr>
      <w:b/>
      <w:bCs/>
    </w:rPr>
  </w:style>
  <w:style w:type="paragraph" w:styleId="5">
    <w:name w:val="heading 5"/>
    <w:basedOn w:val="a"/>
    <w:next w:val="a"/>
    <w:link w:val="5Char"/>
    <w:uiPriority w:val="99"/>
    <w:qFormat/>
    <w:pPr>
      <w:keepNext/>
      <w:widowControl w:val="0"/>
      <w:spacing w:before="240" w:after="120"/>
      <w:jc w:val="left"/>
      <w:outlineLvl w:val="4"/>
    </w:pPr>
    <w:rPr>
      <w:b/>
      <w:bCs/>
    </w:rPr>
  </w:style>
  <w:style w:type="paragraph" w:styleId="6">
    <w:name w:val="heading 6"/>
    <w:basedOn w:val="a"/>
    <w:next w:val="a"/>
    <w:link w:val="6Char"/>
    <w:uiPriority w:val="99"/>
    <w:qFormat/>
    <w:pPr>
      <w:keepNext/>
      <w:widowControl w:val="0"/>
      <w:spacing w:before="240" w:after="120"/>
      <w:jc w:val="left"/>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t">
    <w:name w:val="Part"/>
    <w:basedOn w:val="a"/>
    <w:next w:val="a"/>
    <w:uiPriority w:val="99"/>
    <w:pPr>
      <w:keepNext/>
      <w:widowControl w:val="0"/>
      <w:spacing w:before="240" w:after="120"/>
      <w:jc w:val="center"/>
    </w:pPr>
    <w:rPr>
      <w:b/>
      <w:bCs/>
      <w:sz w:val="40"/>
      <w:szCs w:val="40"/>
    </w:rPr>
  </w:style>
  <w:style w:type="character" w:customStyle="1" w:styleId="1Char">
    <w:name w:val="标题 1 Char"/>
    <w:basedOn w:val="a0"/>
    <w:link w:val="1"/>
    <w:uiPriority w:val="9"/>
    <w:rPr>
      <w:rFonts w:asciiTheme="majorHAnsi" w:eastAsiaTheme="majorEastAsia" w:hAnsiTheme="majorHAnsi" w:cstheme="majorBidi"/>
      <w:b/>
      <w:bCs/>
      <w:noProof/>
      <w:kern w:val="32"/>
      <w:sz w:val="32"/>
      <w:szCs w:val="32"/>
    </w:rPr>
  </w:style>
  <w:style w:type="character" w:customStyle="1" w:styleId="2Char">
    <w:name w:val="标题 2 Char"/>
    <w:basedOn w:val="a0"/>
    <w:link w:val="2"/>
    <w:uiPriority w:val="99"/>
    <w:rPr>
      <w:rFonts w:asciiTheme="majorHAnsi" w:eastAsiaTheme="majorEastAsia" w:hAnsiTheme="majorHAnsi" w:cstheme="majorBidi"/>
      <w:b/>
      <w:bCs/>
      <w:i/>
      <w:iCs/>
      <w:noProof/>
      <w:sz w:val="28"/>
      <w:szCs w:val="28"/>
    </w:rPr>
  </w:style>
  <w:style w:type="character" w:customStyle="1" w:styleId="3Char">
    <w:name w:val="标题 3 Char"/>
    <w:basedOn w:val="a0"/>
    <w:link w:val="3"/>
    <w:uiPriority w:val="9"/>
    <w:semiHidden/>
    <w:rPr>
      <w:rFonts w:asciiTheme="majorHAnsi" w:eastAsiaTheme="majorEastAsia" w:hAnsiTheme="majorHAnsi" w:cstheme="majorBidi"/>
      <w:b/>
      <w:bCs/>
      <w:noProof/>
      <w:sz w:val="26"/>
      <w:szCs w:val="26"/>
    </w:rPr>
  </w:style>
  <w:style w:type="character" w:customStyle="1" w:styleId="4Char">
    <w:name w:val="标题 4 Char"/>
    <w:basedOn w:val="a0"/>
    <w:link w:val="4"/>
    <w:uiPriority w:val="9"/>
    <w:semiHidden/>
    <w:rPr>
      <w:b/>
      <w:bCs/>
      <w:noProof/>
      <w:sz w:val="28"/>
      <w:szCs w:val="28"/>
    </w:rPr>
  </w:style>
  <w:style w:type="character" w:customStyle="1" w:styleId="5Char">
    <w:name w:val="标题 5 Char"/>
    <w:basedOn w:val="a0"/>
    <w:link w:val="5"/>
    <w:uiPriority w:val="9"/>
    <w:semiHidden/>
    <w:rPr>
      <w:b/>
      <w:bCs/>
      <w:i/>
      <w:iCs/>
      <w:noProof/>
      <w:sz w:val="26"/>
      <w:szCs w:val="26"/>
    </w:rPr>
  </w:style>
  <w:style w:type="character" w:customStyle="1" w:styleId="6Char">
    <w:name w:val="标题 6 Char"/>
    <w:basedOn w:val="a0"/>
    <w:link w:val="6"/>
    <w:uiPriority w:val="9"/>
    <w:semiHidden/>
    <w:rPr>
      <w:b/>
      <w:bCs/>
      <w:noProof/>
    </w:rPr>
  </w:style>
  <w:style w:type="paragraph" w:customStyle="1" w:styleId="rightpar">
    <w:name w:val="rightpar"/>
    <w:basedOn w:val="a"/>
    <w:uiPriority w:val="99"/>
    <w:pPr>
      <w:keepLines/>
      <w:spacing w:before="120" w:after="120"/>
      <w:jc w:val="right"/>
    </w:pPr>
  </w:style>
  <w:style w:type="paragraph" w:customStyle="1" w:styleId="centerpar">
    <w:name w:val="centerpar"/>
    <w:basedOn w:val="a"/>
    <w:uiPriority w:val="99"/>
    <w:pPr>
      <w:keepLines/>
      <w:spacing w:before="120" w:after="120"/>
      <w:jc w:val="center"/>
    </w:pPr>
  </w:style>
  <w:style w:type="paragraph" w:customStyle="1" w:styleId="equation">
    <w:name w:val="equation"/>
    <w:basedOn w:val="a"/>
    <w:next w:val="a"/>
    <w:uiPriority w:val="99"/>
    <w:pPr>
      <w:keepLines/>
      <w:spacing w:before="120" w:after="120"/>
      <w:jc w:val="left"/>
    </w:pPr>
  </w:style>
  <w:style w:type="paragraph" w:customStyle="1" w:styleId="equationNum">
    <w:name w:val="equationNum"/>
    <w:basedOn w:val="a"/>
    <w:next w:val="a"/>
    <w:uiPriority w:val="99"/>
    <w:pPr>
      <w:keepLines/>
      <w:spacing w:before="120" w:after="120"/>
      <w:jc w:val="left"/>
    </w:pPr>
  </w:style>
  <w:style w:type="paragraph" w:customStyle="1" w:styleId="equationAlign">
    <w:name w:val="equationAlign"/>
    <w:basedOn w:val="a"/>
    <w:next w:val="a"/>
    <w:uiPriority w:val="99"/>
    <w:pPr>
      <w:keepLines/>
      <w:spacing w:before="120" w:after="120"/>
      <w:jc w:val="left"/>
    </w:pPr>
  </w:style>
  <w:style w:type="paragraph" w:customStyle="1" w:styleId="equationAlignNum">
    <w:name w:val="equationAlignNum"/>
    <w:basedOn w:val="a"/>
    <w:next w:val="a"/>
    <w:uiPriority w:val="99"/>
    <w:pPr>
      <w:keepLines/>
      <w:spacing w:before="120" w:after="120"/>
      <w:jc w:val="left"/>
    </w:pPr>
  </w:style>
  <w:style w:type="paragraph" w:customStyle="1" w:styleId="equationArray">
    <w:name w:val="equationArray"/>
    <w:basedOn w:val="a"/>
    <w:next w:val="a"/>
    <w:uiPriority w:val="99"/>
    <w:pPr>
      <w:keepLines/>
      <w:spacing w:before="120" w:after="120"/>
      <w:jc w:val="left"/>
    </w:pPr>
  </w:style>
  <w:style w:type="paragraph" w:customStyle="1" w:styleId="equationArrayNum">
    <w:name w:val="equationArrayNum"/>
    <w:basedOn w:val="a"/>
    <w:next w:val="a"/>
    <w:uiPriority w:val="99"/>
    <w:pPr>
      <w:keepLines/>
      <w:spacing w:before="120" w:after="120"/>
      <w:jc w:val="left"/>
    </w:pPr>
  </w:style>
  <w:style w:type="paragraph" w:customStyle="1" w:styleId="theorem">
    <w:name w:val="theorem"/>
    <w:basedOn w:val="a"/>
    <w:next w:val="a"/>
    <w:uiPriority w:val="99"/>
    <w:pPr>
      <w:keepLines/>
      <w:spacing w:before="120" w:after="120"/>
      <w:jc w:val="left"/>
    </w:pPr>
    <w:rPr>
      <w:sz w:val="20"/>
      <w:szCs w:val="20"/>
    </w:rPr>
  </w:style>
  <w:style w:type="paragraph" w:customStyle="1" w:styleId="bitmapCenter">
    <w:name w:val="bitmapCenter"/>
    <w:basedOn w:val="a"/>
    <w:next w:val="a"/>
    <w:uiPriority w:val="99"/>
    <w:pPr>
      <w:keepLines/>
      <w:spacing w:before="120" w:after="120"/>
      <w:jc w:val="left"/>
    </w:pPr>
  </w:style>
  <w:style w:type="paragraph" w:styleId="a3">
    <w:name w:val="Title"/>
    <w:basedOn w:val="a"/>
    <w:next w:val="author"/>
    <w:link w:val="Char"/>
    <w:qFormat/>
    <w:pPr>
      <w:widowControl w:val="0"/>
      <w:spacing w:before="240" w:after="240"/>
      <w:jc w:val="center"/>
    </w:pPr>
    <w:rPr>
      <w:b/>
      <w:bCs/>
      <w:sz w:val="36"/>
      <w:szCs w:val="36"/>
    </w:rPr>
  </w:style>
  <w:style w:type="character" w:customStyle="1" w:styleId="Char">
    <w:name w:val="标题 Char"/>
    <w:basedOn w:val="a0"/>
    <w:link w:val="a3"/>
    <w:uiPriority w:val="10"/>
    <w:rPr>
      <w:rFonts w:asciiTheme="majorHAnsi" w:eastAsiaTheme="majorEastAsia" w:hAnsiTheme="majorHAnsi" w:cstheme="majorBidi"/>
      <w:b/>
      <w:bCs/>
      <w:noProof/>
      <w:kern w:val="28"/>
      <w:sz w:val="32"/>
      <w:szCs w:val="32"/>
    </w:rPr>
  </w:style>
  <w:style w:type="paragraph" w:customStyle="1" w:styleId="author">
    <w:name w:val="author"/>
    <w:basedOn w:val="a"/>
    <w:next w:val="a"/>
    <w:uiPriority w:val="99"/>
    <w:pPr>
      <w:widowControl w:val="0"/>
      <w:spacing w:after="120"/>
      <w:jc w:val="center"/>
    </w:pPr>
  </w:style>
  <w:style w:type="paragraph" w:styleId="a4">
    <w:name w:val="footer"/>
    <w:basedOn w:val="a"/>
    <w:link w:val="Char0"/>
    <w:uiPriority w:val="99"/>
    <w:pPr>
      <w:widowControl w:val="0"/>
      <w:tabs>
        <w:tab w:val="center" w:pos="4536"/>
        <w:tab w:val="right" w:pos="9072"/>
      </w:tabs>
      <w:jc w:val="left"/>
    </w:pPr>
    <w:rPr>
      <w:sz w:val="20"/>
      <w:szCs w:val="20"/>
    </w:rPr>
  </w:style>
  <w:style w:type="character" w:customStyle="1" w:styleId="Char0">
    <w:name w:val="页脚 Char"/>
    <w:basedOn w:val="a0"/>
    <w:link w:val="a4"/>
    <w:uiPriority w:val="99"/>
    <w:rPr>
      <w:rFonts w:ascii="Times New Roman" w:hAnsi="Times New Roman" w:cs="Times New Roman"/>
      <w:noProof/>
      <w:sz w:val="24"/>
      <w:szCs w:val="24"/>
    </w:rPr>
  </w:style>
  <w:style w:type="paragraph" w:styleId="a5">
    <w:name w:val="header"/>
    <w:basedOn w:val="a"/>
    <w:link w:val="Char1"/>
    <w:uiPriority w:val="99"/>
    <w:pPr>
      <w:widowControl w:val="0"/>
      <w:tabs>
        <w:tab w:val="center" w:pos="4536"/>
        <w:tab w:val="right" w:pos="9072"/>
      </w:tabs>
      <w:jc w:val="left"/>
    </w:pPr>
    <w:rPr>
      <w:sz w:val="20"/>
      <w:szCs w:val="20"/>
    </w:rPr>
  </w:style>
  <w:style w:type="character" w:customStyle="1" w:styleId="Char1">
    <w:name w:val="页眉 Char"/>
    <w:basedOn w:val="a0"/>
    <w:link w:val="a5"/>
    <w:uiPriority w:val="99"/>
    <w:rPr>
      <w:rFonts w:ascii="Times New Roman" w:hAnsi="Times New Roman" w:cs="Times New Roman"/>
      <w:noProof/>
      <w:sz w:val="24"/>
      <w:szCs w:val="24"/>
    </w:rPr>
  </w:style>
  <w:style w:type="paragraph" w:styleId="a6">
    <w:name w:val="caption"/>
    <w:basedOn w:val="a"/>
    <w:next w:val="a"/>
    <w:uiPriority w:val="99"/>
    <w:qFormat/>
    <w:pPr>
      <w:keepLines/>
      <w:spacing w:before="120" w:after="120"/>
      <w:jc w:val="left"/>
    </w:pPr>
  </w:style>
  <w:style w:type="paragraph" w:customStyle="1" w:styleId="Figure">
    <w:name w:val="Figure"/>
    <w:basedOn w:val="a"/>
    <w:next w:val="a"/>
    <w:uiPriority w:val="99"/>
    <w:pPr>
      <w:keepLines/>
      <w:spacing w:before="120"/>
      <w:jc w:val="center"/>
    </w:pPr>
    <w:rPr>
      <w:sz w:val="20"/>
      <w:szCs w:val="20"/>
    </w:rPr>
  </w:style>
  <w:style w:type="paragraph" w:customStyle="1" w:styleId="Table">
    <w:name w:val="Table"/>
    <w:basedOn w:val="a"/>
    <w:uiPriority w:val="99"/>
    <w:pPr>
      <w:keepLines/>
      <w:spacing w:before="120"/>
      <w:jc w:val="center"/>
    </w:pPr>
    <w:rPr>
      <w:sz w:val="20"/>
      <w:szCs w:val="20"/>
    </w:rPr>
  </w:style>
  <w:style w:type="paragraph" w:customStyle="1" w:styleId="Tabular">
    <w:name w:val="Tabular"/>
    <w:basedOn w:val="a"/>
    <w:uiPriority w:val="99"/>
    <w:pPr>
      <w:keepLines/>
      <w:spacing w:before="120"/>
      <w:jc w:val="center"/>
    </w:pPr>
    <w:rPr>
      <w:sz w:val="20"/>
      <w:szCs w:val="20"/>
    </w:rPr>
  </w:style>
  <w:style w:type="paragraph" w:customStyle="1" w:styleId="Tabbing">
    <w:name w:val="Tabbing"/>
    <w:basedOn w:val="a"/>
    <w:uiPriority w:val="99"/>
    <w:pPr>
      <w:keepLines/>
      <w:spacing w:before="120"/>
      <w:jc w:val="center"/>
    </w:pPr>
    <w:rPr>
      <w:sz w:val="20"/>
      <w:szCs w:val="20"/>
    </w:rPr>
  </w:style>
  <w:style w:type="paragraph" w:styleId="a7">
    <w:name w:val="Quote"/>
    <w:basedOn w:val="a"/>
    <w:link w:val="Char2"/>
    <w:uiPriority w:val="99"/>
    <w:qFormat/>
    <w:pPr>
      <w:ind w:left="1024" w:right="1024" w:firstLine="340"/>
    </w:pPr>
    <w:rPr>
      <w:sz w:val="20"/>
      <w:szCs w:val="20"/>
    </w:rPr>
  </w:style>
  <w:style w:type="character" w:customStyle="1" w:styleId="Char2">
    <w:name w:val="引用 Char"/>
    <w:basedOn w:val="a0"/>
    <w:link w:val="a7"/>
    <w:uiPriority w:val="29"/>
    <w:rPr>
      <w:rFonts w:ascii="Times New Roman" w:hAnsi="Times New Roman" w:cs="Times New Roman"/>
      <w:i/>
      <w:iCs/>
      <w:noProof/>
      <w:color w:val="000000" w:themeColor="text1"/>
      <w:sz w:val="24"/>
      <w:szCs w:val="24"/>
    </w:rPr>
  </w:style>
  <w:style w:type="paragraph" w:customStyle="1" w:styleId="verbatim">
    <w:name w:val="verbatim"/>
    <w:uiPriority w:val="99"/>
    <w:pPr>
      <w:autoSpaceDE w:val="0"/>
      <w:autoSpaceDN w:val="0"/>
      <w:adjustRightInd w:val="0"/>
      <w:spacing w:after="0" w:line="240" w:lineRule="auto"/>
    </w:pPr>
    <w:rPr>
      <w:rFonts w:ascii="Courier New" w:hAnsi="Courier New" w:cs="Courier New"/>
      <w:noProof/>
      <w:sz w:val="24"/>
      <w:szCs w:val="24"/>
    </w:rPr>
  </w:style>
  <w:style w:type="paragraph" w:styleId="a8">
    <w:name w:val="List"/>
    <w:basedOn w:val="a"/>
    <w:uiPriority w:val="99"/>
    <w:pPr>
      <w:tabs>
        <w:tab w:val="left" w:pos="283"/>
      </w:tabs>
      <w:spacing w:after="120"/>
      <w:ind w:left="283" w:hanging="283"/>
      <w:jc w:val="left"/>
    </w:pPr>
    <w:rPr>
      <w:sz w:val="20"/>
      <w:szCs w:val="20"/>
    </w:rPr>
  </w:style>
  <w:style w:type="paragraph" w:customStyle="1" w:styleId="List1">
    <w:name w:val="List 1"/>
    <w:basedOn w:val="a"/>
    <w:uiPriority w:val="99"/>
    <w:pPr>
      <w:tabs>
        <w:tab w:val="left" w:pos="283"/>
      </w:tabs>
      <w:spacing w:after="120"/>
      <w:ind w:left="283" w:hanging="283"/>
      <w:jc w:val="left"/>
    </w:pPr>
    <w:rPr>
      <w:sz w:val="20"/>
      <w:szCs w:val="20"/>
    </w:rPr>
  </w:style>
  <w:style w:type="paragraph" w:customStyle="1" w:styleId="latexpicture">
    <w:name w:val="latex picture"/>
    <w:basedOn w:val="a"/>
    <w:next w:val="a"/>
    <w:uiPriority w:val="99"/>
    <w:pPr>
      <w:keepLines/>
      <w:spacing w:before="120" w:after="120"/>
      <w:jc w:val="center"/>
    </w:pPr>
  </w:style>
  <w:style w:type="paragraph" w:customStyle="1" w:styleId="subfigure">
    <w:name w:val="subfigure"/>
    <w:basedOn w:val="a"/>
    <w:next w:val="a"/>
    <w:uiPriority w:val="99"/>
    <w:pPr>
      <w:keepLines/>
      <w:spacing w:before="120" w:after="120"/>
      <w:jc w:val="center"/>
    </w:pPr>
  </w:style>
  <w:style w:type="paragraph" w:customStyle="1" w:styleId="bibheading">
    <w:name w:val="bibheading"/>
    <w:basedOn w:val="a"/>
    <w:next w:val="bibitem"/>
    <w:uiPriority w:val="99"/>
    <w:pPr>
      <w:keepNext/>
      <w:widowControl w:val="0"/>
      <w:spacing w:before="240" w:after="120"/>
      <w:jc w:val="left"/>
    </w:pPr>
    <w:rPr>
      <w:b/>
      <w:bCs/>
      <w:sz w:val="32"/>
      <w:szCs w:val="32"/>
    </w:rPr>
  </w:style>
  <w:style w:type="paragraph" w:customStyle="1" w:styleId="bibitem">
    <w:name w:val="bibitem"/>
    <w:basedOn w:val="a"/>
    <w:uiPriority w:val="99"/>
    <w:pPr>
      <w:widowControl w:val="0"/>
      <w:ind w:left="567" w:hanging="567"/>
      <w:jc w:val="left"/>
    </w:pPr>
    <w:rPr>
      <w:sz w:val="20"/>
      <w:szCs w:val="20"/>
    </w:rPr>
  </w:style>
  <w:style w:type="paragraph" w:customStyle="1" w:styleId="endnotes">
    <w:name w:val="endnotes"/>
    <w:basedOn w:val="a"/>
    <w:uiPriority w:val="99"/>
    <w:pPr>
      <w:tabs>
        <w:tab w:val="left" w:pos="283"/>
      </w:tabs>
      <w:spacing w:after="120"/>
      <w:ind w:left="283" w:hanging="283"/>
      <w:jc w:val="left"/>
    </w:pPr>
    <w:rPr>
      <w:sz w:val="20"/>
      <w:szCs w:val="20"/>
    </w:rPr>
  </w:style>
  <w:style w:type="paragraph" w:styleId="a9">
    <w:name w:val="footnote text"/>
    <w:basedOn w:val="a"/>
    <w:link w:val="Char3"/>
    <w:uiPriority w:val="99"/>
    <w:pPr>
      <w:widowControl w:val="0"/>
      <w:ind w:left="397" w:hanging="113"/>
      <w:jc w:val="left"/>
    </w:pPr>
  </w:style>
  <w:style w:type="character" w:customStyle="1" w:styleId="Char3">
    <w:name w:val="脚注文本 Char"/>
    <w:basedOn w:val="a0"/>
    <w:link w:val="a9"/>
    <w:uiPriority w:val="99"/>
    <w:semiHidden/>
    <w:rPr>
      <w:rFonts w:ascii="Times New Roman" w:hAnsi="Times New Roman" w:cs="Times New Roman"/>
      <w:noProof/>
      <w:sz w:val="20"/>
      <w:szCs w:val="20"/>
    </w:rPr>
  </w:style>
  <w:style w:type="paragraph" w:styleId="aa">
    <w:name w:val="endnote text"/>
    <w:basedOn w:val="a"/>
    <w:link w:val="Char4"/>
    <w:uiPriority w:val="99"/>
    <w:pPr>
      <w:widowControl w:val="0"/>
      <w:ind w:left="454" w:hanging="170"/>
    </w:pPr>
  </w:style>
  <w:style w:type="character" w:customStyle="1" w:styleId="Char4">
    <w:name w:val="尾注文本 Char"/>
    <w:basedOn w:val="a0"/>
    <w:link w:val="aa"/>
    <w:uiPriority w:val="99"/>
    <w:semiHidden/>
    <w:rPr>
      <w:rFonts w:ascii="Times New Roman" w:hAnsi="Times New Roman" w:cs="Times New Roman"/>
      <w:noProof/>
      <w:sz w:val="20"/>
      <w:szCs w:val="20"/>
    </w:rPr>
  </w:style>
  <w:style w:type="character" w:styleId="ab">
    <w:name w:val="footnote reference"/>
    <w:basedOn w:val="a0"/>
    <w:uiPriority w:val="99"/>
    <w:semiHidden/>
    <w:unhideWhenUsed/>
    <w:rPr>
      <w:vertAlign w:val="superscript"/>
    </w:rPr>
  </w:style>
  <w:style w:type="character" w:styleId="ac">
    <w:name w:val="endnote reference"/>
    <w:basedOn w:val="a0"/>
    <w:uiPriority w:val="99"/>
    <w:rPr>
      <w:vertAlign w:val="superscript"/>
    </w:rPr>
  </w:style>
  <w:style w:type="paragraph" w:customStyle="1" w:styleId="acronym">
    <w:name w:val="acronym"/>
    <w:basedOn w:val="a"/>
    <w:uiPriority w:val="99"/>
    <w:pPr>
      <w:keepNext/>
      <w:widowControl w:val="0"/>
      <w:spacing w:before="60" w:after="60"/>
      <w:jc w:val="left"/>
    </w:pPr>
  </w:style>
  <w:style w:type="paragraph" w:customStyle="1" w:styleId="abstracttitle">
    <w:name w:val="abstract title"/>
    <w:basedOn w:val="a"/>
    <w:next w:val="abstract"/>
    <w:uiPriority w:val="99"/>
    <w:pPr>
      <w:widowControl w:val="0"/>
      <w:spacing w:after="120"/>
      <w:jc w:val="center"/>
    </w:pPr>
    <w:rPr>
      <w:b/>
      <w:bCs/>
    </w:rPr>
  </w:style>
  <w:style w:type="paragraph" w:customStyle="1" w:styleId="abstract">
    <w:name w:val="abstract"/>
    <w:basedOn w:val="a"/>
    <w:next w:val="a"/>
    <w:uiPriority w:val="99"/>
    <w:pPr>
      <w:ind w:left="1024" w:right="1024" w:firstLine="340"/>
    </w:pPr>
  </w:style>
  <w:style w:type="paragraph" w:customStyle="1" w:styleId="contentsheading">
    <w:name w:val="contents_heading"/>
    <w:basedOn w:val="a"/>
    <w:next w:val="a"/>
    <w:uiPriority w:val="99"/>
    <w:pPr>
      <w:keepNext/>
      <w:widowControl w:val="0"/>
      <w:spacing w:before="240" w:after="120"/>
      <w:jc w:val="left"/>
    </w:pPr>
    <w:rPr>
      <w:b/>
      <w:bCs/>
      <w:sz w:val="20"/>
      <w:szCs w:val="20"/>
    </w:rPr>
  </w:style>
  <w:style w:type="paragraph" w:styleId="10">
    <w:name w:val="toc 1"/>
    <w:basedOn w:val="a"/>
    <w:next w:val="20"/>
    <w:uiPriority w:val="99"/>
    <w:pPr>
      <w:keepNext/>
      <w:widowControl w:val="0"/>
      <w:tabs>
        <w:tab w:val="right" w:leader="dot" w:pos="8222"/>
      </w:tabs>
      <w:spacing w:before="240" w:after="60"/>
      <w:ind w:left="425"/>
      <w:jc w:val="left"/>
    </w:pPr>
    <w:rPr>
      <w:b/>
      <w:bCs/>
    </w:rPr>
  </w:style>
  <w:style w:type="paragraph" w:styleId="20">
    <w:name w:val="toc 2"/>
    <w:basedOn w:val="a"/>
    <w:next w:val="30"/>
    <w:uiPriority w:val="99"/>
    <w:pPr>
      <w:keepNext/>
      <w:widowControl w:val="0"/>
      <w:tabs>
        <w:tab w:val="right" w:leader="dot" w:pos="8222"/>
      </w:tabs>
      <w:spacing w:before="60" w:after="60"/>
      <w:ind w:left="512"/>
      <w:jc w:val="left"/>
    </w:pPr>
  </w:style>
  <w:style w:type="paragraph" w:styleId="30">
    <w:name w:val="toc 3"/>
    <w:basedOn w:val="a"/>
    <w:next w:val="40"/>
    <w:uiPriority w:val="99"/>
    <w:pPr>
      <w:keepNext/>
      <w:widowControl w:val="0"/>
      <w:tabs>
        <w:tab w:val="right" w:leader="dot" w:pos="8222"/>
      </w:tabs>
      <w:spacing w:before="60" w:after="60"/>
      <w:ind w:left="1024"/>
      <w:jc w:val="left"/>
    </w:pPr>
  </w:style>
  <w:style w:type="paragraph" w:styleId="40">
    <w:name w:val="toc 4"/>
    <w:basedOn w:val="a"/>
    <w:next w:val="50"/>
    <w:uiPriority w:val="99"/>
    <w:pPr>
      <w:keepNext/>
      <w:widowControl w:val="0"/>
      <w:tabs>
        <w:tab w:val="right" w:leader="dot" w:pos="8222"/>
      </w:tabs>
      <w:spacing w:before="60" w:after="60"/>
      <w:ind w:left="1536"/>
      <w:jc w:val="left"/>
    </w:pPr>
  </w:style>
  <w:style w:type="paragraph" w:styleId="50">
    <w:name w:val="toc 5"/>
    <w:basedOn w:val="a"/>
    <w:next w:val="60"/>
    <w:uiPriority w:val="99"/>
    <w:pPr>
      <w:keepNext/>
      <w:widowControl w:val="0"/>
      <w:tabs>
        <w:tab w:val="right" w:leader="dot" w:pos="8222"/>
      </w:tabs>
      <w:spacing w:before="60" w:after="60"/>
      <w:ind w:left="2048"/>
      <w:jc w:val="left"/>
    </w:pPr>
  </w:style>
  <w:style w:type="paragraph" w:styleId="60">
    <w:name w:val="toc 6"/>
    <w:basedOn w:val="a"/>
    <w:uiPriority w:val="99"/>
    <w:pPr>
      <w:keepNext/>
      <w:widowControl w:val="0"/>
      <w:tabs>
        <w:tab w:val="right" w:leader="dot" w:pos="8222"/>
      </w:tabs>
      <w:spacing w:before="60" w:after="60"/>
      <w:ind w:left="2560"/>
      <w:jc w:val="left"/>
    </w:pPr>
  </w:style>
  <w:style w:type="character" w:styleId="ad">
    <w:name w:val="Hyperlink"/>
    <w:basedOn w:val="a0"/>
    <w:uiPriority w:val="99"/>
    <w:unhideWhenUsed/>
    <w:rsid w:val="00790182"/>
    <w:rPr>
      <w:color w:val="0000FF" w:themeColor="hyperlink"/>
      <w:u w:val="single"/>
    </w:rPr>
  </w:style>
  <w:style w:type="paragraph" w:styleId="ae">
    <w:name w:val="Balloon Text"/>
    <w:basedOn w:val="a"/>
    <w:link w:val="Char5"/>
    <w:uiPriority w:val="99"/>
    <w:semiHidden/>
    <w:unhideWhenUsed/>
    <w:rsid w:val="002F0454"/>
    <w:rPr>
      <w:rFonts w:ascii="Tahoma" w:hAnsi="Tahoma" w:cs="Tahoma"/>
      <w:sz w:val="16"/>
      <w:szCs w:val="16"/>
    </w:rPr>
  </w:style>
  <w:style w:type="character" w:customStyle="1" w:styleId="Char5">
    <w:name w:val="批注框文本 Char"/>
    <w:basedOn w:val="a0"/>
    <w:link w:val="ae"/>
    <w:uiPriority w:val="99"/>
    <w:semiHidden/>
    <w:rsid w:val="002F0454"/>
    <w:rPr>
      <w:rFonts w:ascii="Tahoma" w:hAnsi="Tahoma" w:cs="Tahoma"/>
      <w:noProof/>
      <w:sz w:val="16"/>
      <w:szCs w:val="16"/>
    </w:rPr>
  </w:style>
  <w:style w:type="paragraph" w:styleId="af">
    <w:name w:val="Body Text"/>
    <w:basedOn w:val="a"/>
    <w:link w:val="Char6"/>
    <w:qFormat/>
    <w:rsid w:val="001A016A"/>
    <w:pPr>
      <w:autoSpaceDE/>
      <w:autoSpaceDN/>
      <w:adjustRightInd/>
      <w:spacing w:before="180" w:after="180"/>
      <w:jc w:val="left"/>
    </w:pPr>
    <w:rPr>
      <w:rFonts w:asciiTheme="minorHAnsi" w:eastAsiaTheme="minorHAnsi" w:hAnsiTheme="minorHAnsi" w:cstheme="minorBidi"/>
      <w:noProof w:val="0"/>
    </w:rPr>
  </w:style>
  <w:style w:type="character" w:customStyle="1" w:styleId="Char6">
    <w:name w:val="正文文本 Char"/>
    <w:basedOn w:val="a0"/>
    <w:link w:val="af"/>
    <w:rsid w:val="001A016A"/>
    <w:rPr>
      <w:rFonts w:eastAsiaTheme="minorHAnsi"/>
      <w:sz w:val="24"/>
      <w:szCs w:val="24"/>
    </w:rPr>
  </w:style>
  <w:style w:type="paragraph" w:customStyle="1" w:styleId="FirstParagraph">
    <w:name w:val="First Paragraph"/>
    <w:basedOn w:val="af"/>
    <w:next w:val="af"/>
    <w:qFormat/>
    <w:rsid w:val="00126010"/>
  </w:style>
  <w:style w:type="character" w:styleId="af0">
    <w:name w:val="annotation reference"/>
    <w:basedOn w:val="a0"/>
    <w:uiPriority w:val="99"/>
    <w:semiHidden/>
    <w:unhideWhenUsed/>
    <w:rsid w:val="000103B9"/>
    <w:rPr>
      <w:sz w:val="16"/>
      <w:szCs w:val="16"/>
    </w:rPr>
  </w:style>
  <w:style w:type="paragraph" w:styleId="af1">
    <w:name w:val="annotation text"/>
    <w:basedOn w:val="a"/>
    <w:link w:val="Char7"/>
    <w:uiPriority w:val="99"/>
    <w:semiHidden/>
    <w:unhideWhenUsed/>
    <w:rsid w:val="000103B9"/>
    <w:rPr>
      <w:sz w:val="20"/>
      <w:szCs w:val="20"/>
    </w:rPr>
  </w:style>
  <w:style w:type="character" w:customStyle="1" w:styleId="Char7">
    <w:name w:val="批注文字 Char"/>
    <w:basedOn w:val="a0"/>
    <w:link w:val="af1"/>
    <w:uiPriority w:val="99"/>
    <w:semiHidden/>
    <w:rsid w:val="000103B9"/>
    <w:rPr>
      <w:rFonts w:ascii="Times New Roman" w:hAnsi="Times New Roman" w:cs="Times New Roman"/>
      <w:noProof/>
      <w:sz w:val="20"/>
      <w:szCs w:val="20"/>
    </w:rPr>
  </w:style>
  <w:style w:type="paragraph" w:styleId="af2">
    <w:name w:val="annotation subject"/>
    <w:basedOn w:val="af1"/>
    <w:next w:val="af1"/>
    <w:link w:val="Char8"/>
    <w:uiPriority w:val="99"/>
    <w:semiHidden/>
    <w:unhideWhenUsed/>
    <w:rsid w:val="000103B9"/>
    <w:rPr>
      <w:b/>
      <w:bCs/>
    </w:rPr>
  </w:style>
  <w:style w:type="character" w:customStyle="1" w:styleId="Char8">
    <w:name w:val="批注主题 Char"/>
    <w:basedOn w:val="Char7"/>
    <w:link w:val="af2"/>
    <w:uiPriority w:val="99"/>
    <w:semiHidden/>
    <w:rsid w:val="000103B9"/>
    <w:rPr>
      <w:rFonts w:ascii="Times New Roman" w:hAnsi="Times New Roman" w:cs="Times New Roman"/>
      <w:b/>
      <w:bCs/>
      <w:noProof/>
      <w:sz w:val="20"/>
      <w:szCs w:val="20"/>
    </w:rPr>
  </w:style>
  <w:style w:type="character" w:customStyle="1" w:styleId="bibarticle">
    <w:name w:val="bib_article"/>
    <w:rsid w:val="00D664AA"/>
    <w:rPr>
      <w:sz w:val="21"/>
      <w:bdr w:val="none" w:sz="0" w:space="0" w:color="auto"/>
      <w:shd w:val="clear" w:color="auto" w:fill="CCFFFF"/>
    </w:rPr>
  </w:style>
  <w:style w:type="character" w:customStyle="1" w:styleId="bibdoi">
    <w:name w:val="bib_doi"/>
    <w:rsid w:val="00D664AA"/>
    <w:rPr>
      <w:sz w:val="21"/>
      <w:bdr w:val="none" w:sz="0" w:space="0" w:color="auto"/>
      <w:shd w:val="clear" w:color="auto" w:fill="CCFFCC"/>
    </w:rPr>
  </w:style>
  <w:style w:type="character" w:customStyle="1" w:styleId="bibetal">
    <w:name w:val="bib_etal"/>
    <w:rsid w:val="00D664AA"/>
    <w:rPr>
      <w:sz w:val="21"/>
      <w:bdr w:val="none" w:sz="0" w:space="0" w:color="auto"/>
      <w:shd w:val="clear" w:color="auto" w:fill="C9A6F8"/>
    </w:rPr>
  </w:style>
  <w:style w:type="character" w:customStyle="1" w:styleId="bibfname">
    <w:name w:val="bib_fname"/>
    <w:rsid w:val="00D664AA"/>
    <w:rPr>
      <w:sz w:val="21"/>
      <w:bdr w:val="none" w:sz="0" w:space="0" w:color="auto"/>
      <w:shd w:val="clear" w:color="auto" w:fill="FFFFCC"/>
    </w:rPr>
  </w:style>
  <w:style w:type="character" w:customStyle="1" w:styleId="bibfpage">
    <w:name w:val="bib_fpage"/>
    <w:rsid w:val="00D664AA"/>
    <w:rPr>
      <w:sz w:val="21"/>
      <w:bdr w:val="none" w:sz="0" w:space="0" w:color="auto"/>
      <w:shd w:val="clear" w:color="auto" w:fill="E6E6E6"/>
    </w:rPr>
  </w:style>
  <w:style w:type="character" w:customStyle="1" w:styleId="bibissue">
    <w:name w:val="bib_issue"/>
    <w:rsid w:val="00D664AA"/>
    <w:rPr>
      <w:sz w:val="21"/>
      <w:bdr w:val="none" w:sz="0" w:space="0" w:color="auto"/>
      <w:shd w:val="clear" w:color="auto" w:fill="FFFFAB"/>
    </w:rPr>
  </w:style>
  <w:style w:type="character" w:customStyle="1" w:styleId="bibjournal">
    <w:name w:val="bib_journal"/>
    <w:rsid w:val="00D664AA"/>
    <w:rPr>
      <w:sz w:val="21"/>
      <w:bdr w:val="none" w:sz="0" w:space="0" w:color="auto"/>
      <w:shd w:val="clear" w:color="auto" w:fill="F9DECF"/>
    </w:rPr>
  </w:style>
  <w:style w:type="character" w:customStyle="1" w:styleId="biblpage">
    <w:name w:val="bib_lpage"/>
    <w:rsid w:val="00D664AA"/>
    <w:rPr>
      <w:sz w:val="21"/>
      <w:bdr w:val="none" w:sz="0" w:space="0" w:color="auto"/>
      <w:shd w:val="clear" w:color="auto" w:fill="D9D9D9"/>
    </w:rPr>
  </w:style>
  <w:style w:type="character" w:customStyle="1" w:styleId="bibnumber">
    <w:name w:val="bib_number"/>
    <w:rsid w:val="00D664AA"/>
    <w:rPr>
      <w:sz w:val="21"/>
      <w:bdr w:val="none" w:sz="0" w:space="0" w:color="auto"/>
      <w:shd w:val="clear" w:color="auto" w:fill="CCCCFF"/>
    </w:rPr>
  </w:style>
  <w:style w:type="character" w:customStyle="1" w:styleId="biborganization">
    <w:name w:val="bib_organization"/>
    <w:rsid w:val="00D664AA"/>
    <w:rPr>
      <w:sz w:val="21"/>
      <w:bdr w:val="none" w:sz="0" w:space="0" w:color="auto"/>
      <w:shd w:val="clear" w:color="auto" w:fill="A884AE"/>
    </w:rPr>
  </w:style>
  <w:style w:type="character" w:customStyle="1" w:styleId="bibsurname">
    <w:name w:val="bib_surname"/>
    <w:rsid w:val="00D664AA"/>
    <w:rPr>
      <w:sz w:val="21"/>
      <w:bdr w:val="none" w:sz="0" w:space="0" w:color="auto"/>
      <w:shd w:val="clear" w:color="auto" w:fill="CCFF99"/>
    </w:rPr>
  </w:style>
  <w:style w:type="character" w:customStyle="1" w:styleId="bibvolume">
    <w:name w:val="bib_volume"/>
    <w:rsid w:val="00D664AA"/>
    <w:rPr>
      <w:sz w:val="21"/>
      <w:bdr w:val="none" w:sz="0" w:space="0" w:color="auto"/>
      <w:shd w:val="clear" w:color="auto" w:fill="CCECFF"/>
    </w:rPr>
  </w:style>
  <w:style w:type="character" w:customStyle="1" w:styleId="bibyear">
    <w:name w:val="bib_year"/>
    <w:rsid w:val="00D664AA"/>
    <w:rPr>
      <w:sz w:val="21"/>
      <w:bdr w:val="none" w:sz="0" w:space="0" w:color="auto"/>
      <w:shd w:val="clear" w:color="auto" w:fill="FFCCFF"/>
    </w:rPr>
  </w:style>
  <w:style w:type="paragraph" w:customStyle="1" w:styleId="hreference">
    <w:name w:val="hreference"/>
    <w:basedOn w:val="a"/>
    <w:autoRedefine/>
    <w:rsid w:val="00D664AA"/>
    <w:pPr>
      <w:autoSpaceDE/>
      <w:autoSpaceDN/>
      <w:adjustRightInd/>
      <w:spacing w:before="120"/>
      <w:jc w:val="left"/>
    </w:pPr>
    <w:rPr>
      <w:rFonts w:eastAsia="宋体"/>
      <w:noProof w:val="0"/>
      <w:sz w:val="17"/>
      <w:szCs w:val="20"/>
    </w:rPr>
  </w:style>
  <w:style w:type="paragraph" w:styleId="af3">
    <w:name w:val="Body Text Indent"/>
    <w:basedOn w:val="a"/>
    <w:link w:val="Char9"/>
    <w:uiPriority w:val="99"/>
    <w:semiHidden/>
    <w:unhideWhenUsed/>
    <w:rsid w:val="007E6344"/>
    <w:pPr>
      <w:spacing w:after="120"/>
      <w:ind w:leftChars="200" w:left="420"/>
    </w:pPr>
  </w:style>
  <w:style w:type="character" w:customStyle="1" w:styleId="Char9">
    <w:name w:val="正文文本缩进 Char"/>
    <w:basedOn w:val="a0"/>
    <w:link w:val="af3"/>
    <w:uiPriority w:val="99"/>
    <w:semiHidden/>
    <w:rsid w:val="007E6344"/>
    <w:rPr>
      <w:rFonts w:ascii="Times New Roman" w:hAnsi="Times New Roman" w:cs="Times New Roman"/>
      <w:noProof/>
      <w:sz w:val="24"/>
      <w:szCs w:val="24"/>
    </w:rPr>
  </w:style>
  <w:style w:type="paragraph" w:customStyle="1" w:styleId="authadd">
    <w:name w:val="authadd"/>
    <w:basedOn w:val="a"/>
    <w:rsid w:val="007E6344"/>
    <w:pPr>
      <w:autoSpaceDE/>
      <w:autoSpaceDN/>
      <w:adjustRightInd/>
      <w:spacing w:line="240" w:lineRule="exact"/>
      <w:jc w:val="left"/>
    </w:pPr>
    <w:rPr>
      <w:rFonts w:eastAsia="宋体"/>
      <w:noProof w:val="0"/>
      <w:lang w:val="en-GB" w:eastAsia="zh-CN"/>
    </w:rPr>
  </w:style>
  <w:style w:type="table" w:styleId="af4">
    <w:name w:val="Table Grid"/>
    <w:basedOn w:val="a1"/>
    <w:uiPriority w:val="59"/>
    <w:rsid w:val="005D5F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ebib">
    <w:name w:val="cite_bib"/>
    <w:rsid w:val="00C53BF1"/>
    <w:rPr>
      <w:sz w:val="21"/>
      <w:bdr w:val="none" w:sz="0" w:space="0" w:color="auto"/>
      <w:shd w:val="clear" w:color="auto" w:fill="CCFFFF"/>
    </w:rPr>
  </w:style>
  <w:style w:type="paragraph" w:customStyle="1" w:styleId="htitle">
    <w:name w:val="htitle"/>
    <w:basedOn w:val="a"/>
    <w:link w:val="htitleChar"/>
    <w:rsid w:val="00C53BF1"/>
    <w:pPr>
      <w:keepNext/>
      <w:autoSpaceDE/>
      <w:autoSpaceDN/>
      <w:adjustRightInd/>
      <w:spacing w:before="240"/>
      <w:jc w:val="left"/>
      <w:outlineLvl w:val="0"/>
    </w:pPr>
    <w:rPr>
      <w:rFonts w:eastAsia="宋体"/>
      <w:noProof w:val="0"/>
      <w:kern w:val="28"/>
      <w:sz w:val="36"/>
      <w:szCs w:val="20"/>
    </w:rPr>
  </w:style>
  <w:style w:type="paragraph" w:customStyle="1" w:styleId="h1stpagehead">
    <w:name w:val="h1stpagehead"/>
    <w:basedOn w:val="a"/>
    <w:rsid w:val="00C53BF1"/>
    <w:pPr>
      <w:keepNext/>
      <w:autoSpaceDE/>
      <w:autoSpaceDN/>
      <w:adjustRightInd/>
      <w:spacing w:before="240"/>
      <w:jc w:val="left"/>
      <w:outlineLvl w:val="0"/>
    </w:pPr>
    <w:rPr>
      <w:rFonts w:eastAsia="宋体"/>
      <w:noProof w:val="0"/>
      <w:kern w:val="28"/>
      <w:sz w:val="21"/>
      <w:szCs w:val="20"/>
    </w:rPr>
  </w:style>
  <w:style w:type="paragraph" w:customStyle="1" w:styleId="hauthors">
    <w:name w:val="hauthors"/>
    <w:basedOn w:val="a"/>
    <w:rsid w:val="00C53BF1"/>
    <w:pPr>
      <w:autoSpaceDE/>
      <w:autoSpaceDN/>
      <w:adjustRightInd/>
      <w:spacing w:before="120"/>
      <w:jc w:val="left"/>
    </w:pPr>
    <w:rPr>
      <w:rFonts w:eastAsia="宋体"/>
      <w:noProof w:val="0"/>
      <w:sz w:val="21"/>
      <w:szCs w:val="20"/>
    </w:rPr>
  </w:style>
  <w:style w:type="paragraph" w:customStyle="1" w:styleId="haffiliations">
    <w:name w:val="haffiliations"/>
    <w:basedOn w:val="a"/>
    <w:rsid w:val="00C53BF1"/>
    <w:pPr>
      <w:autoSpaceDE/>
      <w:autoSpaceDN/>
      <w:adjustRightInd/>
      <w:spacing w:before="120"/>
      <w:jc w:val="left"/>
    </w:pPr>
    <w:rPr>
      <w:rFonts w:eastAsia="宋体"/>
      <w:noProof w:val="0"/>
      <w:sz w:val="21"/>
      <w:szCs w:val="20"/>
    </w:rPr>
  </w:style>
  <w:style w:type="paragraph" w:customStyle="1" w:styleId="hcorrespondence">
    <w:name w:val="hcorrespondence"/>
    <w:basedOn w:val="a"/>
    <w:rsid w:val="00C53BF1"/>
    <w:pPr>
      <w:autoSpaceDE/>
      <w:autoSpaceDN/>
      <w:adjustRightInd/>
      <w:spacing w:before="120"/>
      <w:jc w:val="left"/>
    </w:pPr>
    <w:rPr>
      <w:rFonts w:eastAsia="宋体"/>
      <w:noProof w:val="0"/>
      <w:sz w:val="21"/>
      <w:szCs w:val="20"/>
    </w:rPr>
  </w:style>
  <w:style w:type="paragraph" w:customStyle="1" w:styleId="hhead1">
    <w:name w:val="hhead1"/>
    <w:basedOn w:val="a"/>
    <w:rsid w:val="00C53BF1"/>
    <w:pPr>
      <w:keepNext/>
      <w:autoSpaceDE/>
      <w:autoSpaceDN/>
      <w:adjustRightInd/>
      <w:spacing w:before="240"/>
      <w:jc w:val="left"/>
      <w:outlineLvl w:val="0"/>
    </w:pPr>
    <w:rPr>
      <w:rFonts w:eastAsia="宋体"/>
      <w:noProof w:val="0"/>
      <w:kern w:val="28"/>
      <w:sz w:val="32"/>
      <w:szCs w:val="20"/>
    </w:rPr>
  </w:style>
  <w:style w:type="paragraph" w:customStyle="1" w:styleId="hparagraphindent">
    <w:name w:val="hparagraphindent"/>
    <w:basedOn w:val="a"/>
    <w:rsid w:val="00C53BF1"/>
    <w:pPr>
      <w:autoSpaceDE/>
      <w:autoSpaceDN/>
      <w:adjustRightInd/>
      <w:spacing w:before="120"/>
      <w:ind w:firstLineChars="100" w:firstLine="100"/>
      <w:jc w:val="left"/>
    </w:pPr>
    <w:rPr>
      <w:rFonts w:eastAsia="宋体"/>
      <w:noProof w:val="0"/>
      <w:sz w:val="21"/>
      <w:szCs w:val="20"/>
    </w:rPr>
  </w:style>
  <w:style w:type="paragraph" w:customStyle="1" w:styleId="hfigurecaption">
    <w:name w:val="hfigurecaption"/>
    <w:basedOn w:val="a"/>
    <w:link w:val="hfigurecaptionChar"/>
    <w:rsid w:val="00C53BF1"/>
    <w:pPr>
      <w:autoSpaceDE/>
      <w:autoSpaceDN/>
      <w:adjustRightInd/>
      <w:spacing w:before="120"/>
      <w:jc w:val="left"/>
      <w:outlineLvl w:val="0"/>
    </w:pPr>
    <w:rPr>
      <w:rFonts w:eastAsia="宋体"/>
      <w:noProof w:val="0"/>
      <w:sz w:val="18"/>
      <w:szCs w:val="20"/>
    </w:rPr>
  </w:style>
  <w:style w:type="paragraph" w:customStyle="1" w:styleId="hfigureimage">
    <w:name w:val="hfigureimage"/>
    <w:basedOn w:val="a"/>
    <w:rsid w:val="00C53BF1"/>
    <w:pPr>
      <w:autoSpaceDE/>
      <w:autoSpaceDN/>
      <w:adjustRightInd/>
      <w:spacing w:before="120"/>
      <w:jc w:val="center"/>
    </w:pPr>
    <w:rPr>
      <w:rFonts w:eastAsia="宋体"/>
      <w:noProof w:val="0"/>
    </w:rPr>
  </w:style>
  <w:style w:type="character" w:customStyle="1" w:styleId="hfigurecaptionChar">
    <w:name w:val="hfigurecaption Char"/>
    <w:basedOn w:val="a0"/>
    <w:link w:val="hfigurecaption"/>
    <w:rsid w:val="00C53BF1"/>
    <w:rPr>
      <w:rFonts w:ascii="Times New Roman" w:eastAsia="宋体" w:hAnsi="Times New Roman" w:cs="Times New Roman"/>
      <w:sz w:val="18"/>
      <w:szCs w:val="20"/>
    </w:rPr>
  </w:style>
  <w:style w:type="character" w:customStyle="1" w:styleId="htitleChar">
    <w:name w:val="htitle Char"/>
    <w:basedOn w:val="a0"/>
    <w:link w:val="htitle"/>
    <w:rsid w:val="00C53BF1"/>
    <w:rPr>
      <w:rFonts w:ascii="Times New Roman" w:eastAsia="宋体" w:hAnsi="Times New Roman" w:cs="Times New Roman"/>
      <w:kern w:val="28"/>
      <w:sz w:val="36"/>
      <w:szCs w:val="20"/>
    </w:rPr>
  </w:style>
  <w:style w:type="character" w:customStyle="1" w:styleId="apple-converted-space">
    <w:name w:val="apple-converted-space"/>
    <w:basedOn w:val="a0"/>
    <w:rsid w:val="00970080"/>
  </w:style>
  <w:style w:type="paragraph" w:customStyle="1" w:styleId="hreferencehead">
    <w:name w:val="hreferencehead"/>
    <w:basedOn w:val="a"/>
    <w:rsid w:val="00097FD3"/>
    <w:pPr>
      <w:keepNext/>
      <w:autoSpaceDE/>
      <w:autoSpaceDN/>
      <w:adjustRightInd/>
      <w:spacing w:before="240"/>
      <w:jc w:val="left"/>
      <w:outlineLvl w:val="0"/>
    </w:pPr>
    <w:rPr>
      <w:rFonts w:eastAsia="宋体"/>
      <w:b/>
      <w:noProof w:val="0"/>
      <w:kern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tif"/><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tif"/><Relationship Id="rId4" Type="http://schemas.openxmlformats.org/officeDocument/2006/relationships/webSettings" Target="webSettings.xml"/><Relationship Id="rId9" Type="http://schemas.openxmlformats.org/officeDocument/2006/relationships/image" Target="media/image3.tif"/><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creativecommons.org/licenses/by-nc-nd/4.0/"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DCB6F-F892-4FB3-8817-359A05284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1139</Words>
  <Characters>6189</Characters>
  <Application>Microsoft Office Word</Application>
  <DocSecurity>0</DocSecurity>
  <Lines>90</Lines>
  <Paragraphs>23</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Original file was main_rtf.tex</vt:lpstr>
      <vt:lpstr>Original file was main_rtf.tex</vt:lpstr>
    </vt:vector>
  </TitlesOfParts>
  <Company/>
  <LinksUpToDate>false</LinksUpToDate>
  <CharactersWithSpaces>7350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 file was main_rtf.tex</dc:title>
  <dc:subject/>
  <dc:creator>mw</dc:creator>
  <cp:keywords/>
  <dc:description>Created using latex2rtf 2.3.16 r1254 (released May 12 2017) on Mon Dec 14 10:26:49 2020</dc:description>
  <cp:lastModifiedBy>hp</cp:lastModifiedBy>
  <cp:revision>12</cp:revision>
  <cp:lastPrinted>2021-03-24T02:05:00Z</cp:lastPrinted>
  <dcterms:created xsi:type="dcterms:W3CDTF">2021-03-18T10:39:00Z</dcterms:created>
  <dcterms:modified xsi:type="dcterms:W3CDTF">2021-04-02T01:08:00Z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http://www.zotero.org/styles/advanced-functional-materials</vt:lpwstr>
  </property>
  <property fmtid="{D5CDD505-2E9C-101B-9397-08002B2CF9AE}" pid="3" name="Mendeley Recent Style Name 0_1">
    <vt:lpwstr>Advanced Functional Materials</vt:lpwstr>
  </property>
  <property fmtid="{D5CDD505-2E9C-101B-9397-08002B2CF9AE}" pid="4" name="Mendeley Recent Style Id 1_1">
    <vt:lpwstr>http://www.zotero.org/styles/advanced-materials</vt:lpwstr>
  </property>
  <property fmtid="{D5CDD505-2E9C-101B-9397-08002B2CF9AE}" pid="5" name="Mendeley Recent Style Name 1_1">
    <vt:lpwstr>Advanced Materials</vt:lpwstr>
  </property>
  <property fmtid="{D5CDD505-2E9C-101B-9397-08002B2CF9AE}" pid="6" name="Mendeley Recent Style Id 2_1">
    <vt:lpwstr>http://www.zotero.org/styles/american-political-science-association</vt:lpwstr>
  </property>
  <property fmtid="{D5CDD505-2E9C-101B-9397-08002B2CF9AE}" pid="7" name="Mendeley Recent Style Name 2_1">
    <vt:lpwstr>American Political Science Association</vt:lpwstr>
  </property>
  <property fmtid="{D5CDD505-2E9C-101B-9397-08002B2CF9AE}" pid="8" name="Mendeley Recent Style Id 3_1">
    <vt:lpwstr>http://www.zotero.org/styles/apa</vt:lpwstr>
  </property>
  <property fmtid="{D5CDD505-2E9C-101B-9397-08002B2CF9AE}" pid="9" name="Mendeley Recent Style Name 3_1">
    <vt:lpwstr>American Psychological Association 7th edition</vt:lpwstr>
  </property>
  <property fmtid="{D5CDD505-2E9C-101B-9397-08002B2CF9AE}" pid="10" name="Mendeley Recent Style Id 4_1">
    <vt:lpwstr>http://www.zotero.org/styles/american-sociological-association</vt:lpwstr>
  </property>
  <property fmtid="{D5CDD505-2E9C-101B-9397-08002B2CF9AE}" pid="11" name="Mendeley Recent Style Name 4_1">
    <vt:lpwstr>American Sociological Association 6th edition</vt:lpwstr>
  </property>
  <property fmtid="{D5CDD505-2E9C-101B-9397-08002B2CF9AE}" pid="12" name="Mendeley Recent Style Id 5_1">
    <vt:lpwstr>http://www.zotero.org/styles/engineering</vt:lpwstr>
  </property>
  <property fmtid="{D5CDD505-2E9C-101B-9397-08002B2CF9AE}" pid="13" name="Mendeley Recent Style Name 5_1">
    <vt:lpwstr>Engineering</vt:lpwstr>
  </property>
  <property fmtid="{D5CDD505-2E9C-101B-9397-08002B2CF9AE}" pid="14" name="Mendeley Recent Style Id 6_1">
    <vt:lpwstr>http://www.zotero.org/styles/journal-of-american-association-for-pediatric-ophthalmology-and-strabismus</vt:lpwstr>
  </property>
  <property fmtid="{D5CDD505-2E9C-101B-9397-08002B2CF9AE}" pid="15" name="Mendeley Recent Style Name 6_1">
    <vt:lpwstr>Journal of American Association for Pediatric Ophthalmology and Strabismus</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http://www.zotero.org/styles/small</vt:lpwstr>
  </property>
  <property fmtid="{D5CDD505-2E9C-101B-9397-08002B2CF9AE}" pid="21" name="Mendeley Recent Style Name 9_1">
    <vt:lpwstr>Small</vt:lpwstr>
  </property>
</Properties>
</file>