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eastAsia="等线"/>
          <w:sz w:val="21"/>
          <w:szCs w:val="21"/>
        </w:rPr>
      </w:pPr>
      <w:r>
        <w:rPr>
          <w:rFonts w:eastAsia="等线"/>
          <w:sz w:val="21"/>
          <w:szCs w:val="21"/>
        </w:rPr>
        <w:t>Supporting Information for</w:t>
      </w:r>
    </w:p>
    <w:p>
      <w:pPr>
        <w:widowControl w:val="0"/>
        <w:autoSpaceDE w:val="0"/>
        <w:autoSpaceDN w:val="0"/>
        <w:adjustRightInd w:val="0"/>
        <w:snapToGrid w:val="0"/>
        <w:spacing w:before="120" w:beforeLines="50" w:after="120" w:afterLines="50"/>
        <w:outlineLvl w:val="0"/>
        <w:rPr>
          <w:rFonts w:eastAsia="等线"/>
          <w:b/>
          <w:kern w:val="28"/>
          <w:sz w:val="30"/>
          <w:szCs w:val="30"/>
        </w:rPr>
      </w:pPr>
      <w:r>
        <w:rPr>
          <w:rFonts w:eastAsia="等线"/>
          <w:b/>
          <w:kern w:val="28"/>
          <w:sz w:val="30"/>
          <w:szCs w:val="30"/>
        </w:rPr>
        <w:t>Landslide damming threats along the Jinsha River, China</w:t>
      </w:r>
    </w:p>
    <w:p>
      <w:pPr>
        <w:adjustRightInd w:val="0"/>
        <w:snapToGrid w:val="0"/>
        <w:spacing w:line="240" w:lineRule="exact"/>
        <w:rPr>
          <w:bCs/>
          <w:sz w:val="21"/>
          <w:szCs w:val="21"/>
          <w:vertAlign w:val="superscript"/>
          <w:lang w:val="fr-FR" w:eastAsia="zh-CN"/>
        </w:rPr>
      </w:pPr>
      <w:r>
        <w:rPr>
          <w:bCs/>
          <w:sz w:val="21"/>
          <w:szCs w:val="21"/>
          <w:lang w:val="fr-FR" w:eastAsia="zh-CN"/>
        </w:rPr>
        <w:t>Shihao Xiao</w:t>
      </w:r>
      <w:r>
        <w:rPr>
          <w:sz w:val="21"/>
          <w:szCs w:val="21"/>
          <w:vertAlign w:val="superscript"/>
          <w:lang w:val="en-GB" w:eastAsia="zh-CN"/>
        </w:rPr>
        <w:t>a</w:t>
      </w:r>
      <w:r>
        <w:rPr>
          <w:bCs/>
          <w:sz w:val="21"/>
          <w:szCs w:val="21"/>
          <w:lang w:val="fr-FR" w:eastAsia="zh-CN"/>
        </w:rPr>
        <w:t>, Limin Zhang</w:t>
      </w:r>
      <w:r>
        <w:rPr>
          <w:sz w:val="21"/>
          <w:szCs w:val="21"/>
          <w:vertAlign w:val="superscript"/>
          <w:lang w:val="en-GB" w:eastAsia="zh-CN"/>
        </w:rPr>
        <w:t>a,</w:t>
      </w:r>
      <w:r>
        <w:rPr>
          <w:bCs/>
          <w:sz w:val="21"/>
          <w:szCs w:val="21"/>
          <w:vertAlign w:val="superscript"/>
          <w:lang w:val="fr-FR" w:eastAsia="zh-CN"/>
        </w:rPr>
        <w:t>b</w:t>
      </w:r>
      <w:r>
        <w:rPr>
          <w:sz w:val="21"/>
          <w:szCs w:val="21"/>
          <w:vertAlign w:val="superscript"/>
          <w:lang w:val="en-GB" w:eastAsia="zh-CN"/>
        </w:rPr>
        <w:t>,*</w:t>
      </w:r>
      <w:r>
        <w:rPr>
          <w:bCs/>
          <w:sz w:val="21"/>
          <w:szCs w:val="21"/>
          <w:lang w:val="fr-FR" w:eastAsia="zh-CN"/>
        </w:rPr>
        <w:t>, Te Xiao</w:t>
      </w:r>
      <w:r>
        <w:rPr>
          <w:sz w:val="21"/>
          <w:szCs w:val="21"/>
          <w:vertAlign w:val="superscript"/>
          <w:lang w:val="en-GB" w:eastAsia="zh-CN"/>
        </w:rPr>
        <w:t>a</w:t>
      </w:r>
      <w:r>
        <w:rPr>
          <w:bCs/>
          <w:sz w:val="21"/>
          <w:szCs w:val="21"/>
          <w:lang w:val="fr-FR" w:eastAsia="zh-CN"/>
        </w:rPr>
        <w:t>, Ruochen Jiang</w:t>
      </w:r>
      <w:r>
        <w:rPr>
          <w:sz w:val="21"/>
          <w:szCs w:val="21"/>
          <w:vertAlign w:val="superscript"/>
          <w:lang w:val="en-GB" w:eastAsia="zh-CN"/>
        </w:rPr>
        <w:t>a</w:t>
      </w:r>
      <w:r>
        <w:rPr>
          <w:bCs/>
          <w:sz w:val="21"/>
          <w:szCs w:val="21"/>
          <w:lang w:val="fr-FR" w:eastAsia="zh-CN"/>
        </w:rPr>
        <w:t>, Dalei Peng</w:t>
      </w:r>
      <w:r>
        <w:rPr>
          <w:sz w:val="21"/>
          <w:szCs w:val="21"/>
          <w:vertAlign w:val="superscript"/>
          <w:lang w:val="en-GB" w:eastAsia="zh-CN"/>
        </w:rPr>
        <w:t>a,</w:t>
      </w:r>
      <w:r>
        <w:rPr>
          <w:bCs/>
          <w:sz w:val="21"/>
          <w:szCs w:val="21"/>
          <w:vertAlign w:val="superscript"/>
          <w:lang w:val="en-GB" w:eastAsia="zh-CN"/>
        </w:rPr>
        <w:t>c</w:t>
      </w:r>
      <w:r>
        <w:rPr>
          <w:bCs/>
          <w:sz w:val="21"/>
          <w:szCs w:val="21"/>
          <w:lang w:val="fr-FR" w:eastAsia="zh-CN"/>
        </w:rPr>
        <w:t>, Wenjun Lu</w:t>
      </w:r>
      <w:r>
        <w:rPr>
          <w:sz w:val="21"/>
          <w:szCs w:val="21"/>
          <w:vertAlign w:val="superscript"/>
          <w:lang w:val="en-GB" w:eastAsia="zh-CN"/>
        </w:rPr>
        <w:t>a</w:t>
      </w:r>
      <w:r>
        <w:rPr>
          <w:bCs/>
          <w:sz w:val="21"/>
          <w:szCs w:val="21"/>
          <w:lang w:val="fr-FR" w:eastAsia="zh-CN"/>
        </w:rPr>
        <w:t>, Xin He</w:t>
      </w:r>
      <w:r>
        <w:rPr>
          <w:sz w:val="21"/>
          <w:szCs w:val="21"/>
          <w:vertAlign w:val="superscript"/>
          <w:lang w:val="en-GB" w:eastAsia="zh-CN"/>
        </w:rPr>
        <w:t>a</w:t>
      </w:r>
    </w:p>
    <w:p>
      <w:pPr>
        <w:adjustRightInd w:val="0"/>
        <w:snapToGrid w:val="0"/>
        <w:spacing w:line="240" w:lineRule="exact"/>
        <w:rPr>
          <w:rFonts w:eastAsia="Arial Unicode MS"/>
          <w:iCs/>
          <w:sz w:val="15"/>
          <w:szCs w:val="15"/>
          <w:lang w:eastAsia="zh-CN"/>
        </w:rPr>
      </w:pPr>
      <w:r>
        <w:rPr>
          <w:rFonts w:eastAsia="Arial Unicode MS"/>
          <w:iCs/>
          <w:sz w:val="15"/>
          <w:szCs w:val="15"/>
          <w:vertAlign w:val="superscript"/>
          <w:lang w:eastAsia="zh-CN"/>
        </w:rPr>
        <w:t>a</w:t>
      </w:r>
      <w:r>
        <w:rPr>
          <w:rFonts w:eastAsia="Arial Unicode MS"/>
          <w:i/>
          <w:iCs/>
          <w:sz w:val="15"/>
          <w:szCs w:val="15"/>
          <w:vertAlign w:val="superscript"/>
          <w:lang w:eastAsia="zh-CN"/>
        </w:rPr>
        <w:t xml:space="preserve"> </w:t>
      </w:r>
      <w:r>
        <w:rPr>
          <w:rFonts w:eastAsia="Arial Unicode MS"/>
          <w:i/>
          <w:sz w:val="15"/>
          <w:szCs w:val="15"/>
          <w:lang w:eastAsia="zh-CN"/>
        </w:rPr>
        <w:t>Department of Civil and Environmental Engineering, The Hong Kong University of Science and Technology, Kowloon, Hong Kong 999077, China.</w:t>
      </w:r>
    </w:p>
    <w:p>
      <w:pPr>
        <w:adjustRightInd w:val="0"/>
        <w:snapToGrid w:val="0"/>
        <w:spacing w:line="240" w:lineRule="exact"/>
        <w:rPr>
          <w:rFonts w:eastAsia="Arial Unicode MS"/>
          <w:bCs/>
          <w:i/>
          <w:iCs/>
          <w:sz w:val="15"/>
          <w:szCs w:val="15"/>
          <w:lang w:eastAsia="zh-CN"/>
        </w:rPr>
      </w:pPr>
      <w:r>
        <w:rPr>
          <w:rFonts w:eastAsia="Arial Unicode MS"/>
          <w:bCs/>
          <w:sz w:val="15"/>
          <w:szCs w:val="15"/>
          <w:vertAlign w:val="superscript"/>
          <w:lang w:eastAsia="zh-CN"/>
        </w:rPr>
        <w:t xml:space="preserve">b </w:t>
      </w:r>
      <w:r>
        <w:rPr>
          <w:rFonts w:eastAsia="Arial Unicode MS"/>
          <w:bCs/>
          <w:i/>
          <w:iCs/>
          <w:sz w:val="15"/>
          <w:szCs w:val="15"/>
          <w:lang w:eastAsia="zh-CN"/>
        </w:rPr>
        <w:t>The Hong Kong University of Science and Technology Shenzhen-Hong Kong Collaborative Innovation Research Institute, Futian, Shenzhen 518000, China.</w:t>
      </w:r>
    </w:p>
    <w:p>
      <w:pPr>
        <w:adjustRightInd w:val="0"/>
        <w:snapToGrid w:val="0"/>
        <w:spacing w:line="240" w:lineRule="exact"/>
        <w:rPr>
          <w:rFonts w:eastAsia="Arial Unicode MS"/>
          <w:bCs/>
          <w:i/>
          <w:iCs/>
          <w:sz w:val="15"/>
          <w:szCs w:val="15"/>
          <w:lang w:eastAsia="zh-CN"/>
        </w:rPr>
      </w:pPr>
      <w:r>
        <w:rPr>
          <w:rFonts w:eastAsia="Arial Unicode MS"/>
          <w:bCs/>
          <w:sz w:val="15"/>
          <w:szCs w:val="15"/>
          <w:vertAlign w:val="superscript"/>
          <w:lang w:eastAsia="zh-CN"/>
        </w:rPr>
        <w:t xml:space="preserve">c </w:t>
      </w:r>
      <w:r>
        <w:rPr>
          <w:rFonts w:eastAsia="Arial Unicode MS"/>
          <w:bCs/>
          <w:i/>
          <w:iCs/>
          <w:sz w:val="15"/>
          <w:szCs w:val="15"/>
          <w:lang w:eastAsia="zh-CN"/>
        </w:rPr>
        <w:t>State Key Laboratory of Geo-hazard Prevention and Geo-environment Protection, Chengdu University of Technology, Chengdu 610000, China.</w:t>
      </w:r>
    </w:p>
    <w:p>
      <w:pPr>
        <w:adjustRightInd w:val="0"/>
        <w:snapToGrid w:val="0"/>
        <w:spacing w:line="240" w:lineRule="exact"/>
        <w:rPr>
          <w:rFonts w:eastAsia="Arial Unicode MS"/>
          <w:iCs/>
          <w:sz w:val="15"/>
          <w:szCs w:val="15"/>
          <w:lang w:eastAsia="zh-CN"/>
        </w:rPr>
      </w:pPr>
      <w:r>
        <w:rPr>
          <w:rFonts w:eastAsia="Arial Unicode MS"/>
          <w:iCs/>
          <w:sz w:val="15"/>
          <w:szCs w:val="15"/>
          <w:vertAlign w:val="superscript"/>
          <w:lang w:eastAsia="zh-CN"/>
        </w:rPr>
        <w:t>*</w:t>
      </w:r>
      <w:r>
        <w:rPr>
          <w:rFonts w:eastAsia="Arial Unicode MS"/>
          <w:iCs/>
          <w:sz w:val="15"/>
          <w:szCs w:val="15"/>
          <w:lang w:eastAsia="zh-CN"/>
        </w:rPr>
        <w:t xml:space="preserve"> Corresponding author. E-mail: cezhangl@ust.hk (Limin Zhang)</w:t>
      </w:r>
    </w:p>
    <w:p>
      <w:pPr>
        <w:adjustRightInd w:val="0"/>
        <w:snapToGrid w:val="0"/>
        <w:rPr>
          <w:i/>
          <w:color w:val="000000" w:themeColor="text1"/>
          <w14:textFill>
            <w14:solidFill>
              <w14:schemeClr w14:val="tx1"/>
            </w14:solidFill>
          </w14:textFill>
        </w:rPr>
      </w:pPr>
    </w:p>
    <w:p>
      <w:pPr>
        <w:autoSpaceDE w:val="0"/>
        <w:autoSpaceDN w:val="0"/>
        <w:adjustRightInd w:val="0"/>
        <w:snapToGrid w:val="0"/>
        <w:spacing w:before="120" w:after="120" w:afterLines="50"/>
        <w:rPr>
          <w:rFonts w:eastAsia="黑体"/>
          <w:b/>
          <w:sz w:val="21"/>
          <w:szCs w:val="21"/>
        </w:rPr>
      </w:pPr>
      <w:r>
        <w:rPr>
          <w:rFonts w:eastAsia="黑体"/>
          <w:b/>
          <w:sz w:val="21"/>
          <w:szCs w:val="21"/>
        </w:rPr>
        <w:t>Contents of this file</w:t>
      </w:r>
    </w:p>
    <w:p>
      <w:pPr>
        <w:autoSpaceDE w:val="0"/>
        <w:autoSpaceDN w:val="0"/>
        <w:adjustRightInd w:val="0"/>
        <w:snapToGrid w:val="0"/>
        <w:ind w:firstLine="210" w:firstLineChars="100"/>
        <w:rPr>
          <w:rFonts w:eastAsia="等线"/>
          <w:sz w:val="21"/>
          <w:szCs w:val="20"/>
          <w:lang w:eastAsia="zh-CN"/>
        </w:rPr>
      </w:pPr>
      <w:r>
        <w:rPr>
          <w:rFonts w:eastAsia="等线"/>
          <w:color w:val="0000FF"/>
          <w:sz w:val="21"/>
          <w:szCs w:val="20"/>
          <w:lang w:eastAsia="zh-CN"/>
        </w:rPr>
        <w:t>Fig. S1</w:t>
      </w:r>
      <w:r>
        <w:rPr>
          <w:rFonts w:eastAsia="等线"/>
          <w:sz w:val="21"/>
          <w:szCs w:val="20"/>
          <w:lang w:eastAsia="zh-CN"/>
        </w:rPr>
        <w:t>. Spatial distribution of damming landslides and non-damming landslides along large rivers, as well as cities and key infrastructure along the Jinsha River.</w:t>
      </w:r>
    </w:p>
    <w:p>
      <w:pPr>
        <w:autoSpaceDE w:val="0"/>
        <w:autoSpaceDN w:val="0"/>
        <w:adjustRightInd w:val="0"/>
        <w:snapToGrid w:val="0"/>
        <w:ind w:firstLine="210" w:firstLineChars="100"/>
        <w:rPr>
          <w:rFonts w:eastAsia="等线"/>
          <w:sz w:val="21"/>
          <w:szCs w:val="20"/>
          <w:lang w:eastAsia="zh-CN"/>
        </w:rPr>
      </w:pPr>
      <w:r>
        <w:rPr>
          <w:rFonts w:eastAsia="等线"/>
          <w:color w:val="0000FF"/>
          <w:sz w:val="21"/>
          <w:szCs w:val="20"/>
          <w:lang w:eastAsia="zh-CN"/>
        </w:rPr>
        <w:t>Fig. S2</w:t>
      </w:r>
      <w:r>
        <w:rPr>
          <w:rFonts w:eastAsia="等线"/>
          <w:sz w:val="21"/>
          <w:szCs w:val="20"/>
          <w:lang w:eastAsia="zh-CN"/>
        </w:rPr>
        <w:t>. Spatial distributions of the triggering factors in the study area. (a)</w:t>
      </w:r>
      <w:r>
        <w:rPr>
          <w:rFonts w:eastAsia="等线"/>
          <w:iCs/>
          <w:sz w:val="21"/>
          <w:szCs w:val="20"/>
          <w:lang w:eastAsia="zh-CN"/>
        </w:rPr>
        <w:t xml:space="preserve"> Annual precipitation, </w:t>
      </w:r>
      <w:r>
        <w:rPr>
          <w:rFonts w:eastAsia="等线"/>
          <w:i/>
          <w:sz w:val="21"/>
          <w:szCs w:val="20"/>
          <w:lang w:eastAsia="zh-CN"/>
        </w:rPr>
        <w:t>P</w:t>
      </w:r>
      <w:r>
        <w:rPr>
          <w:rFonts w:eastAsia="等线"/>
          <w:iCs/>
          <w:sz w:val="21"/>
          <w:szCs w:val="20"/>
          <w:vertAlign w:val="subscript"/>
          <w:lang w:eastAsia="zh-CN"/>
        </w:rPr>
        <w:t>A</w:t>
      </w:r>
      <w:r>
        <w:rPr>
          <w:rFonts w:eastAsia="等线"/>
          <w:iCs/>
          <w:sz w:val="21"/>
          <w:szCs w:val="20"/>
          <w:lang w:eastAsia="zh-CN"/>
        </w:rPr>
        <w:t xml:space="preserve"> (mm)</w:t>
      </w:r>
      <w:r>
        <w:rPr>
          <w:rFonts w:eastAsia="等线"/>
          <w:sz w:val="21"/>
          <w:szCs w:val="20"/>
          <w:lang w:eastAsia="zh-CN"/>
        </w:rPr>
        <w:t>; (b)</w:t>
      </w:r>
      <w:r>
        <w:rPr>
          <w:rFonts w:eastAsia="等线"/>
          <w:iCs/>
          <w:sz w:val="21"/>
          <w:szCs w:val="20"/>
          <w:lang w:eastAsia="zh-CN"/>
        </w:rPr>
        <w:t xml:space="preserve"> Expected peak ground acceleration, PGA (g), with a 475-year return period</w:t>
      </w:r>
      <w:r>
        <w:rPr>
          <w:rFonts w:eastAsia="等线"/>
          <w:sz w:val="21"/>
          <w:szCs w:val="20"/>
          <w:lang w:eastAsia="zh-CN"/>
        </w:rPr>
        <w:t xml:space="preserve">; (c) </w:t>
      </w:r>
      <w:r>
        <w:rPr>
          <w:rFonts w:eastAsia="等线"/>
          <w:iCs/>
          <w:sz w:val="21"/>
          <w:szCs w:val="20"/>
          <w:lang w:eastAsia="zh-CN"/>
        </w:rPr>
        <w:t>Distance to fault, Dist</w:t>
      </w:r>
      <w:r>
        <w:rPr>
          <w:rFonts w:eastAsia="等线"/>
          <w:iCs/>
          <w:sz w:val="21"/>
          <w:szCs w:val="20"/>
          <w:vertAlign w:val="subscript"/>
          <w:lang w:eastAsia="zh-CN"/>
        </w:rPr>
        <w:t>F</w:t>
      </w:r>
      <w:r>
        <w:rPr>
          <w:rFonts w:eastAsia="等线"/>
          <w:iCs/>
          <w:sz w:val="21"/>
          <w:szCs w:val="20"/>
          <w:lang w:eastAsia="zh-CN"/>
        </w:rPr>
        <w:t xml:space="preserve"> (m)</w:t>
      </w:r>
      <w:r>
        <w:rPr>
          <w:rFonts w:eastAsia="等线"/>
          <w:sz w:val="21"/>
          <w:szCs w:val="20"/>
          <w:lang w:eastAsia="zh-CN"/>
        </w:rPr>
        <w:t xml:space="preserve">; (d) </w:t>
      </w:r>
      <w:r>
        <w:rPr>
          <w:rFonts w:eastAsia="等线"/>
          <w:iCs/>
          <w:sz w:val="21"/>
          <w:szCs w:val="20"/>
          <w:lang w:eastAsia="zh-CN"/>
        </w:rPr>
        <w:t>Fault density, Dens</w:t>
      </w:r>
      <w:r>
        <w:rPr>
          <w:rFonts w:eastAsia="等线"/>
          <w:iCs/>
          <w:sz w:val="21"/>
          <w:szCs w:val="20"/>
          <w:vertAlign w:val="subscript"/>
          <w:lang w:eastAsia="zh-CN"/>
        </w:rPr>
        <w:t>F</w:t>
      </w:r>
      <w:r>
        <w:rPr>
          <w:rFonts w:eastAsia="等线"/>
          <w:iCs/>
          <w:sz w:val="21"/>
          <w:szCs w:val="20"/>
          <w:lang w:eastAsia="zh-CN"/>
        </w:rPr>
        <w:t xml:space="preserve"> (km km</w:t>
      </w:r>
      <w:r>
        <w:rPr>
          <w:rFonts w:eastAsia="等线"/>
          <w:iCs/>
          <w:sz w:val="21"/>
          <w:szCs w:val="20"/>
          <w:vertAlign w:val="superscript"/>
          <w:lang w:eastAsia="zh-CN"/>
        </w:rPr>
        <w:t>-2</w:t>
      </w:r>
      <w:r>
        <w:rPr>
          <w:rFonts w:eastAsia="等线"/>
          <w:iCs/>
          <w:sz w:val="21"/>
          <w:szCs w:val="20"/>
          <w:lang w:eastAsia="zh-CN"/>
        </w:rPr>
        <w:t>)</w:t>
      </w:r>
      <w:r>
        <w:rPr>
          <w:rFonts w:eastAsia="等线"/>
          <w:sz w:val="21"/>
          <w:szCs w:val="20"/>
          <w:lang w:eastAsia="zh-CN"/>
        </w:rPr>
        <w:t>.</w:t>
      </w:r>
    </w:p>
    <w:p>
      <w:pPr>
        <w:autoSpaceDE w:val="0"/>
        <w:autoSpaceDN w:val="0"/>
        <w:adjustRightInd w:val="0"/>
        <w:snapToGrid w:val="0"/>
        <w:ind w:firstLine="210" w:firstLineChars="100"/>
        <w:rPr>
          <w:rFonts w:eastAsia="等线"/>
          <w:sz w:val="21"/>
          <w:szCs w:val="20"/>
          <w:lang w:eastAsia="zh-CN"/>
        </w:rPr>
      </w:pPr>
      <w:r>
        <w:rPr>
          <w:rFonts w:eastAsia="等线"/>
          <w:color w:val="0000FF"/>
          <w:sz w:val="21"/>
          <w:szCs w:val="20"/>
          <w:lang w:eastAsia="zh-CN"/>
        </w:rPr>
        <w:t>Fig. S3</w:t>
      </w:r>
      <w:r>
        <w:rPr>
          <w:rFonts w:eastAsia="等线"/>
          <w:sz w:val="21"/>
          <w:szCs w:val="20"/>
          <w:lang w:eastAsia="zh-CN"/>
        </w:rPr>
        <w:t>. Comparison of smoothed damming probabilities with different moving average windows: (a) 6 km; (b) 10 km; (c) 20 km; (d) 40 km.</w:t>
      </w:r>
    </w:p>
    <w:p>
      <w:pPr>
        <w:autoSpaceDE w:val="0"/>
        <w:autoSpaceDN w:val="0"/>
        <w:adjustRightInd w:val="0"/>
        <w:snapToGrid w:val="0"/>
        <w:ind w:firstLine="210" w:firstLineChars="100"/>
        <w:rPr>
          <w:rFonts w:eastAsia="等线"/>
          <w:color w:val="0000FF"/>
          <w:sz w:val="21"/>
          <w:szCs w:val="20"/>
          <w:lang w:eastAsia="zh-CN"/>
        </w:rPr>
      </w:pPr>
    </w:p>
    <w:p>
      <w:pPr>
        <w:autoSpaceDE w:val="0"/>
        <w:autoSpaceDN w:val="0"/>
        <w:adjustRightInd w:val="0"/>
        <w:snapToGrid w:val="0"/>
        <w:ind w:firstLine="210" w:firstLineChars="100"/>
        <w:rPr>
          <w:rFonts w:eastAsia="等线"/>
          <w:sz w:val="21"/>
          <w:szCs w:val="20"/>
          <w:lang w:eastAsia="zh-CN"/>
        </w:rPr>
      </w:pPr>
      <w:bookmarkStart w:id="0" w:name="_GoBack"/>
      <w:bookmarkEnd w:id="0"/>
      <w:r>
        <w:rPr>
          <w:rFonts w:eastAsia="等线"/>
          <w:color w:val="0000FF"/>
          <w:sz w:val="21"/>
          <w:szCs w:val="20"/>
          <w:lang w:eastAsia="zh-CN"/>
        </w:rPr>
        <w:t>Section S1</w:t>
      </w:r>
      <w:r>
        <w:rPr>
          <w:rFonts w:eastAsia="等线"/>
          <w:sz w:val="21"/>
          <w:szCs w:val="20"/>
          <w:lang w:eastAsia="zh-CN"/>
        </w:rPr>
        <w:t>. Method for mapping damming landslides and non-damming landslides.</w:t>
      </w:r>
    </w:p>
    <w:p>
      <w:pPr>
        <w:autoSpaceDE w:val="0"/>
        <w:autoSpaceDN w:val="0"/>
        <w:adjustRightInd w:val="0"/>
        <w:snapToGrid w:val="0"/>
        <w:ind w:firstLine="210" w:firstLineChars="100"/>
        <w:rPr>
          <w:rFonts w:eastAsia="等线"/>
          <w:sz w:val="21"/>
          <w:szCs w:val="20"/>
          <w:lang w:eastAsia="zh-CN"/>
        </w:rPr>
      </w:pPr>
      <w:r>
        <w:rPr>
          <w:rFonts w:eastAsia="等线"/>
          <w:color w:val="0000FF"/>
          <w:sz w:val="21"/>
          <w:szCs w:val="20"/>
          <w:lang w:eastAsia="zh-CN"/>
        </w:rPr>
        <w:t>Section S2</w:t>
      </w:r>
      <w:r>
        <w:rPr>
          <w:rFonts w:eastAsia="等线"/>
          <w:sz w:val="21"/>
          <w:szCs w:val="20"/>
          <w:lang w:eastAsia="zh-CN"/>
        </w:rPr>
        <w:t>. Method for deriving valley floor width.</w:t>
      </w:r>
      <w:r>
        <w:t xml:space="preserve"> </w:t>
      </w:r>
    </w:p>
    <w:p>
      <w:pPr>
        <w:autoSpaceDE w:val="0"/>
        <w:autoSpaceDN w:val="0"/>
        <w:adjustRightInd w:val="0"/>
        <w:snapToGrid w:val="0"/>
        <w:ind w:firstLine="210" w:firstLineChars="100"/>
        <w:rPr>
          <w:rFonts w:eastAsia="等线"/>
          <w:sz w:val="21"/>
          <w:szCs w:val="20"/>
          <w:lang w:eastAsia="zh-CN"/>
        </w:rPr>
      </w:pPr>
      <w:r>
        <w:rPr>
          <w:rFonts w:eastAsia="等线"/>
          <w:color w:val="0000FF"/>
          <w:sz w:val="21"/>
          <w:szCs w:val="20"/>
          <w:lang w:eastAsia="zh-CN"/>
        </w:rPr>
        <w:t>Section S3</w:t>
      </w:r>
      <w:r>
        <w:rPr>
          <w:rFonts w:eastAsia="等线"/>
          <w:sz w:val="21"/>
          <w:szCs w:val="20"/>
          <w:lang w:eastAsia="zh-CN"/>
        </w:rPr>
        <w:t>. Method for automatic identification of the valley domain.</w:t>
      </w:r>
    </w:p>
    <w:p>
      <w:pPr>
        <w:autoSpaceDE w:val="0"/>
        <w:autoSpaceDN w:val="0"/>
        <w:adjustRightInd w:val="0"/>
        <w:snapToGrid w:val="0"/>
        <w:ind w:firstLine="210" w:firstLineChars="100"/>
        <w:rPr>
          <w:rFonts w:eastAsia="等线"/>
          <w:sz w:val="21"/>
          <w:szCs w:val="20"/>
          <w:lang w:eastAsia="zh-CN"/>
        </w:rPr>
      </w:pPr>
      <w:r>
        <w:rPr>
          <w:rFonts w:eastAsia="等线"/>
          <w:color w:val="0000FF"/>
          <w:sz w:val="21"/>
          <w:szCs w:val="20"/>
          <w:lang w:eastAsia="zh-CN"/>
        </w:rPr>
        <w:t>Section</w:t>
      </w:r>
      <w:r>
        <w:rPr>
          <w:rFonts w:hint="eastAsia" w:eastAsia="等线"/>
          <w:color w:val="0000FF"/>
          <w:sz w:val="21"/>
          <w:szCs w:val="20"/>
          <w:lang w:val="en-US" w:eastAsia="zh-CN"/>
        </w:rPr>
        <w:t xml:space="preserve"> </w:t>
      </w:r>
      <w:r>
        <w:rPr>
          <w:rFonts w:eastAsia="等线"/>
          <w:color w:val="0000FF"/>
          <w:sz w:val="21"/>
          <w:szCs w:val="20"/>
          <w:lang w:eastAsia="zh-CN"/>
        </w:rPr>
        <w:t xml:space="preserve">S4. </w:t>
      </w:r>
      <w:r>
        <w:rPr>
          <w:rFonts w:eastAsia="等线"/>
          <w:sz w:val="21"/>
          <w:szCs w:val="20"/>
          <w:lang w:eastAsia="zh-CN"/>
        </w:rPr>
        <w:t>Method for calculating damming probability with the total probability theorem.</w:t>
      </w:r>
    </w:p>
    <w:p>
      <w:pPr>
        <w:autoSpaceDE w:val="0"/>
        <w:autoSpaceDN w:val="0"/>
        <w:adjustRightInd w:val="0"/>
        <w:snapToGrid w:val="0"/>
        <w:ind w:firstLine="210" w:firstLineChars="100"/>
        <w:rPr>
          <w:rFonts w:eastAsia="等线"/>
          <w:sz w:val="21"/>
          <w:szCs w:val="20"/>
          <w:lang w:eastAsia="zh-CN"/>
        </w:rPr>
      </w:pPr>
    </w:p>
    <w:p>
      <w:pPr>
        <w:autoSpaceDE w:val="0"/>
        <w:autoSpaceDN w:val="0"/>
        <w:adjustRightInd w:val="0"/>
        <w:snapToGrid w:val="0"/>
        <w:ind w:firstLine="210" w:firstLineChars="100"/>
        <w:rPr>
          <w:rFonts w:eastAsia="等线"/>
          <w:sz w:val="21"/>
          <w:szCs w:val="20"/>
          <w:lang w:eastAsia="zh-CN"/>
        </w:rPr>
      </w:pPr>
      <w:r>
        <w:rPr>
          <w:rFonts w:eastAsia="等线"/>
          <w:color w:val="0000FF"/>
          <w:sz w:val="21"/>
          <w:szCs w:val="20"/>
          <w:lang w:eastAsia="zh-CN"/>
        </w:rPr>
        <w:t>Table S1</w:t>
      </w:r>
      <w:r>
        <w:rPr>
          <w:rFonts w:eastAsia="等线"/>
          <w:sz w:val="21"/>
          <w:szCs w:val="20"/>
          <w:lang w:eastAsia="zh-CN"/>
        </w:rPr>
        <w:t xml:space="preserve">. </w:t>
      </w:r>
      <w:r>
        <w:rPr>
          <w:rFonts w:eastAsia="等线"/>
          <w:bCs/>
          <w:sz w:val="21"/>
          <w:szCs w:val="20"/>
          <w:lang w:val="en-AU" w:eastAsia="zh-CN"/>
        </w:rPr>
        <w:t>Summary of historical landslide dams along the Jinsha River. (Numbers are ordered from upstream to downstream)</w:t>
      </w:r>
    </w:p>
    <w:p>
      <w:pPr>
        <w:autoSpaceDE w:val="0"/>
        <w:autoSpaceDN w:val="0"/>
        <w:adjustRightInd w:val="0"/>
        <w:snapToGrid w:val="0"/>
        <w:ind w:firstLine="210" w:firstLineChars="100"/>
        <w:rPr>
          <w:rFonts w:eastAsia="等线"/>
          <w:sz w:val="21"/>
          <w:szCs w:val="20"/>
          <w:lang w:eastAsia="zh-CN"/>
        </w:rPr>
      </w:pPr>
      <w:r>
        <w:rPr>
          <w:rFonts w:eastAsia="等线"/>
          <w:color w:val="0000FF"/>
          <w:sz w:val="21"/>
          <w:szCs w:val="20"/>
          <w:lang w:eastAsia="zh-CN"/>
        </w:rPr>
        <w:t>Table S2</w:t>
      </w:r>
      <w:r>
        <w:rPr>
          <w:rFonts w:eastAsia="等线"/>
          <w:sz w:val="21"/>
          <w:szCs w:val="20"/>
          <w:lang w:eastAsia="zh-CN"/>
        </w:rPr>
        <w:t>. Summary of the spatial distribution of mapped landslides.</w:t>
      </w:r>
    </w:p>
    <w:p>
      <w:pPr>
        <w:autoSpaceDE w:val="0"/>
        <w:autoSpaceDN w:val="0"/>
        <w:adjustRightInd w:val="0"/>
        <w:snapToGrid w:val="0"/>
        <w:ind w:firstLine="210" w:firstLineChars="100"/>
        <w:rPr>
          <w:rFonts w:eastAsia="等线"/>
          <w:sz w:val="21"/>
          <w:szCs w:val="20"/>
          <w:lang w:eastAsia="zh-CN"/>
        </w:rPr>
      </w:pPr>
      <w:r>
        <w:rPr>
          <w:rFonts w:eastAsia="等线"/>
          <w:color w:val="0000FF"/>
          <w:sz w:val="21"/>
          <w:szCs w:val="20"/>
          <w:lang w:eastAsia="zh-CN"/>
        </w:rPr>
        <w:t>Table S3</w:t>
      </w:r>
      <w:r>
        <w:rPr>
          <w:rFonts w:eastAsia="等线"/>
          <w:sz w:val="21"/>
          <w:szCs w:val="20"/>
          <w:lang w:eastAsia="zh-CN"/>
        </w:rPr>
        <w:t xml:space="preserve">. </w:t>
      </w:r>
      <w:r>
        <w:rPr>
          <w:rFonts w:eastAsia="等线"/>
          <w:bCs/>
          <w:sz w:val="21"/>
          <w:szCs w:val="20"/>
          <w:lang w:val="en-AU" w:eastAsia="zh-CN"/>
        </w:rPr>
        <w:t>Top five candidate models ranked by BIC values.</w:t>
      </w:r>
    </w:p>
    <w:p>
      <w:pPr>
        <w:autoSpaceDE w:val="0"/>
        <w:autoSpaceDN w:val="0"/>
        <w:adjustRightInd w:val="0"/>
        <w:snapToGrid w:val="0"/>
        <w:rPr>
          <w:rFonts w:eastAsia="等线"/>
          <w:sz w:val="21"/>
          <w:szCs w:val="20"/>
          <w:lang w:eastAsia="zh-CN"/>
        </w:rPr>
      </w:pPr>
    </w:p>
    <w:p>
      <w:pPr>
        <w:autoSpaceDE w:val="0"/>
        <w:autoSpaceDN w:val="0"/>
        <w:adjustRightInd w:val="0"/>
        <w:snapToGrid w:val="0"/>
        <w:jc w:val="left"/>
        <w:rPr>
          <w:rFonts w:eastAsia="等线"/>
          <w:iCs/>
          <w:sz w:val="21"/>
          <w:szCs w:val="21"/>
        </w:rPr>
      </w:pPr>
    </w:p>
    <w:p>
      <w:pPr>
        <w:autoSpaceDE/>
        <w:autoSpaceDN/>
        <w:adjustRightInd w:val="0"/>
        <w:snapToGrid w:val="0"/>
        <w:jc w:val="center"/>
        <w:rPr>
          <w:rFonts w:ascii="宋体" w:hAnsi="宋体" w:eastAsia="宋体" w:cs="宋体"/>
          <w:iCs w:val="0"/>
          <w:sz w:val="24"/>
          <w:szCs w:val="24"/>
          <w:lang w:eastAsia="zh-CN"/>
        </w:rPr>
      </w:pPr>
      <w:r>
        <w:rPr>
          <w:rFonts w:ascii="宋体" w:hAnsi="宋体" w:cs="宋体"/>
          <w:lang w:eastAsia="zh-CN"/>
        </w:rPr>
        <w:drawing>
          <wp:inline distT="0" distB="0" distL="0" distR="0">
            <wp:extent cx="4507865" cy="4911725"/>
            <wp:effectExtent l="0" t="0" r="6985" b="3175"/>
            <wp:docPr id="4" name="图片 4"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地图&#10;&#10;描述已自动生成"/>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514861" cy="4919067"/>
                    </a:xfrm>
                    <a:prstGeom prst="rect">
                      <a:avLst/>
                    </a:prstGeom>
                    <a:noFill/>
                    <a:ln>
                      <a:noFill/>
                    </a:ln>
                  </pic:spPr>
                </pic:pic>
              </a:graphicData>
            </a:graphic>
          </wp:inline>
        </w:drawing>
      </w:r>
    </w:p>
    <w:p>
      <w:pPr>
        <w:adjustRightInd w:val="0"/>
        <w:snapToGrid w:val="0"/>
        <w:spacing w:before="120"/>
        <w:jc w:val="both"/>
        <w:rPr>
          <w:sz w:val="18"/>
          <w:szCs w:val="18"/>
        </w:rPr>
        <w:sectPr>
          <w:headerReference r:id="rId4" w:type="first"/>
          <w:footerReference r:id="rId7" w:type="first"/>
          <w:headerReference r:id="rId3" w:type="default"/>
          <w:footerReference r:id="rId5" w:type="default"/>
          <w:footerReference r:id="rId6" w:type="even"/>
          <w:pgSz w:w="11906" w:h="16838"/>
          <w:pgMar w:top="720" w:right="720" w:bottom="720" w:left="720" w:header="510" w:footer="709" w:gutter="0"/>
          <w:pgNumType w:start="1"/>
          <w:cols w:space="708" w:num="1"/>
          <w:titlePg/>
          <w:docGrid w:linePitch="360" w:charSpace="0"/>
        </w:sectPr>
      </w:pPr>
      <w:r>
        <w:rPr>
          <w:b/>
          <w:bCs/>
          <w:sz w:val="18"/>
          <w:szCs w:val="18"/>
        </w:rPr>
        <w:t xml:space="preserve">Fig. S1. </w:t>
      </w:r>
      <w:r>
        <w:rPr>
          <w:sz w:val="18"/>
          <w:szCs w:val="18"/>
        </w:rPr>
        <w:t>Spatial distribution of damming landslides and non-damming landslides along large rivers, as well as cities and key infrastructure along the Jinsha River.</w:t>
      </w:r>
    </w:p>
    <w:p>
      <w:pPr>
        <w:autoSpaceDE w:val="0"/>
        <w:autoSpaceDN w:val="0"/>
        <w:adjustRightInd w:val="0"/>
        <w:snapToGrid w:val="0"/>
        <w:rPr>
          <w:rFonts w:eastAsia="等线"/>
          <w:iCs/>
          <w:sz w:val="21"/>
          <w:szCs w:val="21"/>
          <w:lang w:eastAsia="zh-CN"/>
        </w:rPr>
      </w:pPr>
    </w:p>
    <w:p>
      <w:pPr>
        <w:adjustRightInd w:val="0"/>
        <w:snapToGrid w:val="0"/>
        <w:jc w:val="center"/>
        <w:rPr>
          <w:rFonts w:eastAsia="等线"/>
          <w:iCs/>
          <w:sz w:val="21"/>
          <w:szCs w:val="21"/>
        </w:rPr>
      </w:pPr>
      <w:r>
        <w:rPr>
          <w:sz w:val="21"/>
          <w:szCs w:val="20"/>
          <w:lang w:eastAsia="zh-CN"/>
        </w:rPr>
        <w:drawing>
          <wp:inline distT="0" distB="0" distL="0" distR="0">
            <wp:extent cx="6347460" cy="5565775"/>
            <wp:effectExtent l="0" t="0" r="0" b="0"/>
            <wp:docPr id="10" name="图片 10"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地图&#10;&#10;描述已自动生成"/>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a:xfrm>
                      <a:off x="0" y="0"/>
                      <a:ext cx="6365597" cy="5581813"/>
                    </a:xfrm>
                    <a:prstGeom prst="rect">
                      <a:avLst/>
                    </a:prstGeom>
                    <a:noFill/>
                    <a:ln>
                      <a:noFill/>
                    </a:ln>
                  </pic:spPr>
                </pic:pic>
              </a:graphicData>
            </a:graphic>
          </wp:inline>
        </w:drawing>
      </w:r>
    </w:p>
    <w:p>
      <w:pPr>
        <w:adjustRightInd w:val="0"/>
        <w:snapToGrid w:val="0"/>
        <w:spacing w:before="120"/>
        <w:jc w:val="both"/>
        <w:rPr>
          <w:sz w:val="18"/>
          <w:szCs w:val="18"/>
        </w:rPr>
        <w:sectPr>
          <w:headerReference r:id="rId9" w:type="first"/>
          <w:footerReference r:id="rId11" w:type="first"/>
          <w:headerReference r:id="rId8" w:type="default"/>
          <w:footerReference r:id="rId10" w:type="even"/>
          <w:pgSz w:w="11906" w:h="16838"/>
          <w:pgMar w:top="720" w:right="720" w:bottom="720" w:left="720" w:header="454" w:footer="709" w:gutter="0"/>
          <w:pgNumType w:start="1"/>
          <w:cols w:space="708" w:num="1"/>
          <w:titlePg/>
          <w:docGrid w:linePitch="360" w:charSpace="0"/>
        </w:sectPr>
      </w:pPr>
      <w:r>
        <w:rPr>
          <w:b/>
          <w:bCs/>
          <w:sz w:val="18"/>
          <w:szCs w:val="18"/>
        </w:rPr>
        <w:t xml:space="preserve">Fig. S2. </w:t>
      </w:r>
      <w:r>
        <w:rPr>
          <w:sz w:val="18"/>
          <w:szCs w:val="18"/>
        </w:rPr>
        <w:t>Spatial distributions of the triggering factors in the study area. (a)</w:t>
      </w:r>
      <w:r>
        <w:rPr>
          <w:rFonts w:eastAsia="等线"/>
          <w:iCs/>
          <w:sz w:val="18"/>
          <w:szCs w:val="18"/>
        </w:rPr>
        <w:t xml:space="preserve"> Annual precipitation, </w:t>
      </w:r>
      <w:r>
        <w:rPr>
          <w:rFonts w:eastAsia="等线"/>
          <w:i/>
          <w:sz w:val="18"/>
          <w:szCs w:val="18"/>
        </w:rPr>
        <w:t>P</w:t>
      </w:r>
      <w:r>
        <w:rPr>
          <w:rFonts w:eastAsia="等线"/>
          <w:i/>
          <w:sz w:val="18"/>
          <w:szCs w:val="18"/>
          <w:vertAlign w:val="subscript"/>
        </w:rPr>
        <w:t>A</w:t>
      </w:r>
      <w:r>
        <w:rPr>
          <w:rFonts w:eastAsia="等线"/>
          <w:iCs/>
          <w:sz w:val="18"/>
          <w:szCs w:val="18"/>
        </w:rPr>
        <w:t xml:space="preserve"> (mm)</w:t>
      </w:r>
      <w:r>
        <w:rPr>
          <w:sz w:val="18"/>
          <w:szCs w:val="18"/>
        </w:rPr>
        <w:t>; (b)</w:t>
      </w:r>
      <w:r>
        <w:rPr>
          <w:rFonts w:eastAsia="等线"/>
          <w:iCs/>
          <w:sz w:val="18"/>
          <w:szCs w:val="18"/>
        </w:rPr>
        <w:t xml:space="preserve"> Expected peak ground acceleration, </w:t>
      </w:r>
      <w:r>
        <w:rPr>
          <w:rFonts w:eastAsia="等线"/>
          <w:i/>
          <w:sz w:val="18"/>
          <w:szCs w:val="18"/>
        </w:rPr>
        <w:t>PGA</w:t>
      </w:r>
      <w:r>
        <w:rPr>
          <w:rFonts w:eastAsia="等线"/>
          <w:iCs/>
          <w:sz w:val="18"/>
          <w:szCs w:val="18"/>
        </w:rPr>
        <w:t xml:space="preserve"> (g), with a 475-year return period</w:t>
      </w:r>
      <w:r>
        <w:rPr>
          <w:sz w:val="18"/>
          <w:szCs w:val="18"/>
        </w:rPr>
        <w:t xml:space="preserve">; (c) </w:t>
      </w:r>
      <w:r>
        <w:rPr>
          <w:rFonts w:eastAsia="等线"/>
          <w:iCs/>
          <w:sz w:val="18"/>
          <w:szCs w:val="18"/>
        </w:rPr>
        <w:t xml:space="preserve">Distance to fault, </w:t>
      </w:r>
      <w:r>
        <w:rPr>
          <w:rFonts w:eastAsia="等线"/>
          <w:i/>
          <w:sz w:val="18"/>
          <w:szCs w:val="18"/>
        </w:rPr>
        <w:t>Dist</w:t>
      </w:r>
      <w:r>
        <w:rPr>
          <w:rFonts w:eastAsia="等线"/>
          <w:i/>
          <w:sz w:val="18"/>
          <w:szCs w:val="18"/>
          <w:vertAlign w:val="subscript"/>
        </w:rPr>
        <w:t>F</w:t>
      </w:r>
      <w:r>
        <w:rPr>
          <w:rFonts w:eastAsia="等线"/>
          <w:iCs/>
          <w:sz w:val="18"/>
          <w:szCs w:val="18"/>
        </w:rPr>
        <w:t xml:space="preserve"> (m)</w:t>
      </w:r>
      <w:r>
        <w:rPr>
          <w:sz w:val="18"/>
          <w:szCs w:val="18"/>
        </w:rPr>
        <w:t xml:space="preserve">; (d) </w:t>
      </w:r>
      <w:r>
        <w:rPr>
          <w:rFonts w:eastAsia="等线"/>
          <w:iCs/>
          <w:sz w:val="18"/>
          <w:szCs w:val="18"/>
        </w:rPr>
        <w:t xml:space="preserve">Fault density, </w:t>
      </w:r>
      <w:r>
        <w:rPr>
          <w:rFonts w:eastAsia="等线"/>
          <w:i/>
          <w:sz w:val="18"/>
          <w:szCs w:val="18"/>
        </w:rPr>
        <w:t>Dens</w:t>
      </w:r>
      <w:r>
        <w:rPr>
          <w:rFonts w:eastAsia="等线"/>
          <w:i/>
          <w:sz w:val="18"/>
          <w:szCs w:val="18"/>
          <w:vertAlign w:val="subscript"/>
        </w:rPr>
        <w:t>F</w:t>
      </w:r>
      <w:r>
        <w:rPr>
          <w:rFonts w:eastAsia="等线"/>
          <w:iCs/>
          <w:sz w:val="18"/>
          <w:szCs w:val="18"/>
        </w:rPr>
        <w:t xml:space="preserve"> (km km</w:t>
      </w:r>
      <w:r>
        <w:rPr>
          <w:rFonts w:eastAsia="等线"/>
          <w:iCs/>
          <w:sz w:val="18"/>
          <w:szCs w:val="18"/>
          <w:vertAlign w:val="superscript"/>
        </w:rPr>
        <w:t>-2</w:t>
      </w:r>
      <w:r>
        <w:rPr>
          <w:rFonts w:eastAsia="等线"/>
          <w:iCs/>
          <w:sz w:val="18"/>
          <w:szCs w:val="18"/>
        </w:rPr>
        <w:t>)</w:t>
      </w:r>
      <w:r>
        <w:rPr>
          <w:sz w:val="18"/>
          <w:szCs w:val="18"/>
        </w:rPr>
        <w:t>.</w:t>
      </w:r>
    </w:p>
    <w:p>
      <w:pPr>
        <w:adjustRightInd w:val="0"/>
        <w:snapToGrid w:val="0"/>
        <w:jc w:val="center"/>
        <w:rPr>
          <w:sz w:val="18"/>
          <w:szCs w:val="18"/>
        </w:rPr>
      </w:pPr>
      <w:r>
        <w:rPr>
          <w:rFonts w:ascii="宋体" w:hAnsi="宋体" w:cs="宋体"/>
          <w:lang w:eastAsia="zh-CN"/>
        </w:rPr>
        <w:drawing>
          <wp:inline distT="0" distB="0" distL="0" distR="0">
            <wp:extent cx="5718810" cy="4523740"/>
            <wp:effectExtent l="0" t="0" r="0" b="0"/>
            <wp:docPr id="1" name="图片 1" descr="图示&#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低可信度描述已自动生成"/>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732377" cy="4534970"/>
                    </a:xfrm>
                    <a:prstGeom prst="rect">
                      <a:avLst/>
                    </a:prstGeom>
                    <a:noFill/>
                    <a:ln>
                      <a:noFill/>
                    </a:ln>
                  </pic:spPr>
                </pic:pic>
              </a:graphicData>
            </a:graphic>
          </wp:inline>
        </w:drawing>
      </w:r>
    </w:p>
    <w:p>
      <w:pPr>
        <w:adjustRightInd w:val="0"/>
        <w:snapToGrid w:val="0"/>
        <w:spacing w:before="120"/>
        <w:jc w:val="both"/>
        <w:rPr>
          <w:sz w:val="18"/>
          <w:szCs w:val="18"/>
        </w:rPr>
        <w:sectPr>
          <w:pgSz w:w="11906" w:h="16838"/>
          <w:pgMar w:top="720" w:right="896" w:bottom="1038" w:left="1038" w:header="510" w:footer="709" w:gutter="0"/>
          <w:cols w:space="708" w:num="1"/>
          <w:docGrid w:linePitch="360" w:charSpace="0"/>
        </w:sectPr>
      </w:pPr>
      <w:r>
        <w:rPr>
          <w:b/>
          <w:bCs/>
          <w:sz w:val="18"/>
          <w:szCs w:val="18"/>
        </w:rPr>
        <w:t xml:space="preserve">Fig. S3. </w:t>
      </w:r>
      <w:r>
        <w:rPr>
          <w:sz w:val="18"/>
          <w:szCs w:val="18"/>
          <w:lang w:eastAsia="zh-CN"/>
        </w:rPr>
        <w:t>Comparison of smoothed damming probabilities with different moving average windows: (a) 6 km; (b) 10 km; (c) 20 km; (d) 40 km.</w:t>
      </w:r>
    </w:p>
    <w:p>
      <w:pPr>
        <w:autoSpaceDE w:val="0"/>
        <w:autoSpaceDN w:val="0"/>
        <w:adjustRightInd w:val="0"/>
        <w:snapToGrid w:val="0"/>
        <w:spacing w:before="120" w:after="120" w:afterLines="50"/>
        <w:rPr>
          <w:rFonts w:eastAsia="黑体"/>
          <w:b/>
          <w:sz w:val="21"/>
          <w:szCs w:val="21"/>
        </w:rPr>
      </w:pPr>
      <w:r>
        <w:rPr>
          <w:rFonts w:eastAsia="黑体"/>
          <w:b/>
          <w:sz w:val="21"/>
          <w:szCs w:val="21"/>
        </w:rPr>
        <w:t>Text S1. Method for mapping damming landslides and non-damming landslides.</w:t>
      </w:r>
    </w:p>
    <w:p>
      <w:pPr>
        <w:autoSpaceDE w:val="0"/>
        <w:autoSpaceDN w:val="0"/>
        <w:adjustRightInd w:val="0"/>
        <w:snapToGrid w:val="0"/>
        <w:ind w:firstLine="210" w:firstLineChars="100"/>
        <w:jc w:val="both"/>
        <w:rPr>
          <w:rFonts w:eastAsia="等线"/>
          <w:sz w:val="21"/>
          <w:szCs w:val="20"/>
        </w:rPr>
      </w:pPr>
      <w:r>
        <w:rPr>
          <w:rFonts w:hint="eastAsia"/>
          <w:bCs/>
          <w:sz w:val="21"/>
          <w:szCs w:val="20"/>
        </w:rPr>
        <w:t>The inventory</w:t>
      </w:r>
      <w:r>
        <w:rPr>
          <w:bCs/>
          <w:sz w:val="21"/>
          <w:szCs w:val="20"/>
        </w:rPr>
        <w:t xml:space="preserve"> includes both damming landslides and non-damming landslides. </w:t>
      </w:r>
      <w:r>
        <w:rPr>
          <w:rFonts w:hint="eastAsia"/>
          <w:bCs/>
          <w:sz w:val="21"/>
          <w:szCs w:val="20"/>
        </w:rPr>
        <w:t>All</w:t>
      </w:r>
      <w:r>
        <w:rPr>
          <w:bCs/>
          <w:sz w:val="21"/>
          <w:szCs w:val="20"/>
        </w:rPr>
        <w:t xml:space="preserve"> landslides are mapped </w:t>
      </w:r>
      <w:r>
        <w:rPr>
          <w:rFonts w:eastAsia="等线"/>
          <w:sz w:val="21"/>
          <w:szCs w:val="20"/>
        </w:rPr>
        <w:t xml:space="preserve">through </w:t>
      </w:r>
      <w:r>
        <w:rPr>
          <w:rFonts w:hint="eastAsia" w:eastAsia="等线"/>
          <w:sz w:val="21"/>
          <w:szCs w:val="20"/>
        </w:rPr>
        <w:t>visual</w:t>
      </w:r>
      <w:r>
        <w:rPr>
          <w:rFonts w:eastAsia="等线"/>
          <w:sz w:val="21"/>
          <w:szCs w:val="20"/>
        </w:rPr>
        <w:t xml:space="preserve"> interpretation of multitemporal high-resolution satellite images on the </w:t>
      </w:r>
      <w:r>
        <w:rPr>
          <w:rFonts w:hint="eastAsia" w:eastAsia="等线"/>
          <w:sz w:val="21"/>
          <w:szCs w:val="20"/>
        </w:rPr>
        <w:t>G</w:t>
      </w:r>
      <w:r>
        <w:rPr>
          <w:rFonts w:eastAsia="等线"/>
          <w:sz w:val="21"/>
          <w:szCs w:val="20"/>
        </w:rPr>
        <w:t xml:space="preserve">oogle </w:t>
      </w:r>
      <w:r>
        <w:rPr>
          <w:rFonts w:hint="eastAsia" w:eastAsia="等线"/>
          <w:sz w:val="21"/>
          <w:szCs w:val="20"/>
        </w:rPr>
        <w:t>E</w:t>
      </w:r>
      <w:r>
        <w:rPr>
          <w:rFonts w:eastAsia="等线"/>
          <w:sz w:val="21"/>
          <w:szCs w:val="20"/>
        </w:rPr>
        <w:t>arth platform, augmented by relevant literature surveys and field investigations. It is important to note that only the landslides whose boundaries can be reliably identified were included in this inventory. Along the Jinsha River, we collected 29 historical landslide dams with explicit damming locations (</w:t>
      </w:r>
      <w:r>
        <w:rPr>
          <w:rFonts w:eastAsia="等线"/>
          <w:color w:val="0000FF"/>
          <w:sz w:val="21"/>
          <w:szCs w:val="20"/>
        </w:rPr>
        <w:t>Table S1</w:t>
      </w:r>
      <w:r>
        <w:rPr>
          <w:rFonts w:eastAsia="等线"/>
          <w:sz w:val="21"/>
          <w:szCs w:val="20"/>
        </w:rPr>
        <w:t>). Of these 29 landslides, six damming landslides have unclear boundaries. Hence, we mapped the boundaries of the remaining 23 damming landslides and included them in the inventory (</w:t>
      </w:r>
      <w:r>
        <w:rPr>
          <w:rFonts w:eastAsia="等线"/>
          <w:color w:val="0000FF"/>
          <w:sz w:val="21"/>
          <w:szCs w:val="20"/>
        </w:rPr>
        <w:t>Table S2</w:t>
      </w:r>
      <w:r>
        <w:rPr>
          <w:rFonts w:eastAsia="等线"/>
          <w:sz w:val="21"/>
          <w:szCs w:val="20"/>
        </w:rPr>
        <w:t>).</w:t>
      </w:r>
    </w:p>
    <w:p>
      <w:pPr>
        <w:autoSpaceDE w:val="0"/>
        <w:autoSpaceDN w:val="0"/>
        <w:adjustRightInd w:val="0"/>
        <w:snapToGrid w:val="0"/>
        <w:ind w:firstLine="210" w:firstLineChars="100"/>
        <w:jc w:val="both"/>
        <w:rPr>
          <w:bCs/>
          <w:sz w:val="21"/>
          <w:szCs w:val="20"/>
        </w:rPr>
      </w:pPr>
      <w:r>
        <w:rPr>
          <w:bCs/>
          <w:sz w:val="21"/>
          <w:szCs w:val="20"/>
        </w:rPr>
        <w:t>To map damming landslides, the first step is to</w:t>
      </w:r>
      <w:r>
        <w:rPr>
          <w:rFonts w:hint="eastAsia"/>
          <w:bCs/>
          <w:sz w:val="21"/>
          <w:szCs w:val="20"/>
        </w:rPr>
        <w:t xml:space="preserve"> </w:t>
      </w:r>
      <w:r>
        <w:rPr>
          <w:bCs/>
          <w:sz w:val="21"/>
          <w:szCs w:val="20"/>
        </w:rPr>
        <w:t>collect the locations (i.e., longitude and latitude) of the historical damming landslides documented in the literature. This ensures that all the mapped damming landslides are well documented.</w:t>
      </w:r>
      <w:r>
        <w:rPr>
          <w:rFonts w:hint="eastAsia"/>
          <w:bCs/>
          <w:sz w:val="21"/>
          <w:szCs w:val="20"/>
        </w:rPr>
        <w:t xml:space="preserve"> </w:t>
      </w:r>
      <w:r>
        <w:rPr>
          <w:bCs/>
          <w:sz w:val="21"/>
          <w:szCs w:val="20"/>
        </w:rPr>
        <w:t xml:space="preserve">Then, the boundary of each damming landslide was determined, including the landslide source zone and deposition zone. The boundary of the deposition zone (i.e., relict landslide dam) could be identified through the following </w:t>
      </w:r>
      <w:r>
        <w:rPr>
          <w:rFonts w:eastAsia="等线"/>
          <w:sz w:val="21"/>
          <w:szCs w:val="20"/>
        </w:rPr>
        <w:t xml:space="preserve">interpretation features </w:t>
      </w:r>
      <w:r>
        <w:rPr>
          <w:rFonts w:eastAsia="等线"/>
          <w:sz w:val="21"/>
          <w:szCs w:val="20"/>
        </w:rPr>
        <w:fldChar w:fldCharType="begin"/>
      </w:r>
      <w:r>
        <w:rPr>
          <w:rFonts w:eastAsia="等线"/>
          <w:sz w:val="21"/>
          <w:szCs w:val="20"/>
        </w:rPr>
        <w:instrText xml:space="preserve"> ADDIN EN.CITE &lt;EndNote&gt;&lt;Cite&gt;&lt;Author&gt;Zhang&lt;/Author&gt;&lt;Year&gt;2022&lt;/Year&gt;&lt;RecNum&gt;420&lt;/RecNum&gt;&lt;DisplayText&gt;[1,2]&lt;/DisplayText&gt;&lt;record&gt;&lt;rec-number&gt;420&lt;/rec-number&gt;&lt;foreign-keys&gt;&lt;key app="EN" db-id="xs0d5swp49tasae5twvpwvdaazzfw0st09xd" timestamp="1665976849"&gt;420&lt;/key&gt;&lt;/foreign-keys&gt;&lt;ref-type name="Journal Article"&gt;17&lt;/ref-type&gt;&lt;contributors&gt;&lt;authors&gt;&lt;author&gt;Zhang, Yansong&lt;/author&gt;&lt;author&gt;Chen, Jianping&lt;/author&gt;&lt;author&gt;Zhou, Fujun&lt;/author&gt;&lt;author&gt;Bao, Yiding&lt;/author&gt;&lt;author&gt;Yan, Jianhua&lt;/author&gt;&lt;author&gt;Zhang, Yiwei&lt;/author&gt;&lt;author&gt;Li, Yongchao&lt;/author&gt;&lt;author&gt;Gu, Feifan&lt;/author&gt;&lt;author&gt;Wang, Qing&lt;/author&gt;&lt;/authors&gt;&lt;/contributors&gt;&lt;titles&gt;&lt;title&gt;Combined numerical investigation of the Gangda paleolandslide runout and associated dam breach flood propagation in the upper Jinsha River, SE Tibetan Plateau&lt;/title&gt;&lt;secondary-title&gt;Landslides&lt;/secondary-title&gt;&lt;/titles&gt;&lt;periodical&gt;&lt;full-title&gt;Landslides&lt;/full-title&gt;&lt;/periodical&gt;&lt;pages&gt;941-962&lt;/pages&gt;&lt;volume&gt;19&lt;/volume&gt;&lt;number&gt;4&lt;/number&gt;&lt;dates&gt;&lt;year&gt;2022&lt;/year&gt;&lt;/dates&gt;&lt;isbn&gt;1612-5118&lt;/isbn&gt;&lt;urls&gt;&lt;/urls&gt;&lt;/record&gt;&lt;/Cite&gt;&lt;Cite&gt;&lt;Author&gt;Chen&lt;/Author&gt;&lt;Year&gt;2013&lt;/Year&gt;&lt;RecNum&gt;393&lt;/RecNum&gt;&lt;record&gt;&lt;rec-number&gt;393&lt;/rec-number&gt;&lt;foreign-keys&gt;&lt;key app="EN" db-id="xs0d5swp49tasae5twvpwvdaazzfw0st09xd" timestamp="1663171891"&gt;393&lt;/key&gt;&lt;/foreign-keys&gt;&lt;ref-type name="Journal Article"&gt;17&lt;/ref-type&gt;&lt;contributors&gt;&lt;authors&gt;&lt;author&gt;Chen, Jian&lt;/author&gt;&lt;author&gt;Dai, Fuchu&lt;/author&gt;&lt;author&gt;Lv, Tongyan&lt;/author&gt;&lt;author&gt;Cui, Zhijiu&lt;/author&gt;&lt;/authors&gt;&lt;/contributors&gt;&lt;titles&gt;&lt;title&gt;Holocene landslide-dammed lake deposits in the Upper Jinsha River, SE Tibetan Plateau and their ages&lt;/title&gt;&lt;secondary-title&gt;Quaternary International&lt;/secondary-title&gt;&lt;/titles&gt;&lt;periodical&gt;&lt;full-title&gt;Quaternary International&lt;/full-title&gt;&lt;abbr-1&gt;Quatern. Int.&lt;/abbr-1&gt;&lt;/periodical&gt;&lt;pages&gt;107-113&lt;/pages&gt;&lt;volume&gt;298&lt;/volume&gt;&lt;dates&gt;&lt;year&gt;2013&lt;/year&gt;&lt;/dates&gt;&lt;isbn&gt;1040-6182&lt;/isbn&gt;&lt;urls&gt;&lt;/urls&gt;&lt;/record&gt;&lt;/Cite&gt;&lt;/EndNote&gt;</w:instrText>
      </w:r>
      <w:r>
        <w:rPr>
          <w:rFonts w:eastAsia="等线"/>
          <w:sz w:val="21"/>
          <w:szCs w:val="20"/>
        </w:rPr>
        <w:fldChar w:fldCharType="separate"/>
      </w:r>
      <w:r>
        <w:rPr>
          <w:rFonts w:eastAsia="等线"/>
          <w:sz w:val="21"/>
          <w:szCs w:val="20"/>
        </w:rPr>
        <w:t>[1,2]</w:t>
      </w:r>
      <w:r>
        <w:rPr>
          <w:rFonts w:eastAsia="等线"/>
          <w:sz w:val="21"/>
          <w:szCs w:val="20"/>
        </w:rPr>
        <w:fldChar w:fldCharType="end"/>
      </w:r>
      <w:r>
        <w:rPr>
          <w:rFonts w:eastAsia="等线"/>
          <w:sz w:val="21"/>
          <w:szCs w:val="20"/>
        </w:rPr>
        <w:t>: (1) a</w:t>
      </w:r>
      <w:r>
        <w:rPr>
          <w:sz w:val="21"/>
          <w:szCs w:val="20"/>
        </w:rPr>
        <w:t xml:space="preserve"> </w:t>
      </w:r>
      <w:r>
        <w:rPr>
          <w:rFonts w:eastAsia="等线"/>
          <w:sz w:val="21"/>
          <w:szCs w:val="20"/>
        </w:rPr>
        <w:t xml:space="preserve">hummocky and asymmetric relict landslide dam; (2) lacustrine sediments upstream of the damming site; (3) dam breaching-induced fluvial sediments downstream of the damming site; and (4) abrupt changes in river channel morphology. The boundary of the landslide source zone (i.e., landslide scarp) can be </w:t>
      </w:r>
      <w:r>
        <w:rPr>
          <w:bCs/>
          <w:sz w:val="21"/>
          <w:szCs w:val="20"/>
        </w:rPr>
        <w:t xml:space="preserve">identified through the following geomorphological features </w:t>
      </w:r>
      <w:r>
        <w:rPr>
          <w:bCs/>
          <w:sz w:val="21"/>
          <w:szCs w:val="20"/>
        </w:rPr>
        <w:fldChar w:fldCharType="begin">
          <w:fldData xml:space="preserve">PEVuZE5vdGU+PENpdGU+PEF1dGhvcj5TdW48L0F1dGhvcj48WWVhcj4yMDIwPC9ZZWFyPjxSZWNO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</w:fldData>
        </w:fldChar>
      </w:r>
      <w:r>
        <w:rPr>
          <w:bCs/>
          <w:sz w:val="21"/>
          <w:szCs w:val="20"/>
        </w:rPr>
        <w:instrText xml:space="preserve"> ADDIN EN.CITE </w:instrText>
      </w:r>
      <w:r>
        <w:rPr>
          <w:bCs/>
          <w:sz w:val="21"/>
          <w:szCs w:val="20"/>
        </w:rPr>
        <w:fldChar w:fldCharType="begin">
          <w:fldData xml:space="preserve">PEVuZE5vdGU+PENpdGU+PEF1dGhvcj5TdW48L0F1dGhvcj48WWVhcj4yMDIwPC9ZZWFyPjxSZWNO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</w:fldData>
        </w:fldChar>
      </w:r>
      <w:r>
        <w:rPr>
          <w:bCs/>
          <w:sz w:val="21"/>
          <w:szCs w:val="20"/>
        </w:rPr>
        <w:instrText xml:space="preserve"> ADDIN EN.CITE.DATA </w:instrText>
      </w:r>
      <w:r>
        <w:rPr>
          <w:bCs/>
          <w:sz w:val="21"/>
          <w:szCs w:val="20"/>
        </w:rPr>
        <w:fldChar w:fldCharType="end"/>
      </w:r>
      <w:r>
        <w:rPr>
          <w:bCs/>
          <w:sz w:val="21"/>
          <w:szCs w:val="20"/>
        </w:rPr>
        <w:fldChar w:fldCharType="separate"/>
      </w:r>
      <w:r>
        <w:rPr>
          <w:bCs/>
          <w:sz w:val="21"/>
          <w:szCs w:val="20"/>
        </w:rPr>
        <w:t>[3,4]</w:t>
      </w:r>
      <w:r>
        <w:rPr>
          <w:bCs/>
          <w:sz w:val="21"/>
          <w:szCs w:val="20"/>
        </w:rPr>
        <w:fldChar w:fldCharType="end"/>
      </w:r>
      <w:r>
        <w:rPr>
          <w:bCs/>
          <w:sz w:val="21"/>
          <w:szCs w:val="20"/>
        </w:rPr>
        <w:t xml:space="preserve">: (1) the main scarp is arc-shaped or armchair-like; </w:t>
      </w:r>
      <w:r>
        <w:rPr>
          <w:rFonts w:hint="eastAsia"/>
          <w:bCs/>
          <w:sz w:val="21"/>
          <w:szCs w:val="20"/>
        </w:rPr>
        <w:t>(</w:t>
      </w:r>
      <w:r>
        <w:rPr>
          <w:bCs/>
          <w:sz w:val="21"/>
          <w:szCs w:val="20"/>
        </w:rPr>
        <w:t>2) the sliding body has a gentler slope than the surrounding hillslopes</w:t>
      </w:r>
      <w:r>
        <w:rPr>
          <w:rFonts w:hint="eastAsia"/>
          <w:bCs/>
          <w:sz w:val="21"/>
          <w:szCs w:val="20"/>
        </w:rPr>
        <w:t>;</w:t>
      </w:r>
      <w:r>
        <w:rPr>
          <w:bCs/>
          <w:sz w:val="21"/>
          <w:szCs w:val="20"/>
        </w:rPr>
        <w:t xml:space="preserve"> (3) the landslide </w:t>
      </w:r>
      <w:r>
        <w:rPr>
          <w:rFonts w:hint="eastAsia"/>
          <w:bCs/>
          <w:sz w:val="21"/>
          <w:szCs w:val="20"/>
        </w:rPr>
        <w:t>can</w:t>
      </w:r>
      <w:r>
        <w:rPr>
          <w:bCs/>
          <w:sz w:val="21"/>
          <w:szCs w:val="20"/>
        </w:rPr>
        <w:t xml:space="preserve"> damage vegetation and induce discontinuous vegetation distribution</w:t>
      </w:r>
      <w:r>
        <w:rPr>
          <w:rFonts w:hint="eastAsia"/>
          <w:bCs/>
          <w:sz w:val="21"/>
          <w:szCs w:val="20"/>
        </w:rPr>
        <w:t>;</w:t>
      </w:r>
      <w:r>
        <w:rPr>
          <w:bCs/>
          <w:sz w:val="21"/>
          <w:szCs w:val="20"/>
        </w:rPr>
        <w:t xml:space="preserve"> (4) multiple gullies are developed on the sliding body; (5) the toe of the landslide bulges and shows tongue-like geometry; and (6) the toe of the landslide may travel to the river channel, narrowing the river channel.</w:t>
      </w:r>
    </w:p>
    <w:p>
      <w:pPr>
        <w:autoSpaceDE w:val="0"/>
        <w:autoSpaceDN w:val="0"/>
        <w:adjustRightInd w:val="0"/>
        <w:snapToGrid w:val="0"/>
        <w:ind w:firstLine="210" w:firstLineChars="100"/>
        <w:jc w:val="both"/>
        <w:rPr>
          <w:rFonts w:eastAsia="等线"/>
          <w:sz w:val="21"/>
          <w:szCs w:val="20"/>
        </w:rPr>
      </w:pPr>
      <w:r>
        <w:rPr>
          <w:bCs/>
          <w:sz w:val="21"/>
          <w:szCs w:val="20"/>
        </w:rPr>
        <w:t xml:space="preserve">The </w:t>
      </w:r>
      <w:r>
        <w:rPr>
          <w:rFonts w:hint="eastAsia"/>
          <w:bCs/>
          <w:sz w:val="21"/>
          <w:szCs w:val="20"/>
        </w:rPr>
        <w:t>non-</w:t>
      </w:r>
      <w:r>
        <w:rPr>
          <w:bCs/>
          <w:sz w:val="21"/>
          <w:szCs w:val="20"/>
        </w:rPr>
        <w:t xml:space="preserve">damming landslides are mapped close to the damming landslides. The mapped damming landslides and non-damming landslides are located within the overlapping river reaches </w:t>
      </w:r>
      <w:r>
        <w:rPr>
          <w:rFonts w:eastAsia="等线"/>
          <w:sz w:val="21"/>
          <w:szCs w:val="20"/>
        </w:rPr>
        <w:t>so that their features are comparable</w:t>
      </w:r>
      <w:r>
        <w:rPr>
          <w:bCs/>
          <w:sz w:val="21"/>
          <w:szCs w:val="20"/>
        </w:rPr>
        <w:t>. This ensures that the developed damming criterion can be effectively constrained. The i</w:t>
      </w:r>
      <w:r>
        <w:rPr>
          <w:rFonts w:eastAsia="等线"/>
          <w:sz w:val="21"/>
          <w:szCs w:val="20"/>
        </w:rPr>
        <w:t xml:space="preserve">dentification of landslide scarps for non-damming landslides follows the same </w:t>
      </w:r>
      <w:r>
        <w:rPr>
          <w:bCs/>
          <w:sz w:val="21"/>
          <w:szCs w:val="20"/>
        </w:rPr>
        <w:t>geomorphological</w:t>
      </w:r>
      <w:r>
        <w:rPr>
          <w:rFonts w:eastAsia="等线"/>
          <w:sz w:val="21"/>
          <w:szCs w:val="20"/>
        </w:rPr>
        <w:t xml:space="preserve"> features as for damming landslides.</w:t>
      </w:r>
    </w:p>
    <w:p>
      <w:pPr>
        <w:rPr>
          <w:rFonts w:eastAsia="黑体"/>
          <w:b/>
          <w:sz w:val="21"/>
          <w:szCs w:val="21"/>
        </w:rPr>
      </w:pPr>
      <w:r>
        <w:rPr>
          <w:rFonts w:eastAsia="黑体"/>
          <w:b/>
          <w:sz w:val="21"/>
          <w:szCs w:val="21"/>
        </w:rPr>
        <w:br w:type="page"/>
      </w:r>
    </w:p>
    <w:p>
      <w:pPr>
        <w:autoSpaceDE w:val="0"/>
        <w:autoSpaceDN w:val="0"/>
        <w:adjustRightInd w:val="0"/>
        <w:snapToGrid w:val="0"/>
        <w:spacing w:before="120" w:after="120" w:afterLines="50"/>
        <w:rPr>
          <w:rFonts w:eastAsia="黑体"/>
          <w:b/>
          <w:sz w:val="21"/>
          <w:szCs w:val="21"/>
        </w:rPr>
      </w:pPr>
      <w:r>
        <w:rPr>
          <w:rFonts w:eastAsia="黑体"/>
          <w:b/>
          <w:sz w:val="21"/>
          <w:szCs w:val="21"/>
        </w:rPr>
        <w:t>Text S2. Method for deriving valley floor width.</w:t>
      </w:r>
    </w:p>
    <w:p>
      <w:pPr>
        <w:autoSpaceDE w:val="0"/>
        <w:autoSpaceDN w:val="0"/>
        <w:adjustRightInd w:val="0"/>
        <w:snapToGrid w:val="0"/>
        <w:ind w:firstLine="210" w:firstLineChars="100"/>
        <w:jc w:val="both"/>
        <w:rPr>
          <w:rFonts w:eastAsia="等线"/>
          <w:iCs/>
          <w:sz w:val="21"/>
          <w:szCs w:val="21"/>
        </w:rPr>
      </w:pPr>
      <w:r>
        <w:rPr>
          <w:rFonts w:eastAsia="等线"/>
          <w:iCs/>
          <w:sz w:val="21"/>
          <w:szCs w:val="21"/>
        </w:rPr>
        <w:t xml:space="preserve">The valley floor width is defined as the width of flat, low-lying areas that represent the maximum extent of river movement and flood-carrying capacity </w:t>
      </w:r>
      <w:r>
        <w:rPr>
          <w:rFonts w:eastAsia="等线"/>
          <w:iCs/>
          <w:sz w:val="21"/>
          <w:szCs w:val="21"/>
        </w:rPr>
        <w:fldChar w:fldCharType="begin">
          <w:fldData xml:space="preserve">PEVuZE5vdGU+PENpdGU+PEF1dGhvcj5HYWxsYW50PC9BdXRob3I+PFllYXI+MjAwMzwvWWVhcj48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</w:fldData>
        </w:fldChar>
      </w:r>
      <w:r>
        <w:rPr>
          <w:rFonts w:eastAsia="等线"/>
          <w:iCs/>
          <w:sz w:val="21"/>
          <w:szCs w:val="21"/>
        </w:rPr>
        <w:instrText xml:space="preserve"> ADDIN EN.CITE </w:instrText>
      </w:r>
      <w:r>
        <w:rPr>
          <w:rFonts w:eastAsia="等线"/>
          <w:iCs/>
          <w:sz w:val="21"/>
          <w:szCs w:val="21"/>
        </w:rPr>
        <w:fldChar w:fldCharType="begin">
          <w:fldData xml:space="preserve">PEVuZE5vdGU+PENpdGU+PEF1dGhvcj5HYWxsYW50PC9BdXRob3I+PFllYXI+MjAwMzwvWWVhcj48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</w:fldData>
        </w:fldChar>
      </w:r>
      <w:r>
        <w:rPr>
          <w:rFonts w:eastAsia="等线"/>
          <w:iCs/>
          <w:sz w:val="21"/>
          <w:szCs w:val="21"/>
        </w:rPr>
        <w:instrText xml:space="preserve"> ADDIN EN.CITE.DATA </w:instrText>
      </w:r>
      <w:r>
        <w:rPr>
          <w:rFonts w:eastAsia="等线"/>
          <w:iCs/>
          <w:sz w:val="21"/>
          <w:szCs w:val="21"/>
        </w:rPr>
        <w:fldChar w:fldCharType="end"/>
      </w:r>
      <w:r>
        <w:rPr>
          <w:rFonts w:eastAsia="等线"/>
          <w:iCs/>
          <w:sz w:val="21"/>
          <w:szCs w:val="21"/>
        </w:rPr>
        <w:fldChar w:fldCharType="separate"/>
      </w:r>
      <w:r>
        <w:rPr>
          <w:rFonts w:eastAsia="等线"/>
          <w:iCs/>
          <w:sz w:val="21"/>
          <w:szCs w:val="21"/>
        </w:rPr>
        <w:t>[5-7]</w:t>
      </w:r>
      <w:r>
        <w:rPr>
          <w:rFonts w:eastAsia="等线"/>
          <w:iCs/>
          <w:sz w:val="21"/>
          <w:szCs w:val="21"/>
        </w:rPr>
        <w:fldChar w:fldCharType="end"/>
      </w:r>
      <w:r>
        <w:rPr>
          <w:rFonts w:eastAsia="等线"/>
          <w:iCs/>
          <w:sz w:val="21"/>
          <w:szCs w:val="21"/>
        </w:rPr>
        <w:t>. It is important to distinguish the valley floor width from the river channel width. Unlike the river channel width, which can vary considerably between wet and dry seasons,</w:t>
      </w:r>
      <w:r>
        <w:rPr>
          <w:sz w:val="21"/>
          <w:szCs w:val="20"/>
        </w:rPr>
        <w:t xml:space="preserve"> the valley floor width depends solely on the valley topography, offering a more consistent measurement.</w:t>
      </w:r>
    </w:p>
    <w:p>
      <w:pPr>
        <w:autoSpaceDE w:val="0"/>
        <w:autoSpaceDN w:val="0"/>
        <w:adjustRightInd w:val="0"/>
        <w:snapToGrid w:val="0"/>
        <w:ind w:firstLine="210" w:firstLineChars="100"/>
        <w:jc w:val="both"/>
        <w:rPr>
          <w:rFonts w:eastAsia="等线"/>
          <w:iCs/>
          <w:sz w:val="21"/>
          <w:szCs w:val="21"/>
        </w:rPr>
      </w:pPr>
      <w:r>
        <w:rPr>
          <w:rFonts w:eastAsia="等线"/>
          <w:iCs/>
          <w:sz w:val="21"/>
          <w:szCs w:val="21"/>
        </w:rPr>
        <w:t xml:space="preserve">The valley floor is relatively flat compared with the two valley flanks. Therefore, we can find the breakpoints between the valley floor and the valley flanks according to a slope threshold </w:t>
      </w:r>
      <w:r>
        <w:rPr>
          <w:rFonts w:eastAsia="等线"/>
          <w:i/>
          <w:sz w:val="21"/>
          <w:szCs w:val="21"/>
        </w:rPr>
        <w:t>θ</w:t>
      </w:r>
      <w:r>
        <w:rPr>
          <w:rFonts w:eastAsia="等线"/>
          <w:iCs/>
          <w:sz w:val="21"/>
          <w:szCs w:val="21"/>
        </w:rPr>
        <w:t xml:space="preserve">. The valley floor width can be calculated as the horizontal distance between the two breakpoints defined by abrupt changes in slopes, as shown in </w:t>
      </w:r>
      <w:r>
        <w:rPr>
          <w:color w:val="0000FF"/>
          <w:sz w:val="21"/>
          <w:szCs w:val="20"/>
        </w:rPr>
        <w:t>Fig. S4(c)</w:t>
      </w:r>
      <w:r>
        <w:rPr>
          <w:rFonts w:eastAsia="等线"/>
          <w:iCs/>
          <w:sz w:val="21"/>
          <w:szCs w:val="21"/>
        </w:rPr>
        <w:t>.</w:t>
      </w:r>
      <w:r>
        <w:rPr>
          <w:rFonts w:eastAsia="等线"/>
          <w:iCs/>
          <w:color w:val="0000FF"/>
          <w:sz w:val="21"/>
          <w:szCs w:val="21"/>
        </w:rPr>
        <w:t xml:space="preserve"> </w:t>
      </w:r>
      <w:r>
        <w:rPr>
          <w:rFonts w:eastAsia="等线"/>
          <w:iCs/>
          <w:sz w:val="21"/>
          <w:szCs w:val="21"/>
        </w:rPr>
        <w:t>Different slope thresholds from 10°</w:t>
      </w:r>
      <w:r>
        <w:rPr>
          <w:rFonts w:hint="eastAsia" w:eastAsia="等线"/>
          <w:iCs/>
          <w:sz w:val="21"/>
          <w:szCs w:val="21"/>
        </w:rPr>
        <w:t xml:space="preserve"> </w:t>
      </w:r>
      <w:r>
        <w:rPr>
          <w:rFonts w:eastAsia="等线"/>
          <w:iCs/>
          <w:sz w:val="21"/>
          <w:szCs w:val="21"/>
        </w:rPr>
        <w:t>to 30° are compared to extract the valley floor width, and 20°</w:t>
      </w:r>
      <w:r>
        <w:rPr>
          <w:rFonts w:hint="eastAsia" w:eastAsia="等线"/>
          <w:iCs/>
          <w:sz w:val="21"/>
          <w:szCs w:val="21"/>
        </w:rPr>
        <w:t xml:space="preserve"> </w:t>
      </w:r>
      <w:r>
        <w:rPr>
          <w:rFonts w:eastAsia="等线"/>
          <w:iCs/>
          <w:sz w:val="21"/>
          <w:szCs w:val="21"/>
        </w:rPr>
        <w:t>is found to be the optimal slope threshold that produces the valley floor width best fit with the real valley floor width manually measured through satellite images in the study area. Thus, 20°</w:t>
      </w:r>
      <w:r>
        <w:rPr>
          <w:rFonts w:hint="eastAsia" w:eastAsia="等线"/>
          <w:iCs/>
          <w:sz w:val="21"/>
          <w:szCs w:val="21"/>
        </w:rPr>
        <w:t xml:space="preserve"> </w:t>
      </w:r>
      <w:r>
        <w:rPr>
          <w:rFonts w:eastAsia="等线"/>
          <w:iCs/>
          <w:sz w:val="21"/>
          <w:szCs w:val="21"/>
        </w:rPr>
        <w:t>is used as a slope threshold to extract the valley floor width in this study.</w:t>
      </w:r>
    </w:p>
    <w:p>
      <w:pPr>
        <w:autoSpaceDE w:val="0"/>
        <w:autoSpaceDN w:val="0"/>
        <w:adjustRightInd w:val="0"/>
        <w:snapToGrid w:val="0"/>
        <w:ind w:firstLine="210" w:firstLineChars="100"/>
        <w:jc w:val="both"/>
        <w:rPr>
          <w:rFonts w:eastAsia="等线"/>
          <w:iCs/>
          <w:sz w:val="21"/>
          <w:szCs w:val="21"/>
        </w:rPr>
      </w:pPr>
    </w:p>
    <w:p>
      <w:pPr>
        <w:adjustRightInd w:val="0"/>
        <w:snapToGrid w:val="0"/>
        <w:jc w:val="center"/>
        <w:rPr>
          <w:b/>
          <w:bCs/>
          <w:sz w:val="18"/>
          <w:szCs w:val="18"/>
        </w:rPr>
      </w:pPr>
      <w:r>
        <w:rPr>
          <w:lang w:eastAsia="zh-CN"/>
        </w:rPr>
        <w:drawing>
          <wp:inline distT="0" distB="0" distL="0" distR="0">
            <wp:extent cx="5318125" cy="4046855"/>
            <wp:effectExtent l="0" t="0" r="0" b="0"/>
            <wp:docPr id="12" name="图片 12" descr="图片包含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包含 图示&#10;&#10;描述已自动生成"/>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a:xfrm>
                      <a:off x="0" y="0"/>
                      <a:ext cx="5323366" cy="4050848"/>
                    </a:xfrm>
                    <a:prstGeom prst="rect">
                      <a:avLst/>
                    </a:prstGeom>
                    <a:noFill/>
                    <a:ln>
                      <a:noFill/>
                    </a:ln>
                  </pic:spPr>
                </pic:pic>
              </a:graphicData>
            </a:graphic>
          </wp:inline>
        </w:drawing>
      </w:r>
    </w:p>
    <w:p>
      <w:pPr>
        <w:adjustRightInd w:val="0"/>
        <w:snapToGrid w:val="0"/>
        <w:spacing w:before="120"/>
        <w:jc w:val="both"/>
        <w:rPr>
          <w:sz w:val="18"/>
          <w:szCs w:val="18"/>
        </w:rPr>
      </w:pPr>
      <w:r>
        <w:rPr>
          <w:rFonts w:hint="eastAsia"/>
          <w:b/>
          <w:bCs/>
          <w:sz w:val="18"/>
          <w:szCs w:val="18"/>
        </w:rPr>
        <w:t>F</w:t>
      </w:r>
      <w:r>
        <w:rPr>
          <w:b/>
          <w:bCs/>
          <w:sz w:val="18"/>
          <w:szCs w:val="18"/>
        </w:rPr>
        <w:t xml:space="preserve">ig. S4. </w:t>
      </w:r>
      <w:r>
        <w:rPr>
          <w:sz w:val="18"/>
          <w:szCs w:val="18"/>
        </w:rPr>
        <w:t xml:space="preserve">Schematic diagram illustrating the valley domain and valley floor width. </w:t>
      </w:r>
      <w:r>
        <w:rPr>
          <w:rFonts w:hint="eastAsia"/>
          <w:sz w:val="18"/>
          <w:szCs w:val="18"/>
        </w:rPr>
        <w:t>(</w:t>
      </w:r>
      <w:r>
        <w:rPr>
          <w:sz w:val="18"/>
          <w:szCs w:val="18"/>
        </w:rPr>
        <w:t>a) Rongcharong landslide (99°3'55.92"E, 29°21'35.76"N); image credit: Google Earth; (b) Digitized A-A' profile showing the automatically identified valley domain; (c) Schematic diagram illustrating the valley floor width.</w:t>
      </w:r>
    </w:p>
    <w:p>
      <w:pPr>
        <w:adjustRightInd w:val="0"/>
        <w:snapToGrid w:val="0"/>
        <w:spacing w:before="120"/>
        <w:jc w:val="both"/>
        <w:rPr>
          <w:sz w:val="18"/>
          <w:szCs w:val="18"/>
        </w:rPr>
      </w:pPr>
    </w:p>
    <w:p>
      <w:pPr>
        <w:autoSpaceDE w:val="0"/>
        <w:autoSpaceDN w:val="0"/>
        <w:adjustRightInd w:val="0"/>
        <w:snapToGrid w:val="0"/>
        <w:spacing w:before="120" w:after="120" w:afterLines="50"/>
        <w:rPr>
          <w:rFonts w:eastAsia="黑体"/>
          <w:b/>
          <w:sz w:val="21"/>
          <w:szCs w:val="21"/>
        </w:rPr>
      </w:pPr>
      <w:r>
        <w:rPr>
          <w:rFonts w:eastAsia="黑体"/>
          <w:b/>
          <w:sz w:val="21"/>
          <w:szCs w:val="21"/>
        </w:rPr>
        <w:t>Text S3. Method for automatic identification of the valley domain.</w:t>
      </w:r>
    </w:p>
    <w:p>
      <w:pPr>
        <w:autoSpaceDE w:val="0"/>
        <w:autoSpaceDN w:val="0"/>
        <w:adjustRightInd w:val="0"/>
        <w:snapToGrid w:val="0"/>
        <w:ind w:firstLine="210" w:firstLineChars="100"/>
        <w:jc w:val="both"/>
        <w:rPr>
          <w:sz w:val="21"/>
          <w:szCs w:val="20"/>
        </w:rPr>
      </w:pPr>
      <w:r>
        <w:rPr>
          <w:sz w:val="21"/>
          <w:szCs w:val="20"/>
        </w:rPr>
        <w:t>The Rongcharong landslide is used as an example to demonstrate this method (</w:t>
      </w:r>
      <w:r>
        <w:rPr>
          <w:color w:val="0000E1"/>
          <w:sz w:val="21"/>
          <w:szCs w:val="20"/>
        </w:rPr>
        <w:t>F</w:t>
      </w:r>
      <w:r>
        <w:rPr>
          <w:rFonts w:cstheme="minorBidi"/>
          <w:color w:val="0000E1"/>
          <w:kern w:val="2"/>
          <w:sz w:val="21"/>
          <w:szCs w:val="22"/>
        </w:rPr>
        <w:t xml:space="preserve">ig. </w:t>
      </w:r>
      <w:r>
        <w:rPr>
          <w:rFonts w:hint="eastAsia" w:cstheme="minorBidi"/>
          <w:color w:val="0000E1"/>
          <w:kern w:val="2"/>
          <w:sz w:val="21"/>
          <w:szCs w:val="22"/>
        </w:rPr>
        <w:t>S</w:t>
      </w:r>
      <w:r>
        <w:rPr>
          <w:rFonts w:cstheme="minorBidi"/>
          <w:color w:val="0000E1"/>
          <w:kern w:val="2"/>
          <w:sz w:val="21"/>
          <w:szCs w:val="22"/>
        </w:rPr>
        <w:t>4</w:t>
      </w:r>
      <w:r>
        <w:rPr>
          <w:sz w:val="21"/>
          <w:szCs w:val="20"/>
        </w:rPr>
        <w:t>). First, the valley profile is digitized (</w:t>
      </w:r>
      <w:r>
        <w:rPr>
          <w:color w:val="0000E1"/>
          <w:sz w:val="21"/>
          <w:szCs w:val="20"/>
        </w:rPr>
        <w:t>F</w:t>
      </w:r>
      <w:r>
        <w:rPr>
          <w:rFonts w:cstheme="minorBidi"/>
          <w:color w:val="0000E1"/>
          <w:kern w:val="2"/>
          <w:sz w:val="21"/>
          <w:szCs w:val="22"/>
        </w:rPr>
        <w:t xml:space="preserve">igs. </w:t>
      </w:r>
      <w:r>
        <w:rPr>
          <w:rFonts w:hint="eastAsia" w:cstheme="minorBidi"/>
          <w:color w:val="0000E1"/>
          <w:kern w:val="2"/>
          <w:sz w:val="21"/>
          <w:szCs w:val="22"/>
        </w:rPr>
        <w:t>S</w:t>
      </w:r>
      <w:r>
        <w:rPr>
          <w:rFonts w:cstheme="minorBidi"/>
          <w:color w:val="0000E1"/>
          <w:kern w:val="2"/>
          <w:sz w:val="21"/>
          <w:szCs w:val="22"/>
        </w:rPr>
        <w:t>4(</w:t>
      </w:r>
      <w:r>
        <w:rPr>
          <w:rFonts w:hint="eastAsia" w:cstheme="minorBidi"/>
          <w:color w:val="0000E1"/>
          <w:kern w:val="2"/>
          <w:sz w:val="21"/>
          <w:szCs w:val="22"/>
        </w:rPr>
        <w:t>a</w:t>
      </w:r>
      <w:r>
        <w:rPr>
          <w:rFonts w:cstheme="minorBidi"/>
          <w:color w:val="0000E1"/>
          <w:kern w:val="2"/>
          <w:sz w:val="21"/>
          <w:szCs w:val="22"/>
        </w:rPr>
        <w:t>)-(</w:t>
      </w:r>
      <w:r>
        <w:rPr>
          <w:rFonts w:hint="eastAsia" w:cstheme="minorBidi"/>
          <w:color w:val="0000E1"/>
          <w:kern w:val="2"/>
          <w:sz w:val="21"/>
          <w:szCs w:val="22"/>
        </w:rPr>
        <w:t>b</w:t>
      </w:r>
      <w:r>
        <w:rPr>
          <w:rFonts w:cstheme="minorBidi"/>
          <w:color w:val="0000E1"/>
          <w:kern w:val="2"/>
          <w:sz w:val="21"/>
          <w:szCs w:val="22"/>
        </w:rPr>
        <w:t>)</w:t>
      </w:r>
      <w:r>
        <w:rPr>
          <w:sz w:val="21"/>
          <w:szCs w:val="20"/>
        </w:rPr>
        <w:t>). The local maxima here are endowed with the physical meaning of mountain ridges. Second, all local maxima are identified using three constraints to avoid the local maxima being too close to each other: (1) the horizontal distance between any two adjacent local maxima should be greater than 200 m; (2) the elevation amplitude of each local maximum should be larger than 50 m;</w:t>
      </w:r>
      <w:r>
        <w:rPr>
          <w:rFonts w:hint="eastAsia"/>
          <w:sz w:val="21"/>
          <w:szCs w:val="20"/>
        </w:rPr>
        <w:t xml:space="preserve"> </w:t>
      </w:r>
      <w:r>
        <w:rPr>
          <w:sz w:val="21"/>
          <w:szCs w:val="20"/>
        </w:rPr>
        <w:t>and (3) the elevation drops on both sides of each local maximum should be larger than 50 m before it reaches a higher value. Third, the point with the minimum elevation represents the lowest point of the valley floor. Fourth, the two local maxima adjacent to the valley floor define the valley domain that can flow into the river channel of the corresponding river stretch. A landslide that occurs outside the valley domain cannot travel into the river channel.</w:t>
      </w:r>
    </w:p>
    <w:p>
      <w:pPr>
        <w:rPr>
          <w:rFonts w:eastAsia="黑体"/>
          <w:b/>
          <w:sz w:val="21"/>
          <w:szCs w:val="21"/>
        </w:rPr>
      </w:pPr>
      <w:r>
        <w:rPr>
          <w:rFonts w:eastAsia="黑体"/>
          <w:b/>
          <w:sz w:val="21"/>
          <w:szCs w:val="21"/>
        </w:rPr>
        <w:br w:type="page"/>
      </w:r>
    </w:p>
    <w:p>
      <w:pPr>
        <w:autoSpaceDE w:val="0"/>
        <w:autoSpaceDN w:val="0"/>
        <w:adjustRightInd w:val="0"/>
        <w:snapToGrid w:val="0"/>
        <w:spacing w:before="120" w:after="120" w:afterLines="50"/>
        <w:rPr>
          <w:rFonts w:eastAsia="黑体"/>
          <w:b/>
          <w:sz w:val="21"/>
          <w:szCs w:val="21"/>
        </w:rPr>
      </w:pPr>
      <w:r>
        <w:rPr>
          <w:rFonts w:eastAsia="黑体"/>
          <w:b/>
          <w:sz w:val="21"/>
          <w:szCs w:val="21"/>
        </w:rPr>
        <w:t>Text S4. Method for calculating damming probability with the total probability theorem.</w:t>
      </w:r>
    </w:p>
    <w:p>
      <w:pPr>
        <w:autoSpaceDE w:val="0"/>
        <w:autoSpaceDN w:val="0"/>
        <w:adjustRightInd w:val="0"/>
        <w:snapToGrid w:val="0"/>
        <w:ind w:firstLine="210" w:firstLineChars="100"/>
        <w:jc w:val="both"/>
        <w:rPr>
          <w:rFonts w:eastAsia="等线"/>
          <w:iCs/>
          <w:sz w:val="21"/>
          <w:szCs w:val="21"/>
        </w:rPr>
      </w:pPr>
      <w:r>
        <w:rPr>
          <w:rFonts w:eastAsia="等线"/>
          <w:iCs/>
          <w:sz w:val="21"/>
          <w:szCs w:val="21"/>
          <w:lang w:eastAsia="zh-CN"/>
        </w:rPr>
        <w:t xml:space="preserve">To calculate the landslide damming probability for a transverse profile using Eq. (6), the damming probabilities controlled by the left valley flank (i.e., Eq. (4)) and right valley flank (i.e., Eq. (5)) should first be determined. However, Eqs. (4) and (5) involve double integrations that cannot be solved directly. As an illustration, </w:t>
      </w:r>
      <w:r>
        <w:rPr>
          <w:rFonts w:eastAsia="等线"/>
          <w:iCs/>
          <w:sz w:val="21"/>
          <w:szCs w:val="21"/>
        </w:rPr>
        <w:t>we present the procedure for discretizing the double integral for Eq. (4) and obtaining an approximate solution through the total probability theorem:</w:t>
      </w:r>
    </w:p>
    <w:p>
      <w:pPr>
        <w:autoSpaceDE w:val="0"/>
        <w:autoSpaceDN w:val="0"/>
        <w:adjustRightInd w:val="0"/>
        <w:snapToGrid w:val="0"/>
        <w:ind w:firstLine="210" w:firstLineChars="100"/>
        <w:jc w:val="both"/>
        <w:rPr>
          <w:rFonts w:eastAsia="等线"/>
          <w:sz w:val="21"/>
          <w:szCs w:val="20"/>
          <w:lang w:eastAsia="zh-CN"/>
        </w:rPr>
      </w:pPr>
      <w:r>
        <w:rPr>
          <w:rFonts w:eastAsia="等线"/>
          <w:iCs/>
          <w:sz w:val="21"/>
          <w:szCs w:val="21"/>
          <w:lang w:eastAsia="zh-CN"/>
        </w:rPr>
        <w:t xml:space="preserve">(1) </w:t>
      </w:r>
      <w:r>
        <w:rPr>
          <w:rFonts w:eastAsia="等线"/>
          <w:i/>
          <w:iCs/>
          <w:sz w:val="21"/>
          <w:szCs w:val="20"/>
          <w:lang w:eastAsia="zh-CN"/>
        </w:rPr>
        <w:t>A</w:t>
      </w:r>
      <w:r>
        <w:rPr>
          <w:rFonts w:eastAsia="等线"/>
          <w:sz w:val="21"/>
          <w:szCs w:val="20"/>
          <w:vertAlign w:val="subscript"/>
          <w:lang w:eastAsia="zh-CN"/>
        </w:rPr>
        <w:t>L</w:t>
      </w:r>
      <w:r>
        <w:rPr>
          <w:rFonts w:eastAsia="等线"/>
          <w:sz w:val="21"/>
          <w:szCs w:val="20"/>
          <w:lang w:eastAsia="zh-CN"/>
        </w:rPr>
        <w:t xml:space="preserve"> and </w:t>
      </w:r>
      <w:r>
        <w:rPr>
          <w:rFonts w:eastAsia="等线"/>
          <w:i/>
          <w:iCs/>
          <w:sz w:val="21"/>
          <w:szCs w:val="20"/>
          <w:lang w:eastAsia="zh-CN"/>
        </w:rPr>
        <w:t>L</w:t>
      </w:r>
      <w:r>
        <w:rPr>
          <w:rFonts w:eastAsia="等线"/>
          <w:sz w:val="21"/>
          <w:szCs w:val="20"/>
          <w:lang w:eastAsia="zh-CN"/>
        </w:rPr>
        <w:t xml:space="preserve"> follow a bivariate lognormal distribution. Thus, ln </w:t>
      </w:r>
      <w:r>
        <w:rPr>
          <w:rFonts w:eastAsia="等线"/>
          <w:i/>
          <w:iCs/>
          <w:sz w:val="21"/>
          <w:szCs w:val="20"/>
          <w:lang w:eastAsia="zh-CN"/>
        </w:rPr>
        <w:t>A</w:t>
      </w:r>
      <w:r>
        <w:rPr>
          <w:rFonts w:eastAsia="等线"/>
          <w:sz w:val="21"/>
          <w:szCs w:val="20"/>
          <w:vertAlign w:val="subscript"/>
          <w:lang w:eastAsia="zh-CN"/>
        </w:rPr>
        <w:t>L</w:t>
      </w:r>
      <w:r>
        <w:rPr>
          <w:rFonts w:eastAsia="等线"/>
          <w:sz w:val="21"/>
          <w:szCs w:val="20"/>
          <w:lang w:eastAsia="zh-CN"/>
        </w:rPr>
        <w:t xml:space="preserve"> and ln </w:t>
      </w:r>
      <w:r>
        <w:rPr>
          <w:rFonts w:eastAsia="等线"/>
          <w:i/>
          <w:iCs/>
          <w:sz w:val="21"/>
          <w:szCs w:val="20"/>
          <w:lang w:eastAsia="zh-CN"/>
        </w:rPr>
        <w:t>L</w:t>
      </w:r>
      <w:r>
        <w:rPr>
          <w:rFonts w:eastAsia="等线"/>
          <w:sz w:val="21"/>
          <w:szCs w:val="20"/>
          <w:lang w:eastAsia="zh-CN"/>
        </w:rPr>
        <w:t xml:space="preserve"> follow a bivariate normal distribution. This distribution is established based on the data in the inventory. The bivariate distribution is truncated at the maximum and minimum values of </w:t>
      </w:r>
      <w:r>
        <w:rPr>
          <w:rFonts w:eastAsia="等线"/>
          <w:i/>
          <w:iCs/>
          <w:sz w:val="21"/>
          <w:szCs w:val="20"/>
          <w:lang w:eastAsia="zh-CN"/>
        </w:rPr>
        <w:t>A</w:t>
      </w:r>
      <w:r>
        <w:rPr>
          <w:rFonts w:eastAsia="等线"/>
          <w:sz w:val="21"/>
          <w:szCs w:val="20"/>
          <w:vertAlign w:val="subscript"/>
          <w:lang w:eastAsia="zh-CN"/>
        </w:rPr>
        <w:t>L</w:t>
      </w:r>
      <w:r>
        <w:rPr>
          <w:rFonts w:eastAsia="等线"/>
          <w:sz w:val="21"/>
          <w:szCs w:val="20"/>
          <w:lang w:eastAsia="zh-CN"/>
        </w:rPr>
        <w:t xml:space="preserve"> and </w:t>
      </w:r>
      <w:r>
        <w:rPr>
          <w:rFonts w:eastAsia="等线"/>
          <w:i/>
          <w:iCs/>
          <w:sz w:val="21"/>
          <w:szCs w:val="20"/>
          <w:lang w:eastAsia="zh-CN"/>
        </w:rPr>
        <w:t>L</w:t>
      </w:r>
      <w:r>
        <w:rPr>
          <w:rFonts w:eastAsia="等线"/>
          <w:sz w:val="21"/>
          <w:szCs w:val="20"/>
          <w:lang w:eastAsia="zh-CN"/>
        </w:rPr>
        <w:t xml:space="preserve"> in the inventory. </w:t>
      </w:r>
      <w:r>
        <w:rPr>
          <w:rFonts w:eastAsia="等线"/>
          <w:color w:val="0000FF"/>
          <w:sz w:val="21"/>
          <w:szCs w:val="20"/>
          <w:lang w:eastAsia="zh-CN"/>
        </w:rPr>
        <w:t>Fig. S5(a)</w:t>
      </w:r>
      <w:r>
        <w:rPr>
          <w:rFonts w:eastAsia="等线"/>
          <w:sz w:val="21"/>
          <w:szCs w:val="20"/>
          <w:lang w:eastAsia="zh-CN"/>
        </w:rPr>
        <w:t xml:space="preserve"> shows the parametric domain of the bivariate distribution, </w:t>
      </w:r>
      <w:r>
        <w:rPr>
          <w:rFonts w:eastAsia="等线"/>
          <w:i/>
          <w:sz w:val="21"/>
          <w:szCs w:val="21"/>
          <w:lang w:eastAsia="zh-CN"/>
        </w:rPr>
        <w:t xml:space="preserve">g </w:t>
      </w:r>
      <w:r>
        <w:rPr>
          <w:rFonts w:eastAsia="等线"/>
          <w:iCs/>
          <w:sz w:val="21"/>
          <w:szCs w:val="21"/>
          <w:lang w:eastAsia="zh-CN"/>
        </w:rPr>
        <w:t xml:space="preserve">(ln </w:t>
      </w:r>
      <w:r>
        <w:rPr>
          <w:rFonts w:eastAsia="等线"/>
          <w:i/>
          <w:iCs/>
          <w:sz w:val="21"/>
          <w:szCs w:val="20"/>
          <w:lang w:eastAsia="zh-CN"/>
        </w:rPr>
        <w:t>A</w:t>
      </w:r>
      <w:r>
        <w:rPr>
          <w:rFonts w:eastAsia="等线"/>
          <w:sz w:val="21"/>
          <w:szCs w:val="20"/>
          <w:vertAlign w:val="subscript"/>
          <w:lang w:eastAsia="zh-CN"/>
        </w:rPr>
        <w:t>L</w:t>
      </w:r>
      <w:r>
        <w:rPr>
          <w:rFonts w:eastAsia="等线"/>
          <w:iCs/>
          <w:sz w:val="21"/>
          <w:szCs w:val="21"/>
          <w:lang w:eastAsia="zh-CN"/>
        </w:rPr>
        <w:t xml:space="preserve">, ln </w:t>
      </w:r>
      <w:r>
        <w:rPr>
          <w:rFonts w:eastAsia="等线"/>
          <w:i/>
          <w:iCs/>
          <w:sz w:val="21"/>
          <w:szCs w:val="20"/>
          <w:lang w:eastAsia="zh-CN"/>
        </w:rPr>
        <w:t>L</w:t>
      </w:r>
      <w:r>
        <w:rPr>
          <w:rFonts w:eastAsia="等线"/>
          <w:sz w:val="21"/>
          <w:szCs w:val="20"/>
          <w:lang w:eastAsia="zh-CN"/>
        </w:rPr>
        <w:t>).</w:t>
      </w:r>
    </w:p>
    <w:p>
      <w:pPr>
        <w:autoSpaceDE w:val="0"/>
        <w:autoSpaceDN w:val="0"/>
        <w:adjustRightInd w:val="0"/>
        <w:snapToGrid w:val="0"/>
        <w:ind w:firstLine="210" w:firstLineChars="100"/>
        <w:jc w:val="both"/>
        <w:rPr>
          <w:rFonts w:eastAsia="等线"/>
          <w:sz w:val="21"/>
          <w:szCs w:val="20"/>
          <w:lang w:eastAsia="zh-CN"/>
        </w:rPr>
      </w:pPr>
    </w:p>
    <w:p>
      <w:pPr>
        <w:adjustRightInd w:val="0"/>
        <w:snapToGrid w:val="0"/>
        <w:jc w:val="center"/>
        <w:rPr>
          <w:sz w:val="18"/>
          <w:szCs w:val="18"/>
        </w:rPr>
      </w:pPr>
      <w:r>
        <w:rPr>
          <w:lang w:eastAsia="zh-CN"/>
        </w:rPr>
        <w:drawing>
          <wp:inline distT="0" distB="0" distL="0" distR="0">
            <wp:extent cx="4584700" cy="3186430"/>
            <wp:effectExtent l="0" t="0" r="6350" b="0"/>
            <wp:docPr id="14" name="图片 14"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表, 直方图&#10;&#10;描述已自动生成"/>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a:xfrm>
                      <a:off x="0" y="0"/>
                      <a:ext cx="4591578" cy="3191263"/>
                    </a:xfrm>
                    <a:prstGeom prst="rect">
                      <a:avLst/>
                    </a:prstGeom>
                    <a:noFill/>
                    <a:ln>
                      <a:noFill/>
                    </a:ln>
                  </pic:spPr>
                </pic:pic>
              </a:graphicData>
            </a:graphic>
          </wp:inline>
        </w:drawing>
      </w:r>
    </w:p>
    <w:p>
      <w:pPr>
        <w:adjustRightInd w:val="0"/>
        <w:snapToGrid w:val="0"/>
        <w:spacing w:before="120"/>
        <w:rPr>
          <w:sz w:val="18"/>
          <w:szCs w:val="18"/>
        </w:rPr>
      </w:pPr>
      <w:r>
        <w:rPr>
          <w:b/>
          <w:bCs/>
          <w:sz w:val="18"/>
          <w:szCs w:val="18"/>
        </w:rPr>
        <w:t xml:space="preserve">Fig. S5. </w:t>
      </w:r>
      <w:r>
        <w:rPr>
          <w:sz w:val="18"/>
          <w:szCs w:val="18"/>
        </w:rPr>
        <w:t>Schematic diagram illustrating the procedure</w:t>
      </w:r>
      <w:r>
        <w:t xml:space="preserve"> </w:t>
      </w:r>
      <w:r>
        <w:rPr>
          <w:sz w:val="18"/>
          <w:szCs w:val="18"/>
        </w:rPr>
        <w:t>for discretizing the double integral. (a) Truncated and discretized bivariate normal distribution of ln(</w:t>
      </w:r>
      <w:r>
        <w:rPr>
          <w:i/>
          <w:iCs/>
          <w:sz w:val="18"/>
          <w:szCs w:val="18"/>
        </w:rPr>
        <w:t>A</w:t>
      </w:r>
      <w:r>
        <w:rPr>
          <w:i/>
          <w:iCs/>
          <w:sz w:val="18"/>
          <w:szCs w:val="18"/>
          <w:vertAlign w:val="subscript"/>
        </w:rPr>
        <w:t>L</w:t>
      </w:r>
      <w:r>
        <w:rPr>
          <w:sz w:val="18"/>
          <w:szCs w:val="18"/>
        </w:rPr>
        <w:t>) and ln(</w:t>
      </w:r>
      <w:r>
        <w:rPr>
          <w:i/>
          <w:iCs/>
          <w:sz w:val="18"/>
          <w:szCs w:val="18"/>
        </w:rPr>
        <w:t>L</w:t>
      </w:r>
      <w:r>
        <w:rPr>
          <w:sz w:val="18"/>
          <w:szCs w:val="18"/>
        </w:rPr>
        <w:t xml:space="preserve">); (b) Schematic diagram illustrating the valid range of </w:t>
      </w:r>
      <w:r>
        <w:rPr>
          <w:i/>
          <w:iCs/>
          <w:sz w:val="18"/>
          <w:szCs w:val="18"/>
        </w:rPr>
        <w:t>L</w:t>
      </w:r>
      <w:r>
        <w:rPr>
          <w:sz w:val="18"/>
          <w:szCs w:val="18"/>
        </w:rPr>
        <w:t>.</w:t>
      </w:r>
    </w:p>
    <w:p>
      <w:pPr>
        <w:adjustRightInd w:val="0"/>
        <w:snapToGrid w:val="0"/>
        <w:spacing w:before="120"/>
        <w:rPr>
          <w:sz w:val="18"/>
          <w:szCs w:val="18"/>
        </w:rPr>
      </w:pPr>
    </w:p>
    <w:p>
      <w:pPr>
        <w:autoSpaceDE w:val="0"/>
        <w:autoSpaceDN w:val="0"/>
        <w:adjustRightInd w:val="0"/>
        <w:snapToGrid w:val="0"/>
        <w:ind w:firstLine="210" w:firstLineChars="100"/>
        <w:jc w:val="both"/>
        <w:rPr>
          <w:rFonts w:eastAsia="等线"/>
          <w:iCs/>
          <w:sz w:val="21"/>
          <w:szCs w:val="21"/>
          <w:lang w:eastAsia="zh-CN"/>
        </w:rPr>
      </w:pPr>
      <w:r>
        <w:rPr>
          <w:rFonts w:eastAsia="等线"/>
          <w:iCs/>
          <w:sz w:val="21"/>
          <w:szCs w:val="21"/>
          <w:lang w:eastAsia="zh-CN"/>
        </w:rPr>
        <w:t xml:space="preserve">(2) The parametric domain is divided into small subregions, each characterized by an equal area of ΔA = Δln </w:t>
      </w:r>
      <w:r>
        <w:rPr>
          <w:rFonts w:eastAsia="等线"/>
          <w:i/>
          <w:iCs/>
          <w:sz w:val="21"/>
          <w:szCs w:val="20"/>
          <w:lang w:eastAsia="zh-CN"/>
        </w:rPr>
        <w:t>A</w:t>
      </w:r>
      <w:r>
        <w:rPr>
          <w:rFonts w:eastAsia="等线"/>
          <w:sz w:val="21"/>
          <w:szCs w:val="20"/>
          <w:vertAlign w:val="subscript"/>
          <w:lang w:eastAsia="zh-CN"/>
        </w:rPr>
        <w:t>L</w:t>
      </w:r>
      <w:r>
        <w:rPr>
          <w:rFonts w:eastAsia="等线"/>
          <w:iCs/>
          <w:sz w:val="21"/>
          <w:szCs w:val="21"/>
          <w:lang w:eastAsia="zh-CN"/>
        </w:rPr>
        <w:t xml:space="preserve"> * Δln </w:t>
      </w:r>
      <w:r>
        <w:rPr>
          <w:rFonts w:eastAsia="等线"/>
          <w:i/>
          <w:iCs/>
          <w:sz w:val="21"/>
          <w:szCs w:val="20"/>
          <w:lang w:eastAsia="zh-CN"/>
        </w:rPr>
        <w:t>L</w:t>
      </w:r>
      <w:r>
        <w:rPr>
          <w:rFonts w:eastAsia="等线"/>
          <w:sz w:val="21"/>
          <w:szCs w:val="20"/>
          <w:lang w:eastAsia="zh-CN"/>
        </w:rPr>
        <w:t xml:space="preserve"> (see </w:t>
      </w:r>
      <w:r>
        <w:rPr>
          <w:rFonts w:eastAsia="等线"/>
          <w:color w:val="0000FF"/>
          <w:sz w:val="21"/>
          <w:szCs w:val="20"/>
          <w:lang w:eastAsia="zh-CN"/>
        </w:rPr>
        <w:t>Fig. S5(a)</w:t>
      </w:r>
      <w:r>
        <w:rPr>
          <w:rFonts w:eastAsia="等线"/>
          <w:iCs/>
          <w:sz w:val="21"/>
          <w:szCs w:val="21"/>
          <w:lang w:eastAsia="zh-CN"/>
        </w:rPr>
        <w:t xml:space="preserve">). It should be noted that the large subregions employed in </w:t>
      </w:r>
      <w:r>
        <w:rPr>
          <w:rFonts w:eastAsia="等线"/>
          <w:iCs/>
          <w:color w:val="0000FF"/>
          <w:sz w:val="21"/>
          <w:szCs w:val="21"/>
          <w:lang w:eastAsia="zh-CN"/>
        </w:rPr>
        <w:t xml:space="preserve">Fig. S5(a) </w:t>
      </w:r>
      <w:r>
        <w:rPr>
          <w:rFonts w:eastAsia="等线"/>
          <w:iCs/>
          <w:sz w:val="21"/>
          <w:szCs w:val="21"/>
          <w:lang w:eastAsia="zh-CN"/>
        </w:rPr>
        <w:t>are used for only demonstrative purposes. In practice, the parametric domain should be divided into sufficiently small and densely distributed subregions to enhance the approximation accuracy.</w:t>
      </w:r>
    </w:p>
    <w:p>
      <w:pPr>
        <w:autoSpaceDE w:val="0"/>
        <w:autoSpaceDN w:val="0"/>
        <w:adjustRightInd w:val="0"/>
        <w:snapToGrid w:val="0"/>
        <w:ind w:firstLine="210" w:firstLineChars="100"/>
        <w:jc w:val="both"/>
        <w:rPr>
          <w:rFonts w:eastAsia="等线"/>
          <w:iCs/>
          <w:sz w:val="21"/>
          <w:szCs w:val="21"/>
          <w:lang w:eastAsia="zh-CN"/>
        </w:rPr>
      </w:pPr>
      <w:r>
        <w:rPr>
          <w:rFonts w:eastAsia="等线"/>
          <w:iCs/>
          <w:sz w:val="21"/>
          <w:szCs w:val="21"/>
          <w:lang w:eastAsia="zh-CN"/>
        </w:rPr>
        <w:t xml:space="preserve">(3) For the </w:t>
      </w:r>
      <w:r>
        <w:rPr>
          <w:rFonts w:eastAsia="等线"/>
          <w:i/>
          <w:sz w:val="21"/>
          <w:szCs w:val="21"/>
          <w:lang w:eastAsia="zh-CN"/>
        </w:rPr>
        <w:t>i</w:t>
      </w:r>
      <w:r>
        <w:rPr>
          <w:rFonts w:eastAsia="等线"/>
          <w:iCs/>
          <w:sz w:val="21"/>
          <w:szCs w:val="21"/>
          <w:lang w:eastAsia="zh-CN"/>
        </w:rPr>
        <w:t xml:space="preserve">-th subregion, we compute the value of the function </w:t>
      </w:r>
      <w:r>
        <w:rPr>
          <w:rFonts w:eastAsia="等线"/>
          <w:i/>
          <w:sz w:val="21"/>
          <w:szCs w:val="21"/>
          <w:lang w:eastAsia="zh-CN"/>
        </w:rPr>
        <w:t xml:space="preserve">g </w:t>
      </w:r>
      <w:r>
        <w:rPr>
          <w:rFonts w:eastAsia="等线"/>
          <w:iCs/>
          <w:sz w:val="21"/>
          <w:szCs w:val="21"/>
          <w:lang w:eastAsia="zh-CN"/>
        </w:rPr>
        <w:t xml:space="preserve">(ln </w:t>
      </w:r>
      <w:r>
        <w:rPr>
          <w:rFonts w:eastAsia="等线"/>
          <w:i/>
          <w:iCs/>
          <w:sz w:val="21"/>
          <w:szCs w:val="20"/>
          <w:lang w:eastAsia="zh-CN"/>
        </w:rPr>
        <w:t>A</w:t>
      </w:r>
      <w:r>
        <w:rPr>
          <w:rFonts w:eastAsia="等线"/>
          <w:sz w:val="21"/>
          <w:szCs w:val="20"/>
          <w:vertAlign w:val="subscript"/>
          <w:lang w:eastAsia="zh-CN"/>
        </w:rPr>
        <w:t>L</w:t>
      </w:r>
      <w:r>
        <w:rPr>
          <w:rFonts w:eastAsia="等线"/>
          <w:iCs/>
          <w:sz w:val="21"/>
          <w:szCs w:val="21"/>
          <w:lang w:eastAsia="zh-CN"/>
        </w:rPr>
        <w:t xml:space="preserve">, ln </w:t>
      </w:r>
      <w:r>
        <w:rPr>
          <w:rFonts w:eastAsia="等线"/>
          <w:i/>
          <w:iCs/>
          <w:sz w:val="21"/>
          <w:szCs w:val="20"/>
          <w:lang w:eastAsia="zh-CN"/>
        </w:rPr>
        <w:t>L</w:t>
      </w:r>
      <w:r>
        <w:rPr>
          <w:rFonts w:eastAsia="等线"/>
          <w:iCs/>
          <w:sz w:val="21"/>
          <w:szCs w:val="21"/>
          <w:lang w:eastAsia="zh-CN"/>
        </w:rPr>
        <w:t xml:space="preserve">) at its center point (ln </w:t>
      </w:r>
      <w:r>
        <w:rPr>
          <w:rFonts w:eastAsia="等线"/>
          <w:i/>
          <w:iCs/>
          <w:sz w:val="21"/>
          <w:szCs w:val="20"/>
          <w:lang w:eastAsia="zh-CN"/>
        </w:rPr>
        <w:t>A</w:t>
      </w:r>
      <w:r>
        <w:rPr>
          <w:rFonts w:eastAsia="等线"/>
          <w:sz w:val="21"/>
          <w:szCs w:val="20"/>
          <w:vertAlign w:val="subscript"/>
          <w:lang w:eastAsia="zh-CN"/>
        </w:rPr>
        <w:t>L</w:t>
      </w:r>
      <w:r>
        <w:rPr>
          <w:rFonts w:eastAsia="等线"/>
          <w:i/>
          <w:iCs/>
          <w:sz w:val="21"/>
          <w:szCs w:val="20"/>
          <w:vertAlign w:val="subscript"/>
          <w:lang w:eastAsia="zh-CN"/>
        </w:rPr>
        <w:t>i</w:t>
      </w:r>
      <w:r>
        <w:rPr>
          <w:rFonts w:eastAsia="等线"/>
          <w:iCs/>
          <w:sz w:val="21"/>
          <w:szCs w:val="21"/>
          <w:lang w:eastAsia="zh-CN"/>
        </w:rPr>
        <w:t xml:space="preserve">, ln </w:t>
      </w:r>
      <w:r>
        <w:rPr>
          <w:rFonts w:eastAsia="等线"/>
          <w:i/>
          <w:iCs/>
          <w:sz w:val="21"/>
          <w:szCs w:val="20"/>
          <w:lang w:eastAsia="zh-CN"/>
        </w:rPr>
        <w:t>L</w:t>
      </w:r>
      <w:r>
        <w:rPr>
          <w:rFonts w:eastAsia="等线"/>
          <w:i/>
          <w:iCs/>
          <w:sz w:val="21"/>
          <w:szCs w:val="20"/>
          <w:vertAlign w:val="subscript"/>
          <w:lang w:eastAsia="zh-CN"/>
        </w:rPr>
        <w:t>i</w:t>
      </w:r>
      <w:r>
        <w:rPr>
          <w:rFonts w:eastAsia="等线"/>
          <w:iCs/>
          <w:sz w:val="21"/>
          <w:szCs w:val="21"/>
          <w:lang w:eastAsia="zh-CN"/>
        </w:rPr>
        <w:t xml:space="preserve">), denoted as </w:t>
      </w:r>
      <w:r>
        <w:rPr>
          <w:rFonts w:eastAsia="等线"/>
          <w:i/>
          <w:sz w:val="21"/>
          <w:szCs w:val="21"/>
          <w:lang w:eastAsia="zh-CN"/>
        </w:rPr>
        <w:t xml:space="preserve">g </w:t>
      </w:r>
      <w:r>
        <w:rPr>
          <w:rFonts w:eastAsia="等线"/>
          <w:iCs/>
          <w:sz w:val="21"/>
          <w:szCs w:val="21"/>
          <w:lang w:eastAsia="zh-CN"/>
        </w:rPr>
        <w:t xml:space="preserve">(ln </w:t>
      </w:r>
      <w:r>
        <w:rPr>
          <w:rFonts w:eastAsia="等线"/>
          <w:i/>
          <w:iCs/>
          <w:sz w:val="21"/>
          <w:szCs w:val="20"/>
          <w:lang w:eastAsia="zh-CN"/>
        </w:rPr>
        <w:t>A</w:t>
      </w:r>
      <w:r>
        <w:rPr>
          <w:rFonts w:eastAsia="等线"/>
          <w:sz w:val="21"/>
          <w:szCs w:val="20"/>
          <w:vertAlign w:val="subscript"/>
          <w:lang w:eastAsia="zh-CN"/>
        </w:rPr>
        <w:t>L</w:t>
      </w:r>
      <w:r>
        <w:rPr>
          <w:rFonts w:eastAsia="等线"/>
          <w:i/>
          <w:iCs/>
          <w:sz w:val="21"/>
          <w:szCs w:val="20"/>
          <w:vertAlign w:val="subscript"/>
          <w:lang w:eastAsia="zh-CN"/>
        </w:rPr>
        <w:t>i</w:t>
      </w:r>
      <w:r>
        <w:rPr>
          <w:rFonts w:eastAsia="等线"/>
          <w:iCs/>
          <w:sz w:val="21"/>
          <w:szCs w:val="21"/>
          <w:lang w:eastAsia="zh-CN"/>
        </w:rPr>
        <w:t xml:space="preserve">, ln </w:t>
      </w:r>
      <w:r>
        <w:rPr>
          <w:rFonts w:eastAsia="等线"/>
          <w:i/>
          <w:iCs/>
          <w:sz w:val="21"/>
          <w:szCs w:val="20"/>
          <w:lang w:eastAsia="zh-CN"/>
        </w:rPr>
        <w:t>L</w:t>
      </w:r>
      <w:r>
        <w:rPr>
          <w:rFonts w:eastAsia="等线"/>
          <w:i/>
          <w:iCs/>
          <w:sz w:val="21"/>
          <w:szCs w:val="20"/>
          <w:vertAlign w:val="subscript"/>
          <w:lang w:eastAsia="zh-CN"/>
        </w:rPr>
        <w:t>i</w:t>
      </w:r>
      <w:r>
        <w:rPr>
          <w:rFonts w:eastAsia="等线"/>
          <w:iCs/>
          <w:sz w:val="21"/>
          <w:szCs w:val="21"/>
          <w:lang w:eastAsia="zh-CN"/>
        </w:rPr>
        <w:t xml:space="preserve">) (see </w:t>
      </w:r>
      <w:r>
        <w:rPr>
          <w:rFonts w:eastAsia="等线"/>
          <w:color w:val="0000FF"/>
          <w:sz w:val="21"/>
          <w:szCs w:val="20"/>
          <w:lang w:eastAsia="zh-CN"/>
        </w:rPr>
        <w:t>Fig. S5(a)</w:t>
      </w:r>
      <w:r>
        <w:rPr>
          <w:rFonts w:eastAsia="等线"/>
          <w:iCs/>
          <w:sz w:val="21"/>
          <w:szCs w:val="21"/>
          <w:lang w:eastAsia="zh-CN"/>
        </w:rPr>
        <w:t xml:space="preserve">). Consequently, the product </w:t>
      </w:r>
      <w:r>
        <w:rPr>
          <w:rFonts w:eastAsia="等线"/>
          <w:i/>
          <w:sz w:val="21"/>
          <w:szCs w:val="21"/>
          <w:lang w:eastAsia="zh-CN"/>
        </w:rPr>
        <w:t xml:space="preserve">g </w:t>
      </w:r>
      <w:r>
        <w:rPr>
          <w:rFonts w:eastAsia="等线"/>
          <w:iCs/>
          <w:sz w:val="21"/>
          <w:szCs w:val="21"/>
          <w:lang w:eastAsia="zh-CN"/>
        </w:rPr>
        <w:t xml:space="preserve">(ln </w:t>
      </w:r>
      <w:r>
        <w:rPr>
          <w:rFonts w:eastAsia="等线"/>
          <w:i/>
          <w:iCs/>
          <w:sz w:val="21"/>
          <w:szCs w:val="20"/>
          <w:lang w:eastAsia="zh-CN"/>
        </w:rPr>
        <w:t>A</w:t>
      </w:r>
      <w:r>
        <w:rPr>
          <w:rFonts w:eastAsia="等线"/>
          <w:sz w:val="21"/>
          <w:szCs w:val="20"/>
          <w:vertAlign w:val="subscript"/>
          <w:lang w:eastAsia="zh-CN"/>
        </w:rPr>
        <w:t>L</w:t>
      </w:r>
      <w:r>
        <w:rPr>
          <w:rFonts w:eastAsia="等线"/>
          <w:i/>
          <w:iCs/>
          <w:sz w:val="21"/>
          <w:szCs w:val="20"/>
          <w:vertAlign w:val="subscript"/>
          <w:lang w:eastAsia="zh-CN"/>
        </w:rPr>
        <w:t>i</w:t>
      </w:r>
      <w:r>
        <w:rPr>
          <w:rFonts w:eastAsia="等线"/>
          <w:iCs/>
          <w:sz w:val="21"/>
          <w:szCs w:val="21"/>
          <w:lang w:eastAsia="zh-CN"/>
        </w:rPr>
        <w:t xml:space="preserve">, ln </w:t>
      </w:r>
      <w:r>
        <w:rPr>
          <w:rFonts w:eastAsia="等线"/>
          <w:i/>
          <w:iCs/>
          <w:sz w:val="21"/>
          <w:szCs w:val="20"/>
          <w:lang w:eastAsia="zh-CN"/>
        </w:rPr>
        <w:t>L</w:t>
      </w:r>
      <w:r>
        <w:rPr>
          <w:rFonts w:eastAsia="等线"/>
          <w:i/>
          <w:iCs/>
          <w:sz w:val="21"/>
          <w:szCs w:val="20"/>
          <w:vertAlign w:val="subscript"/>
          <w:lang w:eastAsia="zh-CN"/>
        </w:rPr>
        <w:t>i</w:t>
      </w:r>
      <w:r>
        <w:rPr>
          <w:rFonts w:eastAsia="等线"/>
          <w:iCs/>
          <w:sz w:val="21"/>
          <w:szCs w:val="21"/>
          <w:lang w:eastAsia="zh-CN"/>
        </w:rPr>
        <w:t>) * ΔA represents the probability of taking the pair of values (</w:t>
      </w:r>
      <w:r>
        <w:rPr>
          <w:rFonts w:eastAsia="等线"/>
          <w:i/>
          <w:iCs/>
          <w:sz w:val="21"/>
          <w:szCs w:val="20"/>
          <w:lang w:eastAsia="zh-CN"/>
        </w:rPr>
        <w:t>A</w:t>
      </w:r>
      <w:r>
        <w:rPr>
          <w:rFonts w:eastAsia="等线"/>
          <w:sz w:val="21"/>
          <w:szCs w:val="20"/>
          <w:vertAlign w:val="subscript"/>
          <w:lang w:eastAsia="zh-CN"/>
        </w:rPr>
        <w:t>L</w:t>
      </w:r>
      <w:r>
        <w:rPr>
          <w:rFonts w:eastAsia="等线"/>
          <w:i/>
          <w:iCs/>
          <w:sz w:val="21"/>
          <w:szCs w:val="20"/>
          <w:vertAlign w:val="subscript"/>
          <w:lang w:eastAsia="zh-CN"/>
        </w:rPr>
        <w:t>i</w:t>
      </w:r>
      <w:r>
        <w:rPr>
          <w:rFonts w:eastAsia="等线"/>
          <w:iCs/>
          <w:sz w:val="21"/>
          <w:szCs w:val="21"/>
          <w:lang w:eastAsia="zh-CN"/>
        </w:rPr>
        <w:t xml:space="preserve">, </w:t>
      </w:r>
      <w:r>
        <w:rPr>
          <w:rFonts w:eastAsia="等线"/>
          <w:i/>
          <w:iCs/>
          <w:sz w:val="21"/>
          <w:szCs w:val="20"/>
          <w:lang w:eastAsia="zh-CN"/>
        </w:rPr>
        <w:t>L</w:t>
      </w:r>
      <w:r>
        <w:rPr>
          <w:rFonts w:eastAsia="等线"/>
          <w:i/>
          <w:iCs/>
          <w:sz w:val="21"/>
          <w:szCs w:val="20"/>
          <w:vertAlign w:val="subscript"/>
          <w:lang w:eastAsia="zh-CN"/>
        </w:rPr>
        <w:t>i</w:t>
      </w:r>
      <w:r>
        <w:rPr>
          <w:rFonts w:eastAsia="等线"/>
          <w:iCs/>
          <w:sz w:val="21"/>
          <w:szCs w:val="21"/>
          <w:lang w:eastAsia="zh-CN"/>
        </w:rPr>
        <w:t>).</w:t>
      </w:r>
    </w:p>
    <w:p>
      <w:pPr>
        <w:autoSpaceDE w:val="0"/>
        <w:autoSpaceDN w:val="0"/>
        <w:adjustRightInd w:val="0"/>
        <w:snapToGrid w:val="0"/>
        <w:ind w:firstLine="210" w:firstLineChars="100"/>
        <w:jc w:val="both"/>
        <w:rPr>
          <w:rFonts w:eastAsia="等线"/>
          <w:iCs/>
          <w:sz w:val="21"/>
          <w:szCs w:val="21"/>
          <w:lang w:eastAsia="zh-CN"/>
        </w:rPr>
      </w:pPr>
      <w:r>
        <w:rPr>
          <w:rFonts w:eastAsia="等线"/>
          <w:iCs/>
          <w:sz w:val="21"/>
          <w:szCs w:val="21"/>
          <w:lang w:eastAsia="zh-CN"/>
        </w:rPr>
        <w:t>(4) Under the condition of taking (</w:t>
      </w:r>
      <w:r>
        <w:rPr>
          <w:rFonts w:eastAsia="等线"/>
          <w:i/>
          <w:iCs/>
          <w:sz w:val="21"/>
          <w:szCs w:val="20"/>
          <w:lang w:eastAsia="zh-CN"/>
        </w:rPr>
        <w:t>A</w:t>
      </w:r>
      <w:r>
        <w:rPr>
          <w:rFonts w:eastAsia="等线"/>
          <w:sz w:val="21"/>
          <w:szCs w:val="20"/>
          <w:vertAlign w:val="subscript"/>
          <w:lang w:eastAsia="zh-CN"/>
        </w:rPr>
        <w:t>L</w:t>
      </w:r>
      <w:r>
        <w:rPr>
          <w:rFonts w:eastAsia="等线"/>
          <w:i/>
          <w:iCs/>
          <w:sz w:val="21"/>
          <w:szCs w:val="20"/>
          <w:vertAlign w:val="subscript"/>
          <w:lang w:eastAsia="zh-CN"/>
        </w:rPr>
        <w:t>i</w:t>
      </w:r>
      <w:r>
        <w:rPr>
          <w:rFonts w:eastAsia="等线"/>
          <w:iCs/>
          <w:sz w:val="21"/>
          <w:szCs w:val="21"/>
          <w:lang w:eastAsia="zh-CN"/>
        </w:rPr>
        <w:t xml:space="preserve">, </w:t>
      </w:r>
      <w:r>
        <w:rPr>
          <w:rFonts w:eastAsia="等线"/>
          <w:i/>
          <w:iCs/>
          <w:sz w:val="21"/>
          <w:szCs w:val="20"/>
          <w:lang w:eastAsia="zh-CN"/>
        </w:rPr>
        <w:t>L</w:t>
      </w:r>
      <w:r>
        <w:rPr>
          <w:rFonts w:eastAsia="等线"/>
          <w:i/>
          <w:iCs/>
          <w:sz w:val="21"/>
          <w:szCs w:val="20"/>
          <w:vertAlign w:val="subscript"/>
          <w:lang w:eastAsia="zh-CN"/>
        </w:rPr>
        <w:t>i</w:t>
      </w:r>
      <w:r>
        <w:rPr>
          <w:rFonts w:eastAsia="等线"/>
          <w:iCs/>
          <w:sz w:val="21"/>
          <w:szCs w:val="21"/>
          <w:lang w:eastAsia="zh-CN"/>
        </w:rPr>
        <w:t xml:space="preserve">), the damming probability can be expressed as </w:t>
      </w:r>
      <w:r>
        <w:rPr>
          <w:rFonts w:eastAsia="等线"/>
          <w:i/>
          <w:iCs/>
          <w:sz w:val="21"/>
          <w:szCs w:val="20"/>
          <w:lang w:eastAsia="zh-CN"/>
        </w:rPr>
        <w:t>P</w:t>
      </w:r>
      <w:r>
        <w:rPr>
          <w:rFonts w:eastAsia="等线"/>
          <w:sz w:val="21"/>
          <w:szCs w:val="20"/>
          <w:lang w:eastAsia="zh-CN"/>
        </w:rPr>
        <w:t>(</w:t>
      </w:r>
      <w:r>
        <w:rPr>
          <w:rFonts w:eastAsia="等线"/>
          <w:i/>
          <w:iCs/>
          <w:sz w:val="21"/>
          <w:szCs w:val="20"/>
          <w:lang w:eastAsia="zh-CN"/>
        </w:rPr>
        <w:t>D</w:t>
      </w:r>
      <w:r>
        <w:rPr>
          <w:rFonts w:eastAsia="等线"/>
          <w:sz w:val="21"/>
          <w:szCs w:val="20"/>
          <w:vertAlign w:val="subscript"/>
          <w:lang w:eastAsia="zh-CN"/>
        </w:rPr>
        <w:t>left</w:t>
      </w:r>
      <w:r>
        <w:rPr>
          <w:rFonts w:eastAsia="等线"/>
          <w:i/>
          <w:iCs/>
          <w:sz w:val="21"/>
          <w:szCs w:val="20"/>
          <w:lang w:eastAsia="zh-CN"/>
        </w:rPr>
        <w:t xml:space="preserve"> </w:t>
      </w:r>
      <w:r>
        <w:rPr>
          <w:rFonts w:eastAsia="等线"/>
          <w:sz w:val="21"/>
          <w:szCs w:val="20"/>
          <w:lang w:eastAsia="zh-CN"/>
        </w:rPr>
        <w:t>= 1 |</w:t>
      </w:r>
      <w:r>
        <w:rPr>
          <w:rFonts w:eastAsia="等线"/>
          <w:i/>
          <w:iCs/>
          <w:sz w:val="21"/>
          <w:szCs w:val="20"/>
          <w:lang w:eastAsia="zh-CN"/>
        </w:rPr>
        <w:t xml:space="preserve"> A</w:t>
      </w:r>
      <w:r>
        <w:rPr>
          <w:rFonts w:eastAsia="等线"/>
          <w:sz w:val="21"/>
          <w:szCs w:val="20"/>
          <w:vertAlign w:val="subscript"/>
          <w:lang w:eastAsia="zh-CN"/>
        </w:rPr>
        <w:t>L</w:t>
      </w:r>
      <w:r>
        <w:rPr>
          <w:rFonts w:eastAsia="等线"/>
          <w:i/>
          <w:iCs/>
          <w:sz w:val="21"/>
          <w:szCs w:val="20"/>
          <w:vertAlign w:val="subscript"/>
          <w:lang w:eastAsia="zh-CN"/>
        </w:rPr>
        <w:t>i</w:t>
      </w:r>
      <w:r>
        <w:rPr>
          <w:rFonts w:eastAsia="等线"/>
          <w:iCs/>
          <w:sz w:val="21"/>
          <w:szCs w:val="21"/>
          <w:lang w:eastAsia="zh-CN"/>
        </w:rPr>
        <w:t xml:space="preserve">, </w:t>
      </w:r>
      <w:r>
        <w:rPr>
          <w:rFonts w:eastAsia="等线"/>
          <w:i/>
          <w:iCs/>
          <w:sz w:val="21"/>
          <w:szCs w:val="20"/>
          <w:lang w:eastAsia="zh-CN"/>
        </w:rPr>
        <w:t>L</w:t>
      </w:r>
      <w:r>
        <w:rPr>
          <w:rFonts w:eastAsia="等线"/>
          <w:i/>
          <w:iCs/>
          <w:sz w:val="21"/>
          <w:szCs w:val="20"/>
          <w:vertAlign w:val="subscript"/>
          <w:lang w:eastAsia="zh-CN"/>
        </w:rPr>
        <w:t>i</w:t>
      </w:r>
      <w:r>
        <w:rPr>
          <w:rFonts w:eastAsia="等线"/>
          <w:iCs/>
          <w:sz w:val="21"/>
          <w:szCs w:val="21"/>
          <w:lang w:eastAsia="zh-CN"/>
        </w:rPr>
        <w:t xml:space="preserve">). Note that not all values of </w:t>
      </w:r>
      <w:r>
        <w:rPr>
          <w:rFonts w:eastAsia="等线"/>
          <w:i/>
          <w:iCs/>
          <w:sz w:val="21"/>
          <w:szCs w:val="20"/>
          <w:lang w:eastAsia="zh-CN"/>
        </w:rPr>
        <w:t>L</w:t>
      </w:r>
      <w:r>
        <w:rPr>
          <w:rFonts w:eastAsia="等线"/>
          <w:iCs/>
          <w:sz w:val="21"/>
          <w:szCs w:val="21"/>
          <w:lang w:eastAsia="zh-CN"/>
        </w:rPr>
        <w:t xml:space="preserve"> are valid for a given transverse profile. The valid</w:t>
      </w:r>
      <w:r>
        <w:rPr>
          <w:rFonts w:eastAsia="等线"/>
          <w:i/>
          <w:iCs/>
          <w:sz w:val="21"/>
          <w:szCs w:val="20"/>
          <w:lang w:eastAsia="zh-CN"/>
        </w:rPr>
        <w:t xml:space="preserve"> L</w:t>
      </w:r>
      <w:r>
        <w:rPr>
          <w:rFonts w:eastAsia="等线"/>
          <w:iCs/>
          <w:sz w:val="21"/>
          <w:szCs w:val="21"/>
          <w:lang w:eastAsia="zh-CN"/>
        </w:rPr>
        <w:t xml:space="preserve"> value falls within a specific range, bounded by the minimum extent, </w:t>
      </w:r>
      <w:r>
        <w:rPr>
          <w:rFonts w:eastAsia="等线"/>
          <w:i/>
          <w:iCs/>
          <w:sz w:val="21"/>
          <w:szCs w:val="20"/>
          <w:lang w:eastAsia="zh-CN"/>
        </w:rPr>
        <w:t>L</w:t>
      </w:r>
      <w:r>
        <w:rPr>
          <w:rFonts w:eastAsia="等线"/>
          <w:i/>
          <w:iCs/>
          <w:sz w:val="21"/>
          <w:szCs w:val="20"/>
          <w:vertAlign w:val="subscript"/>
          <w:lang w:eastAsia="zh-CN"/>
        </w:rPr>
        <w:t>min</w:t>
      </w:r>
      <w:r>
        <w:rPr>
          <w:rFonts w:eastAsia="等线"/>
          <w:iCs/>
          <w:sz w:val="21"/>
          <w:szCs w:val="21"/>
          <w:lang w:eastAsia="zh-CN"/>
        </w:rPr>
        <w:t xml:space="preserve"> (i.e., the horizontal distance from the breakpoint to the centerline of the river channel), and the maximum extent, </w:t>
      </w:r>
      <w:r>
        <w:rPr>
          <w:rFonts w:eastAsia="等线"/>
          <w:i/>
          <w:iCs/>
          <w:sz w:val="21"/>
          <w:szCs w:val="20"/>
          <w:lang w:eastAsia="zh-CN"/>
        </w:rPr>
        <w:t>L</w:t>
      </w:r>
      <w:r>
        <w:rPr>
          <w:rFonts w:eastAsia="等线"/>
          <w:i/>
          <w:iCs/>
          <w:sz w:val="21"/>
          <w:szCs w:val="20"/>
          <w:vertAlign w:val="subscript"/>
          <w:lang w:eastAsia="zh-CN"/>
        </w:rPr>
        <w:t>max</w:t>
      </w:r>
      <w:r>
        <w:rPr>
          <w:rFonts w:eastAsia="等线"/>
          <w:sz w:val="21"/>
          <w:szCs w:val="20"/>
          <w:lang w:eastAsia="zh-CN"/>
        </w:rPr>
        <w:t xml:space="preserve"> (i.e., the horizontal distance from the mountain ridge to the centerline of the river channel) (see </w:t>
      </w:r>
      <w:r>
        <w:rPr>
          <w:rFonts w:eastAsia="等线"/>
          <w:color w:val="0000FF"/>
          <w:sz w:val="21"/>
          <w:szCs w:val="20"/>
          <w:lang w:eastAsia="zh-CN"/>
        </w:rPr>
        <w:t>Fig. S5(b)</w:t>
      </w:r>
      <w:r>
        <w:rPr>
          <w:rFonts w:eastAsia="等线"/>
          <w:iCs/>
          <w:sz w:val="21"/>
          <w:szCs w:val="21"/>
          <w:lang w:eastAsia="zh-CN"/>
        </w:rPr>
        <w:t xml:space="preserve">). Consequently, the valid subregions are determined by the central points of the subregions falling within the valid range of </w:t>
      </w:r>
      <w:r>
        <w:rPr>
          <w:rFonts w:eastAsia="等线"/>
          <w:i/>
          <w:iCs/>
          <w:sz w:val="21"/>
          <w:szCs w:val="20"/>
          <w:lang w:eastAsia="zh-CN"/>
        </w:rPr>
        <w:t>L</w:t>
      </w:r>
      <w:r>
        <w:rPr>
          <w:rFonts w:eastAsia="等线"/>
          <w:iCs/>
          <w:sz w:val="21"/>
          <w:szCs w:val="21"/>
          <w:lang w:eastAsia="zh-CN"/>
        </w:rPr>
        <w:t>, representing all potential combinations of (</w:t>
      </w:r>
      <w:r>
        <w:rPr>
          <w:rFonts w:eastAsia="等线"/>
          <w:i/>
          <w:iCs/>
          <w:sz w:val="21"/>
          <w:szCs w:val="20"/>
          <w:lang w:eastAsia="zh-CN"/>
        </w:rPr>
        <w:t>A</w:t>
      </w:r>
      <w:r>
        <w:rPr>
          <w:rFonts w:eastAsia="等线"/>
          <w:sz w:val="21"/>
          <w:szCs w:val="20"/>
          <w:vertAlign w:val="subscript"/>
          <w:lang w:eastAsia="zh-CN"/>
        </w:rPr>
        <w:t>L</w:t>
      </w:r>
      <w:r>
        <w:rPr>
          <w:rFonts w:eastAsia="等线"/>
          <w:i/>
          <w:iCs/>
          <w:sz w:val="21"/>
          <w:szCs w:val="20"/>
          <w:vertAlign w:val="subscript"/>
          <w:lang w:eastAsia="zh-CN"/>
        </w:rPr>
        <w:t>i</w:t>
      </w:r>
      <w:r>
        <w:rPr>
          <w:rFonts w:eastAsia="等线"/>
          <w:iCs/>
          <w:sz w:val="21"/>
          <w:szCs w:val="21"/>
          <w:lang w:eastAsia="zh-CN"/>
        </w:rPr>
        <w:t xml:space="preserve">, </w:t>
      </w:r>
      <w:r>
        <w:rPr>
          <w:rFonts w:eastAsia="等线"/>
          <w:i/>
          <w:iCs/>
          <w:sz w:val="21"/>
          <w:szCs w:val="20"/>
          <w:lang w:eastAsia="zh-CN"/>
        </w:rPr>
        <w:t>L</w:t>
      </w:r>
      <w:r>
        <w:rPr>
          <w:rFonts w:eastAsia="等线"/>
          <w:i/>
          <w:iCs/>
          <w:sz w:val="21"/>
          <w:szCs w:val="20"/>
          <w:vertAlign w:val="subscript"/>
          <w:lang w:eastAsia="zh-CN"/>
        </w:rPr>
        <w:t>i</w:t>
      </w:r>
      <w:r>
        <w:rPr>
          <w:rFonts w:eastAsia="等线"/>
          <w:iCs/>
          <w:sz w:val="21"/>
          <w:szCs w:val="21"/>
          <w:lang w:eastAsia="zh-CN"/>
        </w:rPr>
        <w:t xml:space="preserve">) (as depicted by the red box in </w:t>
      </w:r>
      <w:r>
        <w:rPr>
          <w:rFonts w:eastAsia="等线"/>
          <w:color w:val="0000FF"/>
          <w:sz w:val="21"/>
          <w:szCs w:val="20"/>
          <w:lang w:eastAsia="zh-CN"/>
        </w:rPr>
        <w:t>Fig. S5(a)</w:t>
      </w:r>
      <w:r>
        <w:rPr>
          <w:rFonts w:eastAsia="等线"/>
          <w:iCs/>
          <w:sz w:val="21"/>
          <w:szCs w:val="21"/>
          <w:lang w:eastAsia="zh-CN"/>
        </w:rPr>
        <w:t>).</w:t>
      </w:r>
    </w:p>
    <w:p>
      <w:pPr>
        <w:autoSpaceDE w:val="0"/>
        <w:autoSpaceDN w:val="0"/>
        <w:adjustRightInd w:val="0"/>
        <w:snapToGrid w:val="0"/>
        <w:ind w:firstLine="210" w:firstLineChars="100"/>
        <w:jc w:val="both"/>
        <w:rPr>
          <w:rFonts w:eastAsia="等线"/>
          <w:iCs/>
          <w:sz w:val="21"/>
          <w:szCs w:val="21"/>
          <w:lang w:eastAsia="zh-CN"/>
        </w:rPr>
      </w:pPr>
      <w:r>
        <w:rPr>
          <w:rFonts w:eastAsia="等线"/>
          <w:iCs/>
          <w:sz w:val="21"/>
          <w:szCs w:val="21"/>
          <w:lang w:eastAsia="zh-CN"/>
        </w:rPr>
        <w:t>(5) The original bivariate integral in Eq. (4) can be approximated as the summation of products over the valid subregions, utilizing the total probability theorem, as follows:</w:t>
      </w:r>
    </w:p>
    <w:p>
      <w:pPr>
        <w:autoSpaceDE w:val="0"/>
        <w:autoSpaceDN w:val="0"/>
        <w:adjustRightInd w:val="0"/>
        <w:snapToGrid w:val="0"/>
        <w:jc w:val="right"/>
        <w:rPr>
          <w:sz w:val="21"/>
          <w:szCs w:val="21"/>
          <w:lang w:eastAsia="zh-CN"/>
        </w:rPr>
      </w:pPr>
      <w:r>
        <w:rPr>
          <w:position w:val="-40"/>
          <w:sz w:val="21"/>
          <w:szCs w:val="21"/>
        </w:rPr>
        <w:object>
          <v:shape id="_x0000_i1025" o:spt="75" type="#_x0000_t75" style="height:43.2pt;width:244.8pt;" o:ole="t" filled="f" o:preferrelative="t" stroked="f" coordsize="21600,21600">
            <v:path/>
            <v:fill on="f" focussize="0,0"/>
            <v:stroke on="f" joinstyle="miter"/>
            <v:imagedata r:id="rId23" o:title=""/>
            <o:lock v:ext="edit" aspectratio="t"/>
            <w10:wrap type="none"/>
            <w10:anchorlock/>
          </v:shape>
          <o:OLEObject Type="Embed" ProgID="Equation.DSMT4" ShapeID="_x0000_i1025" DrawAspect="Content" ObjectID="_1468075725" r:id="rId22">
            <o:LockedField>false</o:LockedField>
          </o:OLEObject>
        </w:object>
      </w:r>
      <w:r>
        <w:rPr>
          <w:sz w:val="21"/>
          <w:szCs w:val="21"/>
        </w:rPr>
        <w:t xml:space="preserve">  </w:t>
      </w:r>
      <w:r>
        <w:rPr>
          <w:sz w:val="21"/>
          <w:szCs w:val="21"/>
          <w:lang w:eastAsia="zh-CN"/>
        </w:rPr>
        <w:t xml:space="preserve">            </w:t>
      </w:r>
      <w:r>
        <w:rPr>
          <w:sz w:val="21"/>
          <w:szCs w:val="21"/>
        </w:rPr>
        <w:t xml:space="preserve">          </w:t>
      </w:r>
      <w:r>
        <w:rPr>
          <w:sz w:val="21"/>
          <w:szCs w:val="21"/>
          <w:lang w:eastAsia="zh-CN"/>
        </w:rPr>
        <w:t>(</w:t>
      </w:r>
      <w:r>
        <w:rPr>
          <w:sz w:val="21"/>
          <w:szCs w:val="21"/>
        </w:rPr>
        <w:t>S1</w:t>
      </w:r>
      <w:r>
        <w:rPr>
          <w:sz w:val="21"/>
          <w:szCs w:val="21"/>
          <w:lang w:eastAsia="zh-CN"/>
        </w:rPr>
        <w:t>)</w:t>
      </w:r>
    </w:p>
    <w:p>
      <w:pPr>
        <w:autoSpaceDE w:val="0"/>
        <w:autoSpaceDN w:val="0"/>
        <w:adjustRightInd w:val="0"/>
        <w:snapToGrid w:val="0"/>
        <w:jc w:val="both"/>
        <w:rPr>
          <w:rFonts w:eastAsia="等线"/>
          <w:iCs/>
          <w:sz w:val="21"/>
          <w:szCs w:val="21"/>
          <w:lang w:eastAsia="zh-CN"/>
        </w:rPr>
      </w:pPr>
      <w:r>
        <w:rPr>
          <w:rFonts w:eastAsia="等线"/>
          <w:iCs/>
          <w:sz w:val="21"/>
          <w:szCs w:val="21"/>
          <w:lang w:eastAsia="zh-CN"/>
        </w:rPr>
        <w:t xml:space="preserve">where ∑ signifies the summation over all valid subregions, </w:t>
      </w:r>
      <w:r>
        <w:rPr>
          <w:rFonts w:eastAsia="等线"/>
          <w:i/>
          <w:iCs/>
          <w:sz w:val="21"/>
          <w:szCs w:val="20"/>
          <w:lang w:eastAsia="zh-CN"/>
        </w:rPr>
        <w:t>P</w:t>
      </w:r>
      <w:r>
        <w:rPr>
          <w:rFonts w:eastAsia="等线"/>
          <w:sz w:val="21"/>
          <w:szCs w:val="20"/>
          <w:lang w:eastAsia="zh-CN"/>
        </w:rPr>
        <w:t>(</w:t>
      </w:r>
      <w:r>
        <w:rPr>
          <w:rFonts w:eastAsia="等线"/>
          <w:i/>
          <w:iCs/>
          <w:sz w:val="21"/>
          <w:szCs w:val="20"/>
          <w:lang w:eastAsia="zh-CN"/>
        </w:rPr>
        <w:t>D</w:t>
      </w:r>
      <w:r>
        <w:rPr>
          <w:rFonts w:eastAsia="等线"/>
          <w:sz w:val="21"/>
          <w:szCs w:val="20"/>
          <w:vertAlign w:val="subscript"/>
          <w:lang w:eastAsia="zh-CN"/>
        </w:rPr>
        <w:t>left</w:t>
      </w:r>
      <w:r>
        <w:rPr>
          <w:rFonts w:eastAsia="等线"/>
          <w:i/>
          <w:iCs/>
          <w:sz w:val="21"/>
          <w:szCs w:val="20"/>
          <w:lang w:eastAsia="zh-CN"/>
        </w:rPr>
        <w:t xml:space="preserve"> </w:t>
      </w:r>
      <w:r>
        <w:rPr>
          <w:rFonts w:eastAsia="等线"/>
          <w:sz w:val="21"/>
          <w:szCs w:val="20"/>
          <w:lang w:eastAsia="zh-CN"/>
        </w:rPr>
        <w:t>= 1 |</w:t>
      </w:r>
      <w:r>
        <w:rPr>
          <w:rFonts w:eastAsia="等线"/>
          <w:i/>
          <w:iCs/>
          <w:sz w:val="21"/>
          <w:szCs w:val="20"/>
          <w:lang w:eastAsia="zh-CN"/>
        </w:rPr>
        <w:t xml:space="preserve"> A</w:t>
      </w:r>
      <w:r>
        <w:rPr>
          <w:rFonts w:eastAsia="等线"/>
          <w:sz w:val="21"/>
          <w:szCs w:val="20"/>
          <w:vertAlign w:val="subscript"/>
          <w:lang w:eastAsia="zh-CN"/>
        </w:rPr>
        <w:t>L</w:t>
      </w:r>
      <w:r>
        <w:rPr>
          <w:rFonts w:eastAsia="等线"/>
          <w:i/>
          <w:iCs/>
          <w:sz w:val="21"/>
          <w:szCs w:val="20"/>
          <w:vertAlign w:val="subscript"/>
          <w:lang w:eastAsia="zh-CN"/>
        </w:rPr>
        <w:t>i</w:t>
      </w:r>
      <w:r>
        <w:rPr>
          <w:rFonts w:eastAsia="等线"/>
          <w:iCs/>
          <w:sz w:val="21"/>
          <w:szCs w:val="21"/>
          <w:lang w:eastAsia="zh-CN"/>
        </w:rPr>
        <w:t xml:space="preserve">, </w:t>
      </w:r>
      <w:r>
        <w:rPr>
          <w:rFonts w:eastAsia="等线"/>
          <w:i/>
          <w:iCs/>
          <w:sz w:val="21"/>
          <w:szCs w:val="20"/>
          <w:lang w:eastAsia="zh-CN"/>
        </w:rPr>
        <w:t>L</w:t>
      </w:r>
      <w:r>
        <w:rPr>
          <w:rFonts w:eastAsia="等线"/>
          <w:i/>
          <w:iCs/>
          <w:sz w:val="21"/>
          <w:szCs w:val="20"/>
          <w:vertAlign w:val="subscript"/>
          <w:lang w:eastAsia="zh-CN"/>
        </w:rPr>
        <w:t>i</w:t>
      </w:r>
      <w:r>
        <w:rPr>
          <w:rFonts w:eastAsia="等线"/>
          <w:iCs/>
          <w:sz w:val="21"/>
          <w:szCs w:val="21"/>
          <w:lang w:eastAsia="zh-CN"/>
        </w:rPr>
        <w:t xml:space="preserve">) represents the value of the function </w:t>
      </w:r>
      <w:r>
        <w:rPr>
          <w:rFonts w:eastAsia="等线"/>
          <w:i/>
          <w:iCs/>
          <w:sz w:val="21"/>
          <w:szCs w:val="20"/>
          <w:lang w:eastAsia="zh-CN"/>
        </w:rPr>
        <w:t>P</w:t>
      </w:r>
      <w:r>
        <w:rPr>
          <w:rFonts w:eastAsia="等线"/>
          <w:sz w:val="21"/>
          <w:szCs w:val="20"/>
          <w:lang w:eastAsia="zh-CN"/>
        </w:rPr>
        <w:t>(</w:t>
      </w:r>
      <w:r>
        <w:rPr>
          <w:rFonts w:eastAsia="等线"/>
          <w:i/>
          <w:iCs/>
          <w:sz w:val="21"/>
          <w:szCs w:val="20"/>
          <w:lang w:eastAsia="zh-CN"/>
        </w:rPr>
        <w:t>D</w:t>
      </w:r>
      <w:r>
        <w:rPr>
          <w:rFonts w:eastAsia="等线"/>
          <w:sz w:val="21"/>
          <w:szCs w:val="20"/>
          <w:vertAlign w:val="subscript"/>
          <w:lang w:eastAsia="zh-CN"/>
        </w:rPr>
        <w:t>left</w:t>
      </w:r>
      <w:r>
        <w:rPr>
          <w:rFonts w:eastAsia="等线"/>
          <w:i/>
          <w:iCs/>
          <w:sz w:val="21"/>
          <w:szCs w:val="20"/>
          <w:lang w:eastAsia="zh-CN"/>
        </w:rPr>
        <w:t xml:space="preserve"> </w:t>
      </w:r>
      <w:r>
        <w:rPr>
          <w:rFonts w:eastAsia="等线"/>
          <w:sz w:val="21"/>
          <w:szCs w:val="20"/>
          <w:lang w:eastAsia="zh-CN"/>
        </w:rPr>
        <w:t>= 1 |</w:t>
      </w:r>
      <w:r>
        <w:rPr>
          <w:rFonts w:eastAsia="等线"/>
          <w:i/>
          <w:iCs/>
          <w:sz w:val="21"/>
          <w:szCs w:val="20"/>
          <w:lang w:eastAsia="zh-CN"/>
        </w:rPr>
        <w:t xml:space="preserve"> A</w:t>
      </w:r>
      <w:r>
        <w:rPr>
          <w:rFonts w:eastAsia="等线"/>
          <w:sz w:val="21"/>
          <w:szCs w:val="20"/>
          <w:vertAlign w:val="subscript"/>
          <w:lang w:eastAsia="zh-CN"/>
        </w:rPr>
        <w:t>L</w:t>
      </w:r>
      <w:r>
        <w:rPr>
          <w:rFonts w:eastAsia="等线"/>
          <w:iCs/>
          <w:sz w:val="21"/>
          <w:szCs w:val="21"/>
          <w:lang w:eastAsia="zh-CN"/>
        </w:rPr>
        <w:t xml:space="preserve">, </w:t>
      </w:r>
      <w:r>
        <w:rPr>
          <w:rFonts w:eastAsia="等线"/>
          <w:i/>
          <w:iCs/>
          <w:sz w:val="21"/>
          <w:szCs w:val="20"/>
          <w:lang w:eastAsia="zh-CN"/>
        </w:rPr>
        <w:t>L</w:t>
      </w:r>
      <w:r>
        <w:rPr>
          <w:rFonts w:eastAsia="等线"/>
          <w:iCs/>
          <w:sz w:val="21"/>
          <w:szCs w:val="21"/>
          <w:lang w:eastAsia="zh-CN"/>
        </w:rPr>
        <w:t xml:space="preserve">) at the center point of the </w:t>
      </w:r>
      <w:r>
        <w:rPr>
          <w:rFonts w:eastAsia="等线"/>
          <w:i/>
          <w:sz w:val="21"/>
          <w:szCs w:val="21"/>
          <w:lang w:eastAsia="zh-CN"/>
        </w:rPr>
        <w:t>i</w:t>
      </w:r>
      <w:r>
        <w:rPr>
          <w:rFonts w:eastAsia="等线"/>
          <w:iCs/>
          <w:sz w:val="21"/>
          <w:szCs w:val="21"/>
          <w:lang w:eastAsia="zh-CN"/>
        </w:rPr>
        <w:t xml:space="preserve">th subregion, </w:t>
      </w:r>
      <w:r>
        <w:rPr>
          <w:rFonts w:eastAsia="等线"/>
          <w:i/>
          <w:sz w:val="21"/>
          <w:szCs w:val="21"/>
          <w:lang w:eastAsia="zh-CN"/>
        </w:rPr>
        <w:t xml:space="preserve">g </w:t>
      </w:r>
      <w:r>
        <w:rPr>
          <w:rFonts w:eastAsia="等线"/>
          <w:iCs/>
          <w:sz w:val="21"/>
          <w:szCs w:val="21"/>
          <w:lang w:eastAsia="zh-CN"/>
        </w:rPr>
        <w:t xml:space="preserve">(ln </w:t>
      </w:r>
      <w:r>
        <w:rPr>
          <w:rFonts w:eastAsia="等线"/>
          <w:i/>
          <w:iCs/>
          <w:sz w:val="21"/>
          <w:szCs w:val="20"/>
          <w:lang w:eastAsia="zh-CN"/>
        </w:rPr>
        <w:t>A</w:t>
      </w:r>
      <w:r>
        <w:rPr>
          <w:rFonts w:eastAsia="等线"/>
          <w:sz w:val="21"/>
          <w:szCs w:val="20"/>
          <w:vertAlign w:val="subscript"/>
          <w:lang w:eastAsia="zh-CN"/>
        </w:rPr>
        <w:t>L</w:t>
      </w:r>
      <w:r>
        <w:rPr>
          <w:rFonts w:eastAsia="等线"/>
          <w:i/>
          <w:iCs/>
          <w:sz w:val="21"/>
          <w:szCs w:val="20"/>
          <w:vertAlign w:val="subscript"/>
          <w:lang w:eastAsia="zh-CN"/>
        </w:rPr>
        <w:t>i</w:t>
      </w:r>
      <w:r>
        <w:rPr>
          <w:rFonts w:eastAsia="等线"/>
          <w:iCs/>
          <w:sz w:val="21"/>
          <w:szCs w:val="21"/>
          <w:lang w:eastAsia="zh-CN"/>
        </w:rPr>
        <w:t xml:space="preserve">, ln </w:t>
      </w:r>
      <w:r>
        <w:rPr>
          <w:rFonts w:eastAsia="等线"/>
          <w:i/>
          <w:iCs/>
          <w:sz w:val="21"/>
          <w:szCs w:val="20"/>
          <w:lang w:eastAsia="zh-CN"/>
        </w:rPr>
        <w:t>L</w:t>
      </w:r>
      <w:r>
        <w:rPr>
          <w:rFonts w:eastAsia="等线"/>
          <w:i/>
          <w:iCs/>
          <w:sz w:val="21"/>
          <w:szCs w:val="20"/>
          <w:vertAlign w:val="subscript"/>
          <w:lang w:eastAsia="zh-CN"/>
        </w:rPr>
        <w:t>i</w:t>
      </w:r>
      <w:r>
        <w:rPr>
          <w:rFonts w:eastAsia="等线"/>
          <w:iCs/>
          <w:sz w:val="21"/>
          <w:szCs w:val="21"/>
          <w:lang w:eastAsia="zh-CN"/>
        </w:rPr>
        <w:t xml:space="preserve">) denotes the value of the bivariate distribution at the center point of the </w:t>
      </w:r>
      <w:r>
        <w:rPr>
          <w:rFonts w:eastAsia="等线"/>
          <w:i/>
          <w:sz w:val="21"/>
          <w:szCs w:val="21"/>
          <w:lang w:eastAsia="zh-CN"/>
        </w:rPr>
        <w:t>i</w:t>
      </w:r>
      <w:r>
        <w:rPr>
          <w:rFonts w:eastAsia="等线"/>
          <w:iCs/>
          <w:sz w:val="21"/>
          <w:szCs w:val="21"/>
          <w:lang w:eastAsia="zh-CN"/>
        </w:rPr>
        <w:t>th subregion, and ΔA represents the area of each subregion.</w:t>
      </w:r>
    </w:p>
    <w:p>
      <w:pPr>
        <w:autoSpaceDE w:val="0"/>
        <w:autoSpaceDN w:val="0"/>
        <w:adjustRightInd w:val="0"/>
        <w:snapToGrid w:val="0"/>
        <w:jc w:val="both"/>
        <w:rPr>
          <w:rFonts w:eastAsia="等线"/>
          <w:iCs/>
          <w:sz w:val="21"/>
          <w:szCs w:val="21"/>
          <w:lang w:eastAsia="zh-CN"/>
        </w:rPr>
        <w:sectPr>
          <w:headerReference r:id="rId13" w:type="first"/>
          <w:footerReference r:id="rId15" w:type="first"/>
          <w:headerReference r:id="rId12" w:type="default"/>
          <w:footerReference r:id="rId14" w:type="even"/>
          <w:pgSz w:w="11906" w:h="16838"/>
          <w:pgMar w:top="896" w:right="1038" w:bottom="1038" w:left="720" w:header="709" w:footer="652" w:gutter="0"/>
          <w:cols w:space="708" w:num="1"/>
          <w:docGrid w:linePitch="360" w:charSpace="0"/>
        </w:sectPr>
      </w:pPr>
    </w:p>
    <w:p>
      <w:pPr>
        <w:keepNext/>
        <w:overflowPunct w:val="0"/>
        <w:autoSpaceDE w:val="0"/>
        <w:autoSpaceDN w:val="0"/>
        <w:adjustRightInd w:val="0"/>
        <w:spacing w:before="60" w:after="60"/>
        <w:textAlignment w:val="baseline"/>
        <w:rPr>
          <w:b/>
          <w:sz w:val="18"/>
          <w:szCs w:val="18"/>
          <w:lang w:val="en-AU" w:eastAsia="zh-CN"/>
        </w:rPr>
      </w:pPr>
      <w:r>
        <w:rPr>
          <w:b/>
          <w:sz w:val="18"/>
          <w:szCs w:val="18"/>
          <w:lang w:val="en-AU" w:eastAsia="zh-CN"/>
        </w:rPr>
        <w:t>Table S1</w:t>
      </w:r>
    </w:p>
    <w:p>
      <w:pPr>
        <w:keepNext/>
        <w:overflowPunct w:val="0"/>
        <w:autoSpaceDE w:val="0"/>
        <w:autoSpaceDN w:val="0"/>
        <w:adjustRightInd w:val="0"/>
        <w:spacing w:before="60" w:after="60"/>
        <w:textAlignment w:val="baseline"/>
        <w:rPr>
          <w:bCs/>
          <w:sz w:val="18"/>
          <w:szCs w:val="18"/>
          <w:lang w:val="en-AU" w:eastAsia="zh-CN"/>
        </w:rPr>
      </w:pPr>
      <w:r>
        <w:rPr>
          <w:bCs/>
          <w:sz w:val="18"/>
          <w:szCs w:val="18"/>
          <w:lang w:val="en-AU" w:eastAsia="zh-CN"/>
        </w:rPr>
        <w:t>Summary of historical landslide dams along the Jinsha River. (Numbers are ordered from upstream to downstream)</w:t>
      </w:r>
    </w:p>
    <w:tbl>
      <w:tblPr>
        <w:tblStyle w:val="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1408"/>
        <w:gridCol w:w="1488"/>
        <w:gridCol w:w="1461"/>
        <w:gridCol w:w="1355"/>
        <w:gridCol w:w="1019"/>
        <w:gridCol w:w="1022"/>
        <w:gridCol w:w="1062"/>
        <w:gridCol w:w="792"/>
        <w:gridCol w:w="1210"/>
        <w:gridCol w:w="1019"/>
        <w:gridCol w:w="1618"/>
        <w:gridCol w:w="1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widowControl w:val="0"/>
              <w:kinsoku w:val="0"/>
              <w:overflowPunct w:val="0"/>
              <w:autoSpaceDE w:val="0"/>
              <w:autoSpaceDN w:val="0"/>
              <w:adjustRightInd w:val="0"/>
              <w:snapToGrid w:val="0"/>
              <w:ind w:right="-73"/>
              <w:rPr>
                <w:bCs/>
                <w:sz w:val="18"/>
                <w:szCs w:val="18"/>
              </w:rPr>
            </w:pPr>
            <w:r>
              <w:rPr>
                <w:bCs/>
                <w:sz w:val="18"/>
                <w:szCs w:val="18"/>
              </w:rPr>
              <w:t>No.</w:t>
            </w:r>
          </w:p>
        </w:tc>
        <w:tc>
          <w:tcPr>
            <w:tcW w:w="466" w:type="pct"/>
            <w:shd w:val="clear" w:color="auto" w:fill="auto"/>
            <w:vAlign w:val="center"/>
          </w:tcPr>
          <w:p>
            <w:pPr>
              <w:widowControl w:val="0"/>
              <w:kinsoku w:val="0"/>
              <w:overflowPunct w:val="0"/>
              <w:autoSpaceDE w:val="0"/>
              <w:autoSpaceDN w:val="0"/>
              <w:adjustRightInd w:val="0"/>
              <w:snapToGrid w:val="0"/>
              <w:rPr>
                <w:bCs/>
                <w:sz w:val="18"/>
                <w:szCs w:val="18"/>
              </w:rPr>
            </w:pPr>
            <w:r>
              <w:rPr>
                <w:bCs/>
                <w:sz w:val="18"/>
                <w:szCs w:val="18"/>
              </w:rPr>
              <w:t>Event</w:t>
            </w:r>
          </w:p>
        </w:tc>
        <w:tc>
          <w:tcPr>
            <w:tcW w:w="492" w:type="pct"/>
            <w:shd w:val="clear" w:color="auto" w:fill="auto"/>
            <w:vAlign w:val="center"/>
          </w:tcPr>
          <w:p>
            <w:pPr>
              <w:widowControl w:val="0"/>
              <w:kinsoku w:val="0"/>
              <w:overflowPunct w:val="0"/>
              <w:autoSpaceDE w:val="0"/>
              <w:autoSpaceDN w:val="0"/>
              <w:adjustRightInd w:val="0"/>
              <w:snapToGrid w:val="0"/>
              <w:rPr>
                <w:bCs/>
                <w:sz w:val="18"/>
                <w:szCs w:val="18"/>
              </w:rPr>
            </w:pPr>
            <w:r>
              <w:rPr>
                <w:bCs/>
                <w:sz w:val="18"/>
                <w:szCs w:val="18"/>
              </w:rPr>
              <w:t>Longitude</w:t>
            </w:r>
          </w:p>
        </w:tc>
        <w:tc>
          <w:tcPr>
            <w:tcW w:w="483" w:type="pct"/>
            <w:shd w:val="clear" w:color="auto" w:fill="auto"/>
            <w:vAlign w:val="center"/>
          </w:tcPr>
          <w:p>
            <w:pPr>
              <w:widowControl w:val="0"/>
              <w:kinsoku w:val="0"/>
              <w:overflowPunct w:val="0"/>
              <w:autoSpaceDE w:val="0"/>
              <w:autoSpaceDN w:val="0"/>
              <w:adjustRightInd w:val="0"/>
              <w:snapToGrid w:val="0"/>
              <w:rPr>
                <w:bCs/>
                <w:sz w:val="18"/>
                <w:szCs w:val="18"/>
              </w:rPr>
            </w:pPr>
            <w:r>
              <w:rPr>
                <w:bCs/>
                <w:sz w:val="18"/>
                <w:szCs w:val="18"/>
              </w:rPr>
              <w:t>Latitude</w:t>
            </w:r>
          </w:p>
        </w:tc>
        <w:tc>
          <w:tcPr>
            <w:tcW w:w="448" w:type="pct"/>
            <w:shd w:val="clear" w:color="auto" w:fill="auto"/>
            <w:vAlign w:val="center"/>
          </w:tcPr>
          <w:p>
            <w:pPr>
              <w:widowControl w:val="0"/>
              <w:kinsoku w:val="0"/>
              <w:overflowPunct w:val="0"/>
              <w:autoSpaceDE w:val="0"/>
              <w:autoSpaceDN w:val="0"/>
              <w:adjustRightInd w:val="0"/>
              <w:snapToGrid w:val="0"/>
              <w:rPr>
                <w:bCs/>
                <w:sz w:val="18"/>
                <w:szCs w:val="18"/>
              </w:rPr>
            </w:pPr>
            <w:r>
              <w:rPr>
                <w:bCs/>
                <w:sz w:val="18"/>
                <w:szCs w:val="18"/>
              </w:rPr>
              <w:t>Formation Time</w:t>
            </w:r>
          </w:p>
        </w:tc>
        <w:tc>
          <w:tcPr>
            <w:tcW w:w="337" w:type="pct"/>
            <w:shd w:val="clear" w:color="auto" w:fill="auto"/>
            <w:vAlign w:val="center"/>
          </w:tcPr>
          <w:p>
            <w:pPr>
              <w:widowControl w:val="0"/>
              <w:kinsoku w:val="0"/>
              <w:overflowPunct w:val="0"/>
              <w:autoSpaceDE w:val="0"/>
              <w:autoSpaceDN w:val="0"/>
              <w:adjustRightInd w:val="0"/>
              <w:snapToGrid w:val="0"/>
              <w:ind w:right="-57"/>
              <w:rPr>
                <w:bCs/>
                <w:sz w:val="18"/>
                <w:szCs w:val="18"/>
              </w:rPr>
            </w:pPr>
            <w:r>
              <w:rPr>
                <w:bCs/>
                <w:sz w:val="18"/>
                <w:szCs w:val="18"/>
              </w:rPr>
              <w:t>Blockage duration</w:t>
            </w:r>
          </w:p>
        </w:tc>
        <w:tc>
          <w:tcPr>
            <w:tcW w:w="338" w:type="pct"/>
            <w:shd w:val="clear" w:color="auto" w:fill="auto"/>
            <w:vAlign w:val="center"/>
          </w:tcPr>
          <w:p>
            <w:pPr>
              <w:widowControl w:val="0"/>
              <w:kinsoku w:val="0"/>
              <w:overflowPunct w:val="0"/>
              <w:autoSpaceDE w:val="0"/>
              <w:autoSpaceDN w:val="0"/>
              <w:adjustRightInd w:val="0"/>
              <w:snapToGrid w:val="0"/>
              <w:ind w:right="-33"/>
              <w:rPr>
                <w:bCs/>
                <w:sz w:val="18"/>
                <w:szCs w:val="18"/>
              </w:rPr>
            </w:pPr>
            <w:r>
              <w:rPr>
                <w:bCs/>
                <w:sz w:val="18"/>
                <w:szCs w:val="18"/>
              </w:rPr>
              <w:t>Landslide volume (10</w:t>
            </w:r>
            <w:r>
              <w:rPr>
                <w:bCs/>
                <w:sz w:val="18"/>
                <w:szCs w:val="18"/>
                <w:vertAlign w:val="superscript"/>
              </w:rPr>
              <w:t>4</w:t>
            </w:r>
            <w:r>
              <w:rPr>
                <w:bCs/>
                <w:sz w:val="18"/>
                <w:szCs w:val="18"/>
              </w:rPr>
              <w:t xml:space="preserve"> m</w:t>
            </w:r>
            <w:r>
              <w:rPr>
                <w:bCs/>
                <w:sz w:val="18"/>
                <w:szCs w:val="18"/>
                <w:vertAlign w:val="superscript"/>
              </w:rPr>
              <w:t>3</w:t>
            </w:r>
            <w:r>
              <w:rPr>
                <w:bCs/>
                <w:sz w:val="18"/>
                <w:szCs w:val="18"/>
              </w:rPr>
              <w:t>)</w:t>
            </w:r>
          </w:p>
        </w:tc>
        <w:tc>
          <w:tcPr>
            <w:tcW w:w="351" w:type="pct"/>
            <w:shd w:val="clear" w:color="auto" w:fill="auto"/>
            <w:vAlign w:val="center"/>
          </w:tcPr>
          <w:p>
            <w:pPr>
              <w:widowControl w:val="0"/>
              <w:kinsoku w:val="0"/>
              <w:overflowPunct w:val="0"/>
              <w:autoSpaceDE w:val="0"/>
              <w:autoSpaceDN w:val="0"/>
              <w:adjustRightInd w:val="0"/>
              <w:snapToGrid w:val="0"/>
              <w:ind w:right="-106"/>
              <w:rPr>
                <w:bCs/>
                <w:sz w:val="18"/>
                <w:szCs w:val="18"/>
              </w:rPr>
            </w:pPr>
            <w:r>
              <w:rPr>
                <w:bCs/>
                <w:sz w:val="18"/>
                <w:szCs w:val="18"/>
              </w:rPr>
              <w:t>Landslide dam volume (10</w:t>
            </w:r>
            <w:r>
              <w:rPr>
                <w:bCs/>
                <w:sz w:val="18"/>
                <w:szCs w:val="18"/>
                <w:vertAlign w:val="superscript"/>
              </w:rPr>
              <w:t>4</w:t>
            </w:r>
            <w:r>
              <w:rPr>
                <w:bCs/>
                <w:sz w:val="18"/>
                <w:szCs w:val="18"/>
              </w:rPr>
              <w:t xml:space="preserve"> m</w:t>
            </w:r>
            <w:r>
              <w:rPr>
                <w:bCs/>
                <w:sz w:val="18"/>
                <w:szCs w:val="18"/>
                <w:vertAlign w:val="superscript"/>
              </w:rPr>
              <w:t>3</w:t>
            </w:r>
            <w:r>
              <w:rPr>
                <w:bCs/>
                <w:sz w:val="18"/>
                <w:szCs w:val="18"/>
              </w:rPr>
              <w:t>)</w:t>
            </w:r>
          </w:p>
        </w:tc>
        <w:tc>
          <w:tcPr>
            <w:tcW w:w="262" w:type="pct"/>
            <w:shd w:val="clear" w:color="auto" w:fill="auto"/>
            <w:vAlign w:val="center"/>
          </w:tcPr>
          <w:p>
            <w:pPr>
              <w:widowControl w:val="0"/>
              <w:kinsoku w:val="0"/>
              <w:overflowPunct w:val="0"/>
              <w:autoSpaceDE w:val="0"/>
              <w:autoSpaceDN w:val="0"/>
              <w:adjustRightInd w:val="0"/>
              <w:snapToGrid w:val="0"/>
              <w:ind w:right="-82"/>
              <w:rPr>
                <w:bCs/>
                <w:sz w:val="18"/>
                <w:szCs w:val="18"/>
              </w:rPr>
            </w:pPr>
            <w:r>
              <w:rPr>
                <w:bCs/>
                <w:sz w:val="18"/>
                <w:szCs w:val="18"/>
              </w:rPr>
              <w:t>Dam height (m)</w:t>
            </w:r>
          </w:p>
        </w:tc>
        <w:tc>
          <w:tcPr>
            <w:tcW w:w="400" w:type="pct"/>
            <w:shd w:val="clear" w:color="auto" w:fill="auto"/>
            <w:vAlign w:val="center"/>
          </w:tcPr>
          <w:p>
            <w:pPr>
              <w:widowControl w:val="0"/>
              <w:kinsoku w:val="0"/>
              <w:overflowPunct w:val="0"/>
              <w:autoSpaceDE w:val="0"/>
              <w:autoSpaceDN w:val="0"/>
              <w:adjustRightInd w:val="0"/>
              <w:snapToGrid w:val="0"/>
              <w:rPr>
                <w:bCs/>
                <w:sz w:val="18"/>
                <w:szCs w:val="18"/>
              </w:rPr>
            </w:pPr>
            <w:r>
              <w:rPr>
                <w:bCs/>
                <w:sz w:val="18"/>
                <w:szCs w:val="18"/>
              </w:rPr>
              <w:t>Barrier lake capacity (10</w:t>
            </w:r>
            <w:r>
              <w:rPr>
                <w:bCs/>
                <w:sz w:val="18"/>
                <w:szCs w:val="18"/>
                <w:vertAlign w:val="superscript"/>
              </w:rPr>
              <w:t>4</w:t>
            </w:r>
            <w:r>
              <w:rPr>
                <w:bCs/>
                <w:sz w:val="18"/>
                <w:szCs w:val="18"/>
              </w:rPr>
              <w:t xml:space="preserve"> m</w:t>
            </w:r>
            <w:r>
              <w:rPr>
                <w:bCs/>
                <w:sz w:val="18"/>
                <w:szCs w:val="18"/>
                <w:vertAlign w:val="superscript"/>
              </w:rPr>
              <w:t>3</w:t>
            </w:r>
            <w:r>
              <w:rPr>
                <w:bCs/>
                <w:sz w:val="18"/>
                <w:szCs w:val="18"/>
              </w:rPr>
              <w:t>)</w:t>
            </w:r>
          </w:p>
        </w:tc>
        <w:tc>
          <w:tcPr>
            <w:tcW w:w="337" w:type="pct"/>
            <w:shd w:val="clear" w:color="auto" w:fill="auto"/>
            <w:vAlign w:val="center"/>
          </w:tcPr>
          <w:p>
            <w:pPr>
              <w:widowControl w:val="0"/>
              <w:kinsoku w:val="0"/>
              <w:overflowPunct w:val="0"/>
              <w:autoSpaceDE w:val="0"/>
              <w:autoSpaceDN w:val="0"/>
              <w:adjustRightInd w:val="0"/>
              <w:snapToGrid w:val="0"/>
              <w:ind w:right="-103"/>
              <w:rPr>
                <w:bCs/>
                <w:sz w:val="18"/>
                <w:szCs w:val="18"/>
              </w:rPr>
            </w:pPr>
            <w:r>
              <w:rPr>
                <w:bCs/>
                <w:sz w:val="18"/>
                <w:szCs w:val="18"/>
              </w:rPr>
              <w:t>Peak discharge (m</w:t>
            </w:r>
            <w:r>
              <w:rPr>
                <w:bCs/>
                <w:sz w:val="18"/>
                <w:szCs w:val="18"/>
                <w:vertAlign w:val="superscript"/>
              </w:rPr>
              <w:t>3</w:t>
            </w:r>
            <w:r>
              <w:rPr>
                <w:bCs/>
                <w:sz w:val="18"/>
                <w:szCs w:val="18"/>
              </w:rPr>
              <w:t>/s)</w:t>
            </w:r>
          </w:p>
        </w:tc>
        <w:tc>
          <w:tcPr>
            <w:tcW w:w="535" w:type="pct"/>
            <w:shd w:val="clear" w:color="auto" w:fill="auto"/>
            <w:vAlign w:val="center"/>
          </w:tcPr>
          <w:p>
            <w:pPr>
              <w:widowControl w:val="0"/>
              <w:kinsoku w:val="0"/>
              <w:overflowPunct w:val="0"/>
              <w:autoSpaceDE w:val="0"/>
              <w:autoSpaceDN w:val="0"/>
              <w:adjustRightInd w:val="0"/>
              <w:snapToGrid w:val="0"/>
              <w:rPr>
                <w:bCs/>
                <w:sz w:val="18"/>
                <w:szCs w:val="18"/>
              </w:rPr>
            </w:pPr>
            <w:r>
              <w:rPr>
                <w:bCs/>
                <w:sz w:val="18"/>
                <w:szCs w:val="18"/>
              </w:rPr>
              <w:t>Trigger factor</w:t>
            </w:r>
          </w:p>
        </w:tc>
        <w:tc>
          <w:tcPr>
            <w:tcW w:w="360" w:type="pct"/>
            <w:shd w:val="clear" w:color="auto" w:fill="auto"/>
            <w:vAlign w:val="center"/>
          </w:tcPr>
          <w:p>
            <w:pPr>
              <w:widowControl w:val="0"/>
              <w:kinsoku w:val="0"/>
              <w:overflowPunct w:val="0"/>
              <w:autoSpaceDE w:val="0"/>
              <w:autoSpaceDN w:val="0"/>
              <w:adjustRightInd w:val="0"/>
              <w:snapToGrid w:val="0"/>
              <w:rPr>
                <w:bCs/>
                <w:sz w:val="18"/>
                <w:szCs w:val="18"/>
              </w:rPr>
            </w:pPr>
            <w:r>
              <w:rPr>
                <w:bCs/>
                <w:sz w:val="18"/>
                <w:szCs w:val="18"/>
              </w:rPr>
              <w:t>Reference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1</w:t>
            </w:r>
          </w:p>
        </w:tc>
        <w:tc>
          <w:tcPr>
            <w:tcW w:w="466" w:type="pct"/>
            <w:shd w:val="clear" w:color="auto" w:fill="auto"/>
            <w:vAlign w:val="center"/>
          </w:tcPr>
          <w:p>
            <w:pPr>
              <w:adjustRightInd w:val="0"/>
              <w:snapToGrid w:val="0"/>
              <w:rPr>
                <w:sz w:val="18"/>
                <w:szCs w:val="18"/>
              </w:rPr>
            </w:pPr>
            <w:r>
              <w:rPr>
                <w:sz w:val="18"/>
                <w:szCs w:val="18"/>
              </w:rPr>
              <w:t>Baige #1</w:t>
            </w:r>
          </w:p>
        </w:tc>
        <w:tc>
          <w:tcPr>
            <w:tcW w:w="492" w:type="pct"/>
            <w:shd w:val="clear" w:color="auto" w:fill="auto"/>
            <w:vAlign w:val="center"/>
          </w:tcPr>
          <w:p>
            <w:pPr>
              <w:adjustRightInd w:val="0"/>
              <w:snapToGrid w:val="0"/>
              <w:rPr>
                <w:sz w:val="18"/>
                <w:szCs w:val="18"/>
              </w:rPr>
            </w:pPr>
            <w:r>
              <w:rPr>
                <w:sz w:val="18"/>
                <w:szCs w:val="18"/>
              </w:rPr>
              <w:t>98°42'45.93" E</w:t>
            </w:r>
          </w:p>
        </w:tc>
        <w:tc>
          <w:tcPr>
            <w:tcW w:w="483" w:type="pct"/>
            <w:shd w:val="clear" w:color="auto" w:fill="auto"/>
            <w:vAlign w:val="center"/>
          </w:tcPr>
          <w:p>
            <w:pPr>
              <w:adjustRightInd w:val="0"/>
              <w:snapToGrid w:val="0"/>
              <w:rPr>
                <w:sz w:val="18"/>
                <w:szCs w:val="18"/>
              </w:rPr>
            </w:pPr>
            <w:r>
              <w:rPr>
                <w:sz w:val="18"/>
                <w:szCs w:val="18"/>
              </w:rPr>
              <w:t>31° 5'2.62" N</w:t>
            </w:r>
          </w:p>
        </w:tc>
        <w:tc>
          <w:tcPr>
            <w:tcW w:w="448" w:type="pct"/>
            <w:shd w:val="clear" w:color="auto" w:fill="auto"/>
            <w:vAlign w:val="center"/>
          </w:tcPr>
          <w:p>
            <w:pPr>
              <w:adjustRightInd w:val="0"/>
              <w:snapToGrid w:val="0"/>
              <w:rPr>
                <w:sz w:val="18"/>
                <w:szCs w:val="18"/>
              </w:rPr>
            </w:pPr>
            <w:r>
              <w:rPr>
                <w:sz w:val="18"/>
                <w:szCs w:val="18"/>
              </w:rPr>
              <w:t>2018.10.10; 22:06</w:t>
            </w:r>
          </w:p>
        </w:tc>
        <w:tc>
          <w:tcPr>
            <w:tcW w:w="337" w:type="pct"/>
            <w:shd w:val="clear" w:color="auto" w:fill="auto"/>
            <w:vAlign w:val="center"/>
          </w:tcPr>
          <w:p>
            <w:pPr>
              <w:adjustRightInd w:val="0"/>
              <w:snapToGrid w:val="0"/>
              <w:rPr>
                <w:sz w:val="18"/>
                <w:szCs w:val="18"/>
              </w:rPr>
            </w:pPr>
            <w:r>
              <w:rPr>
                <w:sz w:val="18"/>
                <w:szCs w:val="18"/>
              </w:rPr>
              <w:t>2.7 days</w:t>
            </w:r>
          </w:p>
        </w:tc>
        <w:tc>
          <w:tcPr>
            <w:tcW w:w="338" w:type="pct"/>
            <w:shd w:val="clear" w:color="auto" w:fill="auto"/>
            <w:vAlign w:val="center"/>
          </w:tcPr>
          <w:p>
            <w:pPr>
              <w:adjustRightInd w:val="0"/>
              <w:snapToGrid w:val="0"/>
              <w:rPr>
                <w:sz w:val="18"/>
                <w:szCs w:val="18"/>
              </w:rPr>
            </w:pPr>
            <w:r>
              <w:rPr>
                <w:sz w:val="18"/>
                <w:szCs w:val="18"/>
              </w:rPr>
              <w:t>2500</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61</w:t>
            </w:r>
          </w:p>
        </w:tc>
        <w:tc>
          <w:tcPr>
            <w:tcW w:w="400" w:type="pct"/>
            <w:shd w:val="clear" w:color="auto" w:fill="auto"/>
            <w:vAlign w:val="center"/>
          </w:tcPr>
          <w:p>
            <w:pPr>
              <w:adjustRightInd w:val="0"/>
              <w:snapToGrid w:val="0"/>
              <w:rPr>
                <w:sz w:val="18"/>
                <w:szCs w:val="18"/>
              </w:rPr>
            </w:pPr>
            <w:r>
              <w:rPr>
                <w:sz w:val="18"/>
                <w:szCs w:val="18"/>
              </w:rPr>
              <w:t>29000</w:t>
            </w:r>
          </w:p>
        </w:tc>
        <w:tc>
          <w:tcPr>
            <w:tcW w:w="337" w:type="pct"/>
            <w:shd w:val="clear" w:color="auto" w:fill="auto"/>
            <w:vAlign w:val="center"/>
          </w:tcPr>
          <w:p>
            <w:pPr>
              <w:adjustRightInd w:val="0"/>
              <w:snapToGrid w:val="0"/>
              <w:rPr>
                <w:sz w:val="18"/>
                <w:szCs w:val="18"/>
              </w:rPr>
            </w:pPr>
            <w:r>
              <w:rPr>
                <w:sz w:val="18"/>
                <w:szCs w:val="18"/>
              </w:rPr>
              <w:t>10000</w:t>
            </w:r>
          </w:p>
        </w:tc>
        <w:tc>
          <w:tcPr>
            <w:tcW w:w="535" w:type="pct"/>
            <w:shd w:val="clear" w:color="auto" w:fill="auto"/>
            <w:vAlign w:val="center"/>
          </w:tcPr>
          <w:p>
            <w:pPr>
              <w:adjustRightInd w:val="0"/>
              <w:snapToGrid w:val="0"/>
              <w:rPr>
                <w:sz w:val="18"/>
                <w:szCs w:val="18"/>
              </w:rPr>
            </w:pPr>
            <w:r>
              <w:rPr>
                <w:sz w:val="18"/>
                <w:szCs w:val="18"/>
              </w:rPr>
              <w:t>Strong fluvial incision; Rainwater infiltration and a long-term creep</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&lt;EndNote&gt;&lt;Cite&gt;&lt;Author&gt;Zhang&lt;/Author&gt;&lt;Year&gt;2019&lt;/Year&gt;&lt;RecNum&gt;390&lt;/RecNum&gt;&lt;DisplayText&gt;[8,9]&lt;/DisplayText&gt;&lt;record&gt;&lt;rec-number&gt;390&lt;/rec-number&gt;&lt;foreign-keys&gt;&lt;key app="EN" db-id="xs0d5swp49tasae5twvpwvdaazzfw0st09xd" timestamp="1663171760"&gt;390&lt;/key&gt;&lt;/foreign-keys&gt;&lt;ref-type name="Journal Article"&gt;17&lt;/ref-type&gt;&lt;contributors&gt;&lt;authors&gt;&lt;author&gt;Zhang, Li Min&lt;/author&gt;&lt;author&gt;Xiao, Te&lt;/author&gt;&lt;author&gt;He, Jian&lt;/author&gt;&lt;author&gt;Chen, Chen&lt;/author&gt;&lt;/authors&gt;&lt;/contributors&gt;&lt;titles&gt;&lt;title&gt;Erosion-based analysis of breaching of Baige landslide dams on the Jinsha River, China, in 2018&lt;/title&gt;&lt;secondary-title&gt;Landslides&lt;/secondary-title&gt;&lt;/titles&gt;&lt;periodical&gt;&lt;full-title&gt;Landslides&lt;/full-title&gt;&lt;/periodical&gt;&lt;pages&gt;1965-1979&lt;/pages&gt;&lt;volume&gt;16&lt;/volume&gt;&lt;number&gt;10&lt;/number&gt;&lt;dates&gt;&lt;year&gt;2019&lt;/year&gt;&lt;/dates&gt;&lt;isbn&gt;1612-5118&lt;/isbn&gt;&lt;urls&gt;&lt;/urls&gt;&lt;/record&gt;&lt;/Cite&gt;&lt;Cite&gt;&lt;Author&gt;Cai&lt;/Author&gt;&lt;Year&gt;2019&lt;/Year&gt;&lt;RecNum&gt;481&lt;/RecNum&gt;&lt;record&gt;&lt;rec-number&gt;481&lt;/rec-number&gt;&lt;foreign-keys&gt;&lt;key app="EN" db-id="xs0d5swp49tasae5twvpwvdaazzfw0st09xd" timestamp="1672663058"&gt;481&lt;/key&gt;&lt;/foreign-keys&gt;&lt;ref-type name="Journal Article"&gt;17&lt;/ref-type&gt;&lt;contributors&gt;&lt;authors&gt;&lt;author&gt;Cai, YJ&lt;/author&gt;&lt;author&gt;Luan, YS&lt;/author&gt;&lt;author&gt;Yang, QG&lt;/author&gt;&lt;author&gt;Xu, FX&lt;/author&gt;&lt;author&gt;Zhang, SJ&lt;/author&gt;&lt;author&gt;Shi, Y&lt;/author&gt;&lt;author&gt;Yi, DLZ&lt;/author&gt;&lt;/authors&gt;&lt;/contributors&gt;&lt;titles&gt;&lt;title&gt;Study on structural morphology and dam-break characteristics of Baige barrier dam on Jinsha River&lt;/title&gt;&lt;secondary-title&gt;Yangtze River&lt;/secondary-title&gt;&lt;/titles&gt;&lt;periodical&gt;&lt;full-title&gt;Yangtze River&lt;/full-title&gt;&lt;/periodical&gt;&lt;pages&gt;15-22&lt;/pages&gt;&lt;volume&gt;50&lt;/volume&gt;&lt;number&gt;3&lt;/number&gt;&lt;dates&gt;&lt;year&gt;2019&lt;/year&gt;&lt;/dates&gt;&lt;urls&gt;&lt;/urls&gt;&lt;language&gt;Chinese.&lt;/language&gt;&lt;/record&gt;&lt;/Cite&gt;&lt;/EndNote&gt;</w:instrText>
            </w:r>
            <w:r>
              <w:rPr>
                <w:sz w:val="18"/>
                <w:szCs w:val="18"/>
              </w:rPr>
              <w:fldChar w:fldCharType="separate"/>
            </w:r>
            <w:r>
              <w:rPr>
                <w:sz w:val="18"/>
                <w:szCs w:val="18"/>
              </w:rPr>
              <w:t>[8,9]</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2</w:t>
            </w:r>
          </w:p>
        </w:tc>
        <w:tc>
          <w:tcPr>
            <w:tcW w:w="466" w:type="pct"/>
            <w:shd w:val="clear" w:color="auto" w:fill="auto"/>
            <w:vAlign w:val="center"/>
          </w:tcPr>
          <w:p>
            <w:pPr>
              <w:adjustRightInd w:val="0"/>
              <w:snapToGrid w:val="0"/>
              <w:rPr>
                <w:sz w:val="18"/>
                <w:szCs w:val="18"/>
              </w:rPr>
            </w:pPr>
            <w:r>
              <w:rPr>
                <w:sz w:val="18"/>
                <w:szCs w:val="18"/>
              </w:rPr>
              <w:t>Baige #2</w:t>
            </w:r>
          </w:p>
        </w:tc>
        <w:tc>
          <w:tcPr>
            <w:tcW w:w="492" w:type="pct"/>
            <w:shd w:val="clear" w:color="auto" w:fill="auto"/>
            <w:vAlign w:val="center"/>
          </w:tcPr>
          <w:p>
            <w:pPr>
              <w:adjustRightInd w:val="0"/>
              <w:snapToGrid w:val="0"/>
              <w:rPr>
                <w:sz w:val="18"/>
                <w:szCs w:val="18"/>
              </w:rPr>
            </w:pPr>
            <w:r>
              <w:rPr>
                <w:sz w:val="18"/>
                <w:szCs w:val="18"/>
              </w:rPr>
              <w:t>98°42'45.93" E</w:t>
            </w:r>
          </w:p>
        </w:tc>
        <w:tc>
          <w:tcPr>
            <w:tcW w:w="483" w:type="pct"/>
            <w:shd w:val="clear" w:color="auto" w:fill="auto"/>
            <w:vAlign w:val="center"/>
          </w:tcPr>
          <w:p>
            <w:pPr>
              <w:adjustRightInd w:val="0"/>
              <w:snapToGrid w:val="0"/>
              <w:rPr>
                <w:sz w:val="18"/>
                <w:szCs w:val="18"/>
              </w:rPr>
            </w:pPr>
            <w:r>
              <w:rPr>
                <w:sz w:val="18"/>
                <w:szCs w:val="18"/>
              </w:rPr>
              <w:t>31° 5'2.62" N</w:t>
            </w:r>
          </w:p>
        </w:tc>
        <w:tc>
          <w:tcPr>
            <w:tcW w:w="448" w:type="pct"/>
            <w:shd w:val="clear" w:color="auto" w:fill="auto"/>
            <w:vAlign w:val="center"/>
          </w:tcPr>
          <w:p>
            <w:pPr>
              <w:adjustRightInd w:val="0"/>
              <w:snapToGrid w:val="0"/>
              <w:rPr>
                <w:sz w:val="18"/>
                <w:szCs w:val="18"/>
              </w:rPr>
            </w:pPr>
            <w:r>
              <w:rPr>
                <w:sz w:val="18"/>
                <w:szCs w:val="18"/>
              </w:rPr>
              <w:t>2018.11.03; 17:15</w:t>
            </w:r>
          </w:p>
        </w:tc>
        <w:tc>
          <w:tcPr>
            <w:tcW w:w="337" w:type="pct"/>
            <w:shd w:val="clear" w:color="auto" w:fill="auto"/>
            <w:vAlign w:val="center"/>
          </w:tcPr>
          <w:p>
            <w:pPr>
              <w:adjustRightInd w:val="0"/>
              <w:snapToGrid w:val="0"/>
              <w:rPr>
                <w:sz w:val="18"/>
                <w:szCs w:val="18"/>
              </w:rPr>
            </w:pPr>
            <w:r>
              <w:rPr>
                <w:sz w:val="18"/>
                <w:szCs w:val="18"/>
              </w:rPr>
              <w:t>10.6 days</w:t>
            </w:r>
          </w:p>
        </w:tc>
        <w:tc>
          <w:tcPr>
            <w:tcW w:w="338" w:type="pct"/>
            <w:shd w:val="clear" w:color="auto" w:fill="auto"/>
            <w:vAlign w:val="center"/>
          </w:tcPr>
          <w:p>
            <w:pPr>
              <w:adjustRightInd w:val="0"/>
              <w:snapToGrid w:val="0"/>
              <w:rPr>
                <w:sz w:val="18"/>
                <w:szCs w:val="18"/>
              </w:rPr>
            </w:pPr>
            <w:r>
              <w:rPr>
                <w:sz w:val="18"/>
                <w:szCs w:val="18"/>
              </w:rPr>
              <w:t>1100</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96</w:t>
            </w:r>
          </w:p>
        </w:tc>
        <w:tc>
          <w:tcPr>
            <w:tcW w:w="400" w:type="pct"/>
            <w:shd w:val="clear" w:color="auto" w:fill="auto"/>
            <w:vAlign w:val="center"/>
          </w:tcPr>
          <w:p>
            <w:pPr>
              <w:adjustRightInd w:val="0"/>
              <w:snapToGrid w:val="0"/>
              <w:rPr>
                <w:sz w:val="18"/>
                <w:szCs w:val="18"/>
              </w:rPr>
            </w:pPr>
            <w:r>
              <w:rPr>
                <w:sz w:val="18"/>
                <w:szCs w:val="18"/>
              </w:rPr>
              <w:t>75000 (reduced to 50000 with a 15-m deep diversion channel)</w:t>
            </w:r>
          </w:p>
        </w:tc>
        <w:tc>
          <w:tcPr>
            <w:tcW w:w="337" w:type="pct"/>
            <w:shd w:val="clear" w:color="auto" w:fill="auto"/>
            <w:vAlign w:val="center"/>
          </w:tcPr>
          <w:p>
            <w:pPr>
              <w:adjustRightInd w:val="0"/>
              <w:snapToGrid w:val="0"/>
              <w:rPr>
                <w:sz w:val="18"/>
                <w:szCs w:val="18"/>
              </w:rPr>
            </w:pPr>
            <w:r>
              <w:rPr>
                <w:sz w:val="18"/>
                <w:szCs w:val="18"/>
              </w:rPr>
              <w:t>33900</w:t>
            </w:r>
          </w:p>
        </w:tc>
        <w:tc>
          <w:tcPr>
            <w:tcW w:w="535" w:type="pct"/>
            <w:shd w:val="clear" w:color="auto" w:fill="auto"/>
            <w:vAlign w:val="center"/>
          </w:tcPr>
          <w:p>
            <w:pPr>
              <w:adjustRightInd w:val="0"/>
              <w:snapToGrid w:val="0"/>
              <w:rPr>
                <w:sz w:val="18"/>
                <w:szCs w:val="18"/>
              </w:rPr>
            </w:pP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&lt;EndNote&gt;&lt;Cite&gt;&lt;Author&gt;Zhang&lt;/Author&gt;&lt;Year&gt;2019&lt;/Year&gt;&lt;RecNum&gt;390&lt;/RecNum&gt;&lt;DisplayText&gt;[8]&lt;/DisplayText&gt;&lt;record&gt;&lt;rec-number&gt;390&lt;/rec-number&gt;&lt;foreign-keys&gt;&lt;key app="EN" db-id="xs0d5swp49tasae5twvpwvdaazzfw0st09xd" timestamp="1663171760"&gt;390&lt;/key&gt;&lt;/foreign-keys&gt;&lt;ref-type name="Journal Article"&gt;17&lt;/ref-type&gt;&lt;contributors&gt;&lt;authors&gt;&lt;author&gt;Zhang, Li Min&lt;/author&gt;&lt;author&gt;Xiao, Te&lt;/author&gt;&lt;author&gt;He, Jian&lt;/author&gt;&lt;author&gt;Chen, Chen&lt;/author&gt;&lt;/authors&gt;&lt;/contributors&gt;&lt;titles&gt;&lt;title&gt;Erosion-based analysis of breaching of Baige landslide dams on the Jinsha River, China, in 2018&lt;/title&gt;&lt;secondary-title&gt;Landslides&lt;/secondary-title&gt;&lt;/titles&gt;&lt;periodical&gt;&lt;full-title&gt;Landslides&lt;/full-title&gt;&lt;/periodical&gt;&lt;pages&gt;1965-1979&lt;/pages&gt;&lt;volume&gt;16&lt;/volume&gt;&lt;number&gt;10&lt;/number&gt;&lt;dates&gt;&lt;year&gt;2019&lt;/year&gt;&lt;/dates&gt;&lt;isbn&gt;1612-5118&lt;/isbn&gt;&lt;urls&gt;&lt;/urls&gt;&lt;/record&gt;&lt;/Cite&gt;&lt;/EndNote&gt;</w:instrText>
            </w:r>
            <w:r>
              <w:rPr>
                <w:sz w:val="18"/>
                <w:szCs w:val="18"/>
              </w:rPr>
              <w:fldChar w:fldCharType="separate"/>
            </w:r>
            <w:r>
              <w:rPr>
                <w:sz w:val="18"/>
                <w:szCs w:val="18"/>
              </w:rPr>
              <w:t>[8]</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3</w:t>
            </w:r>
          </w:p>
        </w:tc>
        <w:tc>
          <w:tcPr>
            <w:tcW w:w="466" w:type="pct"/>
            <w:shd w:val="clear" w:color="auto" w:fill="auto"/>
            <w:vAlign w:val="center"/>
          </w:tcPr>
          <w:p>
            <w:pPr>
              <w:adjustRightInd w:val="0"/>
              <w:snapToGrid w:val="0"/>
              <w:rPr>
                <w:sz w:val="18"/>
                <w:szCs w:val="18"/>
              </w:rPr>
            </w:pPr>
            <w:r>
              <w:rPr>
                <w:sz w:val="18"/>
                <w:szCs w:val="18"/>
              </w:rPr>
              <w:t>Temi</w:t>
            </w:r>
          </w:p>
        </w:tc>
        <w:tc>
          <w:tcPr>
            <w:tcW w:w="492" w:type="pct"/>
            <w:shd w:val="clear" w:color="auto" w:fill="auto"/>
            <w:vAlign w:val="center"/>
          </w:tcPr>
          <w:p>
            <w:pPr>
              <w:adjustRightInd w:val="0"/>
              <w:snapToGrid w:val="0"/>
              <w:rPr>
                <w:sz w:val="18"/>
                <w:szCs w:val="18"/>
              </w:rPr>
            </w:pPr>
            <w:r>
              <w:rPr>
                <w:sz w:val="18"/>
                <w:szCs w:val="18"/>
              </w:rPr>
              <w:t>99° 3'3.11" E</w:t>
            </w:r>
          </w:p>
        </w:tc>
        <w:tc>
          <w:tcPr>
            <w:tcW w:w="483" w:type="pct"/>
            <w:shd w:val="clear" w:color="auto" w:fill="auto"/>
            <w:vAlign w:val="center"/>
          </w:tcPr>
          <w:p>
            <w:pPr>
              <w:adjustRightInd w:val="0"/>
              <w:snapToGrid w:val="0"/>
              <w:rPr>
                <w:sz w:val="18"/>
                <w:szCs w:val="18"/>
              </w:rPr>
            </w:pPr>
            <w:r>
              <w:rPr>
                <w:sz w:val="18"/>
                <w:szCs w:val="18"/>
              </w:rPr>
              <w:t>29°58'30.48" N</w:t>
            </w:r>
          </w:p>
        </w:tc>
        <w:tc>
          <w:tcPr>
            <w:tcW w:w="448" w:type="pct"/>
            <w:shd w:val="clear" w:color="auto" w:fill="auto"/>
            <w:vAlign w:val="center"/>
          </w:tcPr>
          <w:p>
            <w:pPr>
              <w:adjustRightInd w:val="0"/>
              <w:snapToGrid w:val="0"/>
              <w:rPr>
                <w:sz w:val="18"/>
                <w:szCs w:val="18"/>
              </w:rPr>
            </w:pPr>
            <w:r>
              <w:rPr>
                <w:sz w:val="18"/>
                <w:szCs w:val="18"/>
              </w:rPr>
              <w:t>1.8 ka BP</w:t>
            </w:r>
          </w:p>
        </w:tc>
        <w:tc>
          <w:tcPr>
            <w:tcW w:w="337" w:type="pct"/>
            <w:shd w:val="clear" w:color="auto" w:fill="auto"/>
            <w:vAlign w:val="center"/>
          </w:tcPr>
          <w:p>
            <w:pPr>
              <w:adjustRightInd w:val="0"/>
              <w:snapToGrid w:val="0"/>
              <w:rPr>
                <w:sz w:val="18"/>
                <w:szCs w:val="18"/>
              </w:rPr>
            </w:pPr>
            <w:r>
              <w:rPr>
                <w:sz w:val="18"/>
                <w:szCs w:val="18"/>
              </w:rPr>
              <w:t>400 years</w:t>
            </w:r>
          </w:p>
        </w:tc>
        <w:tc>
          <w:tcPr>
            <w:tcW w:w="338" w:type="pct"/>
            <w:shd w:val="clear" w:color="auto" w:fill="auto"/>
            <w:vAlign w:val="center"/>
          </w:tcPr>
          <w:p>
            <w:pPr>
              <w:adjustRightInd w:val="0"/>
              <w:snapToGrid w:val="0"/>
              <w:rPr>
                <w:sz w:val="18"/>
                <w:szCs w:val="18"/>
              </w:rPr>
            </w:pPr>
            <w:r>
              <w:rPr>
                <w:sz w:val="18"/>
                <w:szCs w:val="18"/>
              </w:rPr>
              <w:t>3500</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173</w:t>
            </w:r>
          </w:p>
        </w:tc>
        <w:tc>
          <w:tcPr>
            <w:tcW w:w="400" w:type="pct"/>
            <w:shd w:val="clear" w:color="auto" w:fill="auto"/>
            <w:vAlign w:val="center"/>
          </w:tcPr>
          <w:p>
            <w:pPr>
              <w:adjustRightInd w:val="0"/>
              <w:snapToGrid w:val="0"/>
              <w:rPr>
                <w:sz w:val="18"/>
                <w:szCs w:val="18"/>
              </w:rPr>
            </w:pPr>
            <w:r>
              <w:rPr>
                <w:sz w:val="18"/>
                <w:szCs w:val="18"/>
              </w:rPr>
              <w:t>146000</w:t>
            </w:r>
          </w:p>
        </w:tc>
        <w:tc>
          <w:tcPr>
            <w:tcW w:w="337" w:type="pct"/>
            <w:shd w:val="clear" w:color="auto" w:fill="auto"/>
            <w:vAlign w:val="center"/>
          </w:tcPr>
          <w:p>
            <w:pPr>
              <w:adjustRightInd w:val="0"/>
              <w:snapToGrid w:val="0"/>
              <w:rPr>
                <w:sz w:val="18"/>
                <w:szCs w:val="18"/>
              </w:rPr>
            </w:pPr>
            <w:r>
              <w:rPr>
                <w:sz w:val="18"/>
                <w:szCs w:val="18"/>
              </w:rPr>
              <w:t>55858</w:t>
            </w:r>
          </w:p>
        </w:tc>
        <w:tc>
          <w:tcPr>
            <w:tcW w:w="535" w:type="pct"/>
            <w:shd w:val="clear" w:color="auto" w:fill="auto"/>
            <w:vAlign w:val="center"/>
          </w:tcPr>
          <w:p>
            <w:pPr>
              <w:adjustRightInd w:val="0"/>
              <w:snapToGrid w:val="0"/>
              <w:rPr>
                <w:sz w:val="18"/>
                <w:szCs w:val="18"/>
              </w:rPr>
            </w:pPr>
            <w:r>
              <w:rPr>
                <w:sz w:val="18"/>
                <w:szCs w:val="18"/>
              </w:rPr>
              <w:t>Earthquakes (near Xiongsong-Suwalong fault)</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&lt;EndNote&gt;&lt;Cite&gt;&lt;Author&gt;Chen&lt;/Author&gt;&lt;Year&gt;2021&lt;/Year&gt;&lt;RecNum&gt;457&lt;/RecNum&gt;&lt;DisplayText&gt;[10]&lt;/DisplayText&gt;&lt;record&gt;&lt;rec-number&gt;457&lt;/rec-number&gt;&lt;foreign-keys&gt;&lt;key app="EN" db-id="xs0d5swp49tasae5twvpwvdaazzfw0st09xd" timestamp="1668437726"&gt;457&lt;/key&gt;&lt;/foreign-keys&gt;&lt;ref-type name="Journal Article"&gt;17&lt;/ref-type&gt;&lt;contributors&gt;&lt;authors&gt;&lt;author&gt;Chen, Jian&lt;/author&gt;&lt;author&gt;Cui, Zhijiu&lt;/author&gt;&lt;author&gt;Chen, Ruichen&lt;/author&gt;&lt;author&gt;Zheng, Xinxin&lt;/author&gt;&lt;/authors&gt;&lt;/contributors&gt;&lt;titles&gt;&lt;title&gt;The origin and evolution of the Temi paleolandslide-dammed lake in the upper Jinsha River&lt;/title&gt;&lt;secondary-title&gt;Earth Science Frontiers&lt;/secondary-title&gt;&lt;/titles&gt;&lt;periodical&gt;&lt;full-title&gt;Earth Science Frontiers&lt;/full-title&gt;&lt;abbr-1&gt;Earth Sci. Front.&lt;/abbr-1&gt;&lt;/periodical&gt;&lt;pages&gt;85&lt;/pages&gt;&lt;volume&gt;28&lt;/volume&gt;&lt;number&gt;2&lt;/number&gt;&lt;dates&gt;&lt;year&gt;2021&lt;/year&gt;&lt;/dates&gt;&lt;isbn&gt;1005-2321&lt;/isbn&gt;&lt;urls&gt;&lt;/urls&gt;&lt;/record&gt;&lt;/Cite&gt;&lt;/EndNote&gt;</w:instrText>
            </w:r>
            <w:r>
              <w:rPr>
                <w:sz w:val="18"/>
                <w:szCs w:val="18"/>
              </w:rPr>
              <w:fldChar w:fldCharType="separate"/>
            </w:r>
            <w:r>
              <w:rPr>
                <w:sz w:val="18"/>
                <w:szCs w:val="18"/>
              </w:rPr>
              <w:t>[10]</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4</w:t>
            </w:r>
          </w:p>
        </w:tc>
        <w:tc>
          <w:tcPr>
            <w:tcW w:w="466" w:type="pct"/>
            <w:shd w:val="clear" w:color="auto" w:fill="auto"/>
            <w:vAlign w:val="center"/>
          </w:tcPr>
          <w:p>
            <w:pPr>
              <w:adjustRightInd w:val="0"/>
              <w:snapToGrid w:val="0"/>
              <w:rPr>
                <w:sz w:val="18"/>
                <w:szCs w:val="18"/>
              </w:rPr>
            </w:pPr>
            <w:r>
              <w:rPr>
                <w:sz w:val="18"/>
                <w:szCs w:val="18"/>
              </w:rPr>
              <w:t>Guanre</w:t>
            </w:r>
          </w:p>
        </w:tc>
        <w:tc>
          <w:tcPr>
            <w:tcW w:w="492" w:type="pct"/>
            <w:shd w:val="clear" w:color="auto" w:fill="auto"/>
            <w:vAlign w:val="center"/>
          </w:tcPr>
          <w:p>
            <w:pPr>
              <w:adjustRightInd w:val="0"/>
              <w:snapToGrid w:val="0"/>
              <w:rPr>
                <w:sz w:val="18"/>
                <w:szCs w:val="18"/>
              </w:rPr>
            </w:pPr>
            <w:r>
              <w:rPr>
                <w:sz w:val="18"/>
                <w:szCs w:val="18"/>
              </w:rPr>
              <w:t>99° 0'43.67" E</w:t>
            </w:r>
          </w:p>
        </w:tc>
        <w:tc>
          <w:tcPr>
            <w:tcW w:w="483" w:type="pct"/>
            <w:shd w:val="clear" w:color="auto" w:fill="auto"/>
            <w:vAlign w:val="center"/>
          </w:tcPr>
          <w:p>
            <w:pPr>
              <w:adjustRightInd w:val="0"/>
              <w:snapToGrid w:val="0"/>
              <w:rPr>
                <w:sz w:val="18"/>
                <w:szCs w:val="18"/>
              </w:rPr>
            </w:pPr>
            <w:r>
              <w:rPr>
                <w:sz w:val="18"/>
                <w:szCs w:val="18"/>
              </w:rPr>
              <w:t>29°37'36.12" N</w:t>
            </w:r>
          </w:p>
        </w:tc>
        <w:tc>
          <w:tcPr>
            <w:tcW w:w="448"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Earthquakes (near Xiongsong-Suwalong fault)</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&lt;EndNote&gt;&lt;Cite&gt;&lt;Author&gt;Chen&lt;/Author&gt;&lt;Year&gt;2013&lt;/Year&gt;&lt;RecNum&gt;393&lt;/RecNum&gt;&lt;DisplayText&gt;[2]&lt;/DisplayText&gt;&lt;record&gt;&lt;rec-number&gt;393&lt;/rec-number&gt;&lt;foreign-keys&gt;&lt;key app="EN" db-id="xs0d5swp49tasae5twvpwvdaazzfw0st09xd" timestamp="1663171891"&gt;393&lt;/key&gt;&lt;/foreign-keys&gt;&lt;ref-type name="Journal Article"&gt;17&lt;/ref-type&gt;&lt;contributors&gt;&lt;authors&gt;&lt;author&gt;Chen, Jian&lt;/author&gt;&lt;author&gt;Dai, Fuchu&lt;/author&gt;&lt;author&gt;Lv, Tongyan&lt;/author&gt;&lt;author&gt;Cui, Zhijiu&lt;/author&gt;&lt;/authors&gt;&lt;/contributors&gt;&lt;titles&gt;&lt;title&gt;Holocene landslide-dammed lake deposits in the Upper Jinsha River, SE Tibetan Plateau and their ages&lt;/title&gt;&lt;secondary-title&gt;Quaternary International&lt;/secondary-title&gt;&lt;/titles&gt;&lt;periodical&gt;&lt;full-title&gt;Quaternary International&lt;/full-title&gt;&lt;abbr-1&gt;Quatern. Int.&lt;/abbr-1&gt;&lt;/periodical&gt;&lt;pages&gt;107-113&lt;/pages&gt;&lt;volume&gt;298&lt;/volume&gt;&lt;dates&gt;&lt;year&gt;2013&lt;/year&gt;&lt;/dates&gt;&lt;isbn&gt;1040-6182&lt;/isbn&gt;&lt;urls&gt;&lt;/urls&gt;&lt;/record&gt;&lt;/Cite&gt;&lt;/EndNote&gt;</w:instrText>
            </w:r>
            <w:r>
              <w:rPr>
                <w:sz w:val="18"/>
                <w:szCs w:val="18"/>
              </w:rPr>
              <w:fldChar w:fldCharType="separate"/>
            </w:r>
            <w:r>
              <w:rPr>
                <w:sz w:val="18"/>
                <w:szCs w:val="18"/>
              </w:rPr>
              <w:t>[2]</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5</w:t>
            </w:r>
          </w:p>
        </w:tc>
        <w:tc>
          <w:tcPr>
            <w:tcW w:w="466" w:type="pct"/>
            <w:shd w:val="clear" w:color="auto" w:fill="auto"/>
            <w:vAlign w:val="center"/>
          </w:tcPr>
          <w:p>
            <w:pPr>
              <w:adjustRightInd w:val="0"/>
              <w:snapToGrid w:val="0"/>
              <w:rPr>
                <w:sz w:val="18"/>
                <w:szCs w:val="18"/>
              </w:rPr>
            </w:pPr>
            <w:r>
              <w:rPr>
                <w:sz w:val="18"/>
                <w:szCs w:val="18"/>
              </w:rPr>
              <w:t>Laoyi</w:t>
            </w:r>
          </w:p>
        </w:tc>
        <w:tc>
          <w:tcPr>
            <w:tcW w:w="492" w:type="pct"/>
            <w:shd w:val="clear" w:color="auto" w:fill="auto"/>
            <w:vAlign w:val="center"/>
          </w:tcPr>
          <w:p>
            <w:pPr>
              <w:adjustRightInd w:val="0"/>
              <w:snapToGrid w:val="0"/>
              <w:rPr>
                <w:sz w:val="18"/>
                <w:szCs w:val="18"/>
              </w:rPr>
            </w:pPr>
            <w:r>
              <w:rPr>
                <w:sz w:val="18"/>
                <w:szCs w:val="18"/>
              </w:rPr>
              <w:t>99° 1'36.17" E</w:t>
            </w:r>
          </w:p>
        </w:tc>
        <w:tc>
          <w:tcPr>
            <w:tcW w:w="483" w:type="pct"/>
            <w:shd w:val="clear" w:color="auto" w:fill="auto"/>
            <w:vAlign w:val="center"/>
          </w:tcPr>
          <w:p>
            <w:pPr>
              <w:adjustRightInd w:val="0"/>
              <w:snapToGrid w:val="0"/>
              <w:rPr>
                <w:sz w:val="18"/>
                <w:szCs w:val="18"/>
              </w:rPr>
            </w:pPr>
            <w:r>
              <w:rPr>
                <w:sz w:val="18"/>
                <w:szCs w:val="18"/>
              </w:rPr>
              <w:t>29°35'56.13" N</w:t>
            </w:r>
          </w:p>
        </w:tc>
        <w:tc>
          <w:tcPr>
            <w:tcW w:w="448"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Earthquakes (near Xiongsong-Suwalong fault)</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&lt;EndNote&gt;&lt;Cite&gt;&lt;Author&gt;Chen&lt;/Author&gt;&lt;Year&gt;2013&lt;/Year&gt;&lt;RecNum&gt;393&lt;/RecNum&gt;&lt;DisplayText&gt;[2]&lt;/DisplayText&gt;&lt;record&gt;&lt;rec-number&gt;393&lt;/rec-number&gt;&lt;foreign-keys&gt;&lt;key app="EN" db-id="xs0d5swp49tasae5twvpwvdaazzfw0st09xd" timestamp="1663171891"&gt;393&lt;/key&gt;&lt;/foreign-keys&gt;&lt;ref-type name="Journal Article"&gt;17&lt;/ref-type&gt;&lt;contributors&gt;&lt;authors&gt;&lt;author&gt;Chen, Jian&lt;/author&gt;&lt;author&gt;Dai, Fuchu&lt;/author&gt;&lt;author&gt;Lv, Tongyan&lt;/author&gt;&lt;author&gt;Cui, Zhijiu&lt;/author&gt;&lt;/authors&gt;&lt;/contributors&gt;&lt;titles&gt;&lt;title&gt;Holocene landslide-dammed lake deposits in the Upper Jinsha River, SE Tibetan Plateau and their ages&lt;/title&gt;&lt;secondary-title&gt;Quaternary International&lt;/secondary-title&gt;&lt;/titles&gt;&lt;periodical&gt;&lt;full-title&gt;Quaternary International&lt;/full-title&gt;&lt;abbr-1&gt;Quatern. Int.&lt;/abbr-1&gt;&lt;/periodical&gt;&lt;pages&gt;107-113&lt;/pages&gt;&lt;volume&gt;298&lt;/volume&gt;&lt;dates&gt;&lt;year&gt;2013&lt;/year&gt;&lt;/dates&gt;&lt;isbn&gt;1040-6182&lt;/isbn&gt;&lt;urls&gt;&lt;/urls&gt;&lt;/record&gt;&lt;/Cite&gt;&lt;/EndNote&gt;</w:instrText>
            </w:r>
            <w:r>
              <w:rPr>
                <w:sz w:val="18"/>
                <w:szCs w:val="18"/>
              </w:rPr>
              <w:fldChar w:fldCharType="separate"/>
            </w:r>
            <w:r>
              <w:rPr>
                <w:sz w:val="18"/>
                <w:szCs w:val="18"/>
              </w:rPr>
              <w:t>[2]</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191" w:type="pct"/>
            <w:shd w:val="clear" w:color="auto" w:fill="auto"/>
            <w:vAlign w:val="center"/>
          </w:tcPr>
          <w:p>
            <w:pPr>
              <w:adjustRightInd w:val="0"/>
              <w:snapToGrid w:val="0"/>
              <w:rPr>
                <w:sz w:val="18"/>
                <w:szCs w:val="18"/>
              </w:rPr>
            </w:pPr>
            <w:r>
              <w:rPr>
                <w:sz w:val="18"/>
                <w:szCs w:val="18"/>
              </w:rPr>
              <w:t>6</w:t>
            </w:r>
          </w:p>
        </w:tc>
        <w:tc>
          <w:tcPr>
            <w:tcW w:w="466" w:type="pct"/>
            <w:shd w:val="clear" w:color="auto" w:fill="auto"/>
            <w:vAlign w:val="center"/>
          </w:tcPr>
          <w:p>
            <w:pPr>
              <w:adjustRightInd w:val="0"/>
              <w:snapToGrid w:val="0"/>
              <w:rPr>
                <w:sz w:val="18"/>
                <w:szCs w:val="18"/>
              </w:rPr>
            </w:pPr>
            <w:r>
              <w:rPr>
                <w:sz w:val="18"/>
                <w:szCs w:val="18"/>
              </w:rPr>
              <w:t>Xuelongnang</w:t>
            </w:r>
          </w:p>
        </w:tc>
        <w:tc>
          <w:tcPr>
            <w:tcW w:w="492" w:type="pct"/>
            <w:shd w:val="clear" w:color="auto" w:fill="auto"/>
            <w:vAlign w:val="center"/>
          </w:tcPr>
          <w:p>
            <w:pPr>
              <w:adjustRightInd w:val="0"/>
              <w:snapToGrid w:val="0"/>
              <w:rPr>
                <w:sz w:val="18"/>
                <w:szCs w:val="18"/>
              </w:rPr>
            </w:pPr>
            <w:r>
              <w:rPr>
                <w:sz w:val="18"/>
                <w:szCs w:val="18"/>
              </w:rPr>
              <w:t>99° 3'16.78" E</w:t>
            </w:r>
          </w:p>
        </w:tc>
        <w:tc>
          <w:tcPr>
            <w:tcW w:w="483" w:type="pct"/>
            <w:shd w:val="clear" w:color="auto" w:fill="auto"/>
            <w:vAlign w:val="center"/>
          </w:tcPr>
          <w:p>
            <w:pPr>
              <w:adjustRightInd w:val="0"/>
              <w:snapToGrid w:val="0"/>
              <w:rPr>
                <w:sz w:val="18"/>
                <w:szCs w:val="18"/>
              </w:rPr>
            </w:pPr>
            <w:r>
              <w:rPr>
                <w:sz w:val="18"/>
                <w:szCs w:val="18"/>
              </w:rPr>
              <w:t>29°29'10.38" N</w:t>
            </w:r>
          </w:p>
        </w:tc>
        <w:tc>
          <w:tcPr>
            <w:tcW w:w="448" w:type="pct"/>
            <w:shd w:val="clear" w:color="auto" w:fill="auto"/>
            <w:vAlign w:val="center"/>
          </w:tcPr>
          <w:p>
            <w:pPr>
              <w:adjustRightInd w:val="0"/>
              <w:snapToGrid w:val="0"/>
              <w:rPr>
                <w:sz w:val="18"/>
                <w:szCs w:val="18"/>
              </w:rPr>
            </w:pPr>
            <w:r>
              <w:rPr>
                <w:sz w:val="18"/>
                <w:szCs w:val="18"/>
              </w:rPr>
              <w:t>1117 (time for dam breaching</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r>
              <w:rPr>
                <w:sz w:val="18"/>
                <w:szCs w:val="18"/>
              </w:rPr>
              <w:t>4100</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84</w:t>
            </w:r>
          </w:p>
        </w:tc>
        <w:tc>
          <w:tcPr>
            <w:tcW w:w="400" w:type="pct"/>
            <w:shd w:val="clear" w:color="auto" w:fill="auto"/>
            <w:vAlign w:val="center"/>
          </w:tcPr>
          <w:p>
            <w:pPr>
              <w:adjustRightInd w:val="0"/>
              <w:snapToGrid w:val="0"/>
              <w:rPr>
                <w:sz w:val="18"/>
                <w:szCs w:val="18"/>
              </w:rPr>
            </w:pPr>
            <w:r>
              <w:rPr>
                <w:sz w:val="18"/>
                <w:szCs w:val="18"/>
              </w:rPr>
              <w:t>31000</w:t>
            </w:r>
          </w:p>
        </w:tc>
        <w:tc>
          <w:tcPr>
            <w:tcW w:w="337" w:type="pct"/>
            <w:shd w:val="clear" w:color="auto" w:fill="auto"/>
            <w:vAlign w:val="center"/>
          </w:tcPr>
          <w:p>
            <w:pPr>
              <w:adjustRightInd w:val="0"/>
              <w:snapToGrid w:val="0"/>
              <w:rPr>
                <w:sz w:val="18"/>
                <w:szCs w:val="18"/>
              </w:rPr>
            </w:pPr>
            <w:r>
              <w:rPr>
                <w:sz w:val="18"/>
                <w:szCs w:val="18"/>
              </w:rPr>
              <w:t>10786</w:t>
            </w:r>
          </w:p>
        </w:tc>
        <w:tc>
          <w:tcPr>
            <w:tcW w:w="535" w:type="pct"/>
            <w:shd w:val="clear" w:color="auto" w:fill="auto"/>
            <w:vAlign w:val="center"/>
          </w:tcPr>
          <w:p>
            <w:pPr>
              <w:adjustRightInd w:val="0"/>
              <w:snapToGrid w:val="0"/>
              <w:rPr>
                <w:sz w:val="18"/>
                <w:szCs w:val="18"/>
              </w:rPr>
            </w:pPr>
            <w:r>
              <w:rPr>
                <w:sz w:val="18"/>
                <w:szCs w:val="18"/>
              </w:rPr>
              <w:t>Earthquakes (near Xiongsong-Suwalong fault)</w:t>
            </w:r>
          </w:p>
        </w:tc>
        <w:tc>
          <w:tcPr>
            <w:tcW w:w="360" w:type="pct"/>
            <w:shd w:val="clear" w:color="auto" w:fill="auto"/>
            <w:vAlign w:val="center"/>
          </w:tcPr>
          <w:p>
            <w:pPr>
              <w:adjustRightInd w:val="0"/>
              <w:snapToGrid w:val="0"/>
              <w:rPr>
                <w:sz w:val="18"/>
                <w:szCs w:val="18"/>
              </w:rPr>
            </w:pPr>
            <w:r>
              <w:rPr>
                <w:sz w:val="18"/>
                <w:szCs w:val="18"/>
              </w:rPr>
              <w:fldChar w:fldCharType="begin">
                <w:fldData xml:space="preserve">PEVuZE5vdGU+PENpdGU+PEF1dGhvcj5DaGVuPC9BdXRob3I+PFllYXI+MjAxNTwvWWVhcj48UmVj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</w:fldData>
              </w:fldChar>
            </w:r>
            <w:r>
              <w:rPr>
                <w:sz w:val="18"/>
                <w:szCs w:val="18"/>
              </w:rPr>
              <w:instrText xml:space="preserve"> ADDIN EN.CITE </w:instrText>
            </w:r>
            <w:r>
              <w:rPr>
                <w:sz w:val="18"/>
                <w:szCs w:val="18"/>
              </w:rPr>
              <w:fldChar w:fldCharType="begin">
                <w:fldData xml:space="preserve">PEVuZE5vdGU+PENpdGU+PEF1dGhvcj5DaGVuPC9BdXRob3I+PFllYXI+MjAxNTwvWWVhcj48UmVj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</w:fldData>
              </w:fldChar>
            </w:r>
            <w:r>
              <w:rPr>
                <w:sz w:val="18"/>
                <w:szCs w:val="18"/>
              </w:rPr>
              <w:instrText xml:space="preserve"> ADDIN EN.CITE.DATA </w:instrText>
            </w:r>
            <w:r>
              <w:rPr>
                <w:sz w:val="18"/>
                <w:szCs w:val="18"/>
              </w:rPr>
              <w:fldChar w:fldCharType="end"/>
            </w:r>
            <w:r>
              <w:rPr>
                <w:sz w:val="18"/>
                <w:szCs w:val="18"/>
              </w:rPr>
              <w:fldChar w:fldCharType="separate"/>
            </w:r>
            <w:r>
              <w:rPr>
                <w:sz w:val="18"/>
                <w:szCs w:val="18"/>
              </w:rPr>
              <w:t>[11-13]</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7</w:t>
            </w:r>
          </w:p>
        </w:tc>
        <w:tc>
          <w:tcPr>
            <w:tcW w:w="466" w:type="pct"/>
            <w:shd w:val="clear" w:color="auto" w:fill="auto"/>
            <w:vAlign w:val="center"/>
          </w:tcPr>
          <w:p>
            <w:pPr>
              <w:adjustRightInd w:val="0"/>
              <w:snapToGrid w:val="0"/>
              <w:rPr>
                <w:sz w:val="18"/>
                <w:szCs w:val="18"/>
              </w:rPr>
            </w:pPr>
            <w:r>
              <w:rPr>
                <w:sz w:val="18"/>
                <w:szCs w:val="18"/>
              </w:rPr>
              <w:t>Suoduoxi</w:t>
            </w:r>
          </w:p>
        </w:tc>
        <w:tc>
          <w:tcPr>
            <w:tcW w:w="492" w:type="pct"/>
            <w:shd w:val="clear" w:color="auto" w:fill="auto"/>
            <w:vAlign w:val="center"/>
          </w:tcPr>
          <w:p>
            <w:pPr>
              <w:adjustRightInd w:val="0"/>
              <w:snapToGrid w:val="0"/>
              <w:rPr>
                <w:sz w:val="18"/>
                <w:szCs w:val="18"/>
              </w:rPr>
            </w:pPr>
            <w:r>
              <w:rPr>
                <w:sz w:val="18"/>
                <w:szCs w:val="18"/>
              </w:rPr>
              <w:t>99° 3'42.09" E</w:t>
            </w:r>
          </w:p>
        </w:tc>
        <w:tc>
          <w:tcPr>
            <w:tcW w:w="483" w:type="pct"/>
            <w:shd w:val="clear" w:color="auto" w:fill="auto"/>
            <w:vAlign w:val="center"/>
          </w:tcPr>
          <w:p>
            <w:pPr>
              <w:adjustRightInd w:val="0"/>
              <w:snapToGrid w:val="0"/>
              <w:rPr>
                <w:sz w:val="18"/>
                <w:szCs w:val="18"/>
              </w:rPr>
            </w:pPr>
            <w:r>
              <w:rPr>
                <w:sz w:val="18"/>
                <w:szCs w:val="18"/>
              </w:rPr>
              <w:t>29°27'6.76" N</w:t>
            </w:r>
          </w:p>
        </w:tc>
        <w:tc>
          <w:tcPr>
            <w:tcW w:w="448" w:type="pct"/>
            <w:shd w:val="clear" w:color="auto" w:fill="auto"/>
            <w:vAlign w:val="center"/>
          </w:tcPr>
          <w:p>
            <w:pPr>
              <w:adjustRightInd w:val="0"/>
              <w:snapToGrid w:val="0"/>
              <w:rPr>
                <w:sz w:val="18"/>
                <w:szCs w:val="18"/>
              </w:rPr>
            </w:pPr>
            <w:r>
              <w:rPr>
                <w:sz w:val="18"/>
                <w:szCs w:val="18"/>
              </w:rPr>
              <w:t>6.3 ka BP</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p>
        </w:tc>
        <w:tc>
          <w:tcPr>
            <w:tcW w:w="351" w:type="pct"/>
            <w:shd w:val="clear" w:color="auto" w:fill="auto"/>
            <w:vAlign w:val="center"/>
          </w:tcPr>
          <w:p>
            <w:pPr>
              <w:adjustRightInd w:val="0"/>
              <w:snapToGrid w:val="0"/>
              <w:rPr>
                <w:sz w:val="18"/>
                <w:szCs w:val="18"/>
              </w:rPr>
            </w:pPr>
            <w:r>
              <w:rPr>
                <w:sz w:val="18"/>
                <w:szCs w:val="18"/>
              </w:rPr>
              <w:t>6200</w:t>
            </w:r>
          </w:p>
        </w:tc>
        <w:tc>
          <w:tcPr>
            <w:tcW w:w="262" w:type="pct"/>
            <w:shd w:val="clear" w:color="auto" w:fill="auto"/>
            <w:vAlign w:val="center"/>
          </w:tcPr>
          <w:p>
            <w:pPr>
              <w:adjustRightInd w:val="0"/>
              <w:snapToGrid w:val="0"/>
              <w:rPr>
                <w:sz w:val="18"/>
                <w:szCs w:val="18"/>
              </w:rPr>
            </w:pPr>
            <w:r>
              <w:rPr>
                <w:sz w:val="18"/>
                <w:szCs w:val="18"/>
              </w:rPr>
              <w:t>59</w:t>
            </w:r>
          </w:p>
        </w:tc>
        <w:tc>
          <w:tcPr>
            <w:tcW w:w="400" w:type="pct"/>
            <w:shd w:val="clear" w:color="auto" w:fill="auto"/>
            <w:vAlign w:val="center"/>
          </w:tcPr>
          <w:p>
            <w:pPr>
              <w:adjustRightInd w:val="0"/>
              <w:snapToGrid w:val="0"/>
              <w:rPr>
                <w:sz w:val="18"/>
                <w:szCs w:val="18"/>
              </w:rPr>
            </w:pPr>
            <w:r>
              <w:rPr>
                <w:sz w:val="18"/>
                <w:szCs w:val="18"/>
              </w:rPr>
              <w:t>19000</w:t>
            </w:r>
          </w:p>
        </w:tc>
        <w:tc>
          <w:tcPr>
            <w:tcW w:w="337" w:type="pct"/>
            <w:shd w:val="clear" w:color="auto" w:fill="auto"/>
            <w:vAlign w:val="center"/>
          </w:tcPr>
          <w:p>
            <w:pPr>
              <w:adjustRightInd w:val="0"/>
              <w:snapToGrid w:val="0"/>
              <w:rPr>
                <w:sz w:val="18"/>
                <w:szCs w:val="18"/>
              </w:rPr>
            </w:pPr>
            <w:r>
              <w:rPr>
                <w:sz w:val="18"/>
                <w:szCs w:val="18"/>
              </w:rPr>
              <w:t>14003</w:t>
            </w:r>
          </w:p>
        </w:tc>
        <w:tc>
          <w:tcPr>
            <w:tcW w:w="535" w:type="pct"/>
            <w:shd w:val="clear" w:color="auto" w:fill="auto"/>
            <w:vAlign w:val="center"/>
          </w:tcPr>
          <w:p>
            <w:pPr>
              <w:adjustRightInd w:val="0"/>
              <w:snapToGrid w:val="0"/>
              <w:rPr>
                <w:sz w:val="18"/>
                <w:szCs w:val="18"/>
              </w:rPr>
            </w:pPr>
            <w:r>
              <w:rPr>
                <w:sz w:val="18"/>
                <w:szCs w:val="18"/>
              </w:rPr>
              <w:t>Earthquakes (near Xiongsong-Suwalong fault)</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&lt;EndNote&gt;&lt;Cite&gt;&lt;Author&gt;Li&lt;/Author&gt;&lt;Year&gt;2020&lt;/Year&gt;&lt;RecNum&gt;459&lt;/RecNum&gt;&lt;DisplayText&gt;[12,13]&lt;/DisplayText&gt;&lt;record&gt;&lt;rec-number&gt;459&lt;/rec-number&gt;&lt;foreign-keys&gt;&lt;key app="EN" db-id="xs0d5swp49tasae5twvpwvdaazzfw0st09xd" timestamp="1668438180"&gt;459&lt;/key&gt;&lt;/foreign-keys&gt;&lt;ref-type name="Journal Article"&gt;17&lt;/ref-type&gt;&lt;contributors&gt;&lt;authors&gt;&lt;author&gt;Li, Yongchao&lt;/author&gt;&lt;author&gt;Chen, Jianping&lt;/author&gt;&lt;author&gt;Zhou, Fujun&lt;/author&gt;&lt;author&gt;Song, Shengyuan&lt;/author&gt;&lt;author&gt;Zhang, Yiwei&lt;/author&gt;&lt;author&gt;Gu, Feifan&lt;/author&gt;&lt;author&gt;Cao, Chen&lt;/author&gt;&lt;/authors&gt;&lt;/contributors&gt;&lt;titles&gt;&lt;title&gt;Identification of ancient river-blocking events and analysis of the mechanisms for the formation of landslide dams in the Suwalong section of the upper Jinsha River, SE Tibetan Plateau&lt;/title&gt;&lt;secondary-title&gt;Geomorphology&lt;/secondary-title&gt;&lt;/titles&gt;&lt;periodical&gt;&lt;full-title&gt;Geomorphology&lt;/full-title&gt;&lt;/periodical&gt;&lt;pages&gt;107351&lt;/pages&gt;&lt;volume&gt;368&lt;/volume&gt;&lt;dates&gt;&lt;year&gt;2020&lt;/year&gt;&lt;/dates&gt;&lt;isbn&gt;0169-555X&lt;/isbn&gt;&lt;urls&gt;&lt;/urls&gt;&lt;/record&gt;&lt;/Cite&gt;&lt;Cite&gt;&lt;Author&gt;Li&lt;/Author&gt;&lt;Year&gt;2021&lt;/Year&gt;&lt;RecNum&gt;461&lt;/RecNum&gt;&lt;record&gt;&lt;rec-number&gt;461&lt;/rec-number&gt;&lt;foreign-keys&gt;&lt;key app="EN" db-id="xs0d5swp49tasae5twvpwvdaazzfw0st09xd" timestamp="1668438685"&gt;461&lt;/key&gt;&lt;/foreign-keys&gt;&lt;ref-type name="Thesis"&gt;32&lt;/ref-type&gt;&lt;contributors&gt;&lt;authors&gt;&lt;author&gt;Li, Yongchao&lt;/author&gt;&lt;/authors&gt;&lt;/contributors&gt;&lt;titles&gt;&lt;title&gt;Identification and evolution of the paleo-landslide dam events in the Suwalong reach of the upper Jinsha River&lt;/title&gt;&lt;/titles&gt;&lt;dates&gt;&lt;year&gt;2021&lt;/year&gt;&lt;/dates&gt;&lt;publisher&gt;Jilin University&lt;/publisher&gt;&lt;work-type&gt;PhD dissertation&lt;/work-type&gt;&lt;urls&gt;&lt;/urls&gt;&lt;language&gt;Chinese.&lt;/language&gt;&lt;/record&gt;&lt;/Cite&gt;&lt;/EndNote&gt;</w:instrText>
            </w:r>
            <w:r>
              <w:rPr>
                <w:sz w:val="18"/>
                <w:szCs w:val="18"/>
              </w:rPr>
              <w:fldChar w:fldCharType="separate"/>
            </w:r>
            <w:r>
              <w:rPr>
                <w:sz w:val="18"/>
                <w:szCs w:val="18"/>
              </w:rPr>
              <w:t>[12,13]</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191" w:type="pct"/>
            <w:shd w:val="clear" w:color="auto" w:fill="auto"/>
            <w:vAlign w:val="center"/>
          </w:tcPr>
          <w:p>
            <w:pPr>
              <w:adjustRightInd w:val="0"/>
              <w:snapToGrid w:val="0"/>
              <w:rPr>
                <w:sz w:val="18"/>
                <w:szCs w:val="18"/>
              </w:rPr>
            </w:pPr>
            <w:r>
              <w:rPr>
                <w:sz w:val="18"/>
                <w:szCs w:val="18"/>
              </w:rPr>
              <w:t>8</w:t>
            </w:r>
          </w:p>
        </w:tc>
        <w:tc>
          <w:tcPr>
            <w:tcW w:w="466" w:type="pct"/>
            <w:shd w:val="clear" w:color="auto" w:fill="auto"/>
            <w:vAlign w:val="center"/>
          </w:tcPr>
          <w:p>
            <w:pPr>
              <w:adjustRightInd w:val="0"/>
              <w:snapToGrid w:val="0"/>
              <w:rPr>
                <w:sz w:val="18"/>
                <w:szCs w:val="18"/>
              </w:rPr>
            </w:pPr>
            <w:r>
              <w:rPr>
                <w:sz w:val="18"/>
                <w:szCs w:val="18"/>
              </w:rPr>
              <w:t>Suwalong 1#</w:t>
            </w:r>
          </w:p>
        </w:tc>
        <w:tc>
          <w:tcPr>
            <w:tcW w:w="492" w:type="pct"/>
            <w:shd w:val="clear" w:color="auto" w:fill="auto"/>
            <w:vAlign w:val="center"/>
          </w:tcPr>
          <w:p>
            <w:pPr>
              <w:adjustRightInd w:val="0"/>
              <w:snapToGrid w:val="0"/>
              <w:rPr>
                <w:sz w:val="18"/>
                <w:szCs w:val="18"/>
              </w:rPr>
            </w:pPr>
            <w:r>
              <w:rPr>
                <w:sz w:val="18"/>
                <w:szCs w:val="18"/>
              </w:rPr>
              <w:t>99°04'5.17" E</w:t>
            </w:r>
          </w:p>
        </w:tc>
        <w:tc>
          <w:tcPr>
            <w:tcW w:w="483" w:type="pct"/>
            <w:shd w:val="clear" w:color="auto" w:fill="auto"/>
            <w:vAlign w:val="center"/>
          </w:tcPr>
          <w:p>
            <w:pPr>
              <w:adjustRightInd w:val="0"/>
              <w:snapToGrid w:val="0"/>
              <w:rPr>
                <w:sz w:val="18"/>
                <w:szCs w:val="18"/>
              </w:rPr>
            </w:pPr>
            <w:r>
              <w:rPr>
                <w:sz w:val="18"/>
                <w:szCs w:val="18"/>
              </w:rPr>
              <w:t>29°25'34.97" N</w:t>
            </w:r>
          </w:p>
        </w:tc>
        <w:tc>
          <w:tcPr>
            <w:tcW w:w="448" w:type="pct"/>
            <w:shd w:val="clear" w:color="auto" w:fill="auto"/>
            <w:vAlign w:val="center"/>
          </w:tcPr>
          <w:p>
            <w:pPr>
              <w:adjustRightInd w:val="0"/>
              <w:snapToGrid w:val="0"/>
              <w:rPr>
                <w:sz w:val="18"/>
                <w:szCs w:val="18"/>
              </w:rPr>
            </w:pPr>
            <w:r>
              <w:rPr>
                <w:sz w:val="18"/>
                <w:szCs w:val="18"/>
              </w:rPr>
              <w:t>1997.12.01</w:t>
            </w:r>
          </w:p>
        </w:tc>
        <w:tc>
          <w:tcPr>
            <w:tcW w:w="337" w:type="pct"/>
            <w:shd w:val="clear" w:color="auto" w:fill="auto"/>
            <w:vAlign w:val="center"/>
          </w:tcPr>
          <w:p>
            <w:pPr>
              <w:adjustRightInd w:val="0"/>
              <w:snapToGrid w:val="0"/>
              <w:rPr>
                <w:sz w:val="18"/>
                <w:szCs w:val="18"/>
              </w:rPr>
            </w:pPr>
            <w:r>
              <w:rPr>
                <w:sz w:val="18"/>
                <w:szCs w:val="18"/>
              </w:rPr>
              <w:t>4 mins</w:t>
            </w:r>
          </w:p>
        </w:tc>
        <w:tc>
          <w:tcPr>
            <w:tcW w:w="338" w:type="pct"/>
            <w:shd w:val="clear" w:color="auto" w:fill="auto"/>
            <w:vAlign w:val="center"/>
          </w:tcPr>
          <w:p>
            <w:pPr>
              <w:adjustRightInd w:val="0"/>
              <w:snapToGrid w:val="0"/>
              <w:rPr>
                <w:sz w:val="18"/>
                <w:szCs w:val="18"/>
              </w:rPr>
            </w:pPr>
          </w:p>
        </w:tc>
        <w:tc>
          <w:tcPr>
            <w:tcW w:w="351" w:type="pct"/>
            <w:shd w:val="clear" w:color="auto" w:fill="auto"/>
            <w:vAlign w:val="center"/>
          </w:tcPr>
          <w:p>
            <w:pPr>
              <w:adjustRightInd w:val="0"/>
              <w:snapToGrid w:val="0"/>
              <w:rPr>
                <w:sz w:val="18"/>
                <w:szCs w:val="18"/>
              </w:rPr>
            </w:pPr>
            <w:r>
              <w:rPr>
                <w:sz w:val="18"/>
                <w:szCs w:val="18"/>
              </w:rPr>
              <w:t>25</w:t>
            </w:r>
          </w:p>
        </w:tc>
        <w:tc>
          <w:tcPr>
            <w:tcW w:w="262" w:type="pct"/>
            <w:shd w:val="clear" w:color="auto" w:fill="auto"/>
            <w:vAlign w:val="center"/>
          </w:tcPr>
          <w:p>
            <w:pPr>
              <w:adjustRightInd w:val="0"/>
              <w:snapToGrid w:val="0"/>
              <w:rPr>
                <w:sz w:val="18"/>
                <w:szCs w:val="18"/>
              </w:rPr>
            </w:pP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Earthquake</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&lt;EndNote&gt;&lt;Cite&gt;&lt;Author&gt;Cai&lt;/Author&gt;&lt;Year&gt;2021&lt;/Year&gt;&lt;RecNum&gt;444&lt;/RecNum&gt;&lt;DisplayText&gt;[14,15]&lt;/DisplayText&gt;&lt;record&gt;&lt;rec-number&gt;444&lt;/rec-number&gt;&lt;foreign-keys&gt;&lt;key app="EN" db-id="xs0d5swp49tasae5twvpwvdaazzfw0st09xd" timestamp="1665984815"&gt;444&lt;/key&gt;&lt;/foreign-keys&gt;&lt;ref-type name="Book"&gt;6&lt;/ref-type&gt;&lt;contributors&gt;&lt;authors&gt;&lt;author&gt;Cai, Yaojun&lt;/author&gt;&lt;author&gt;Luan, Yuesheng&lt;/author&gt;&lt;author&gt;Peng, Wenxiang&lt;/author&gt;&lt;author&gt;Li, Jianqing&lt;/author&gt;&lt;author&gt;Xu, Yi&lt;/author&gt;&lt;/authors&gt;&lt;/contributors&gt;&lt;titles&gt;&lt;title&gt;Analysis on typical cases of barrier lake: causes, disaster and emergency response&lt;/title&gt;&lt;/titles&gt;&lt;pages&gt;318&lt;/pages&gt;&lt;dates&gt;&lt;year&gt;2021&lt;/year&gt;&lt;/dates&gt;&lt;pub-location&gt;Wuhan&lt;/pub-location&gt;&lt;publisher&gt;Changjiang Press&lt;/publisher&gt;&lt;urls&gt;&lt;/urls&gt;&lt;language&gt;Chinese.&lt;/language&gt;&lt;/record&gt;&lt;/Cite&gt;&lt;Cite&gt;&lt;Author&gt;Liu&lt;/Author&gt;&lt;Year&gt;2019&lt;/Year&gt;&lt;RecNum&gt;389&lt;/RecNum&gt;&lt;record&gt;&lt;rec-number&gt;389&lt;/rec-number&gt;&lt;foreign-keys&gt;&lt;key app="EN" db-id="xs0d5swp49tasae5twvpwvdaazzfw0st09xd" timestamp="1663171734"&gt;389&lt;/key&gt;&lt;/foreign-keys&gt;&lt;ref-type name="Journal Article"&gt;17&lt;/ref-type&gt;&lt;contributors&gt;&lt;authors&gt;&lt;author&gt;Liu, Weiming&lt;/author&gt;&lt;author&gt;Carling, Paul A&lt;/author&gt;&lt;author&gt;Hu, Kaiheng&lt;/author&gt;&lt;author&gt;Wang, Hao&lt;/author&gt;&lt;author&gt;Zhou, Zhen&lt;/author&gt;&lt;author&gt;Zhou, Liqin&lt;/author&gt;&lt;author&gt;Liu, Dingzhu&lt;/author&gt;&lt;author&gt;Lai, Zhongping&lt;/author&gt;&lt;author&gt;Zhang, Xinbao&lt;/author&gt;&lt;/authors&gt;&lt;/contributors&gt;&lt;titles&gt;&lt;title&gt;Outburst floods in China: A review&lt;/title&gt;&lt;secondary-title&gt;Earth-Science Reviews&lt;/secondary-title&gt;&lt;/titles&gt;&lt;periodical&gt;&lt;full-title&gt;Earth-Science Reviews&lt;/full-title&gt;&lt;abbr-1&gt;Earth Sci. Rev.&lt;/abbr-1&gt;&lt;/periodical&gt;&lt;pages&gt;102895&lt;/pages&gt;&lt;volume&gt;197&lt;/volume&gt;&lt;dates&gt;&lt;year&gt;2019&lt;/year&gt;&lt;/dates&gt;&lt;isbn&gt;0012-8252&lt;/isbn&gt;&lt;urls&gt;&lt;/urls&gt;&lt;/record&gt;&lt;/Cite&gt;&lt;/EndNote&gt;</w:instrText>
            </w:r>
            <w:r>
              <w:rPr>
                <w:sz w:val="18"/>
                <w:szCs w:val="18"/>
              </w:rPr>
              <w:fldChar w:fldCharType="separate"/>
            </w:r>
            <w:r>
              <w:rPr>
                <w:sz w:val="18"/>
                <w:szCs w:val="18"/>
              </w:rPr>
              <w:t>[14,15]</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191" w:type="pct"/>
            <w:shd w:val="clear" w:color="auto" w:fill="auto"/>
            <w:vAlign w:val="center"/>
          </w:tcPr>
          <w:p>
            <w:pPr>
              <w:adjustRightInd w:val="0"/>
              <w:snapToGrid w:val="0"/>
              <w:rPr>
                <w:sz w:val="18"/>
                <w:szCs w:val="18"/>
              </w:rPr>
            </w:pPr>
            <w:r>
              <w:rPr>
                <w:sz w:val="18"/>
                <w:szCs w:val="18"/>
              </w:rPr>
              <w:t>9</w:t>
            </w:r>
          </w:p>
        </w:tc>
        <w:tc>
          <w:tcPr>
            <w:tcW w:w="466" w:type="pct"/>
            <w:shd w:val="clear" w:color="auto" w:fill="auto"/>
            <w:vAlign w:val="center"/>
          </w:tcPr>
          <w:p>
            <w:pPr>
              <w:adjustRightInd w:val="0"/>
              <w:snapToGrid w:val="0"/>
              <w:rPr>
                <w:sz w:val="18"/>
                <w:szCs w:val="18"/>
              </w:rPr>
            </w:pPr>
            <w:r>
              <w:rPr>
                <w:sz w:val="18"/>
                <w:szCs w:val="18"/>
              </w:rPr>
              <w:t>Suwalong 2#</w:t>
            </w:r>
          </w:p>
        </w:tc>
        <w:tc>
          <w:tcPr>
            <w:tcW w:w="492" w:type="pct"/>
            <w:shd w:val="clear" w:color="auto" w:fill="auto"/>
            <w:vAlign w:val="center"/>
          </w:tcPr>
          <w:p>
            <w:pPr>
              <w:adjustRightInd w:val="0"/>
              <w:snapToGrid w:val="0"/>
              <w:rPr>
                <w:sz w:val="18"/>
                <w:szCs w:val="18"/>
              </w:rPr>
            </w:pPr>
            <w:r>
              <w:rPr>
                <w:sz w:val="18"/>
                <w:szCs w:val="18"/>
              </w:rPr>
              <w:t>99° 4'2.38" E</w:t>
            </w:r>
          </w:p>
        </w:tc>
        <w:tc>
          <w:tcPr>
            <w:tcW w:w="483" w:type="pct"/>
            <w:shd w:val="clear" w:color="auto" w:fill="auto"/>
            <w:vAlign w:val="center"/>
          </w:tcPr>
          <w:p>
            <w:pPr>
              <w:adjustRightInd w:val="0"/>
              <w:snapToGrid w:val="0"/>
              <w:rPr>
                <w:sz w:val="18"/>
                <w:szCs w:val="18"/>
              </w:rPr>
            </w:pPr>
            <w:r>
              <w:rPr>
                <w:sz w:val="18"/>
                <w:szCs w:val="18"/>
              </w:rPr>
              <w:t>29°25'28.27" N</w:t>
            </w:r>
          </w:p>
        </w:tc>
        <w:tc>
          <w:tcPr>
            <w:tcW w:w="448" w:type="pct"/>
            <w:shd w:val="clear" w:color="auto" w:fill="auto"/>
            <w:vAlign w:val="center"/>
          </w:tcPr>
          <w:p>
            <w:pPr>
              <w:adjustRightInd w:val="0"/>
              <w:snapToGrid w:val="0"/>
              <w:rPr>
                <w:sz w:val="18"/>
                <w:szCs w:val="18"/>
              </w:rPr>
            </w:pPr>
            <w:r>
              <w:rPr>
                <w:sz w:val="18"/>
                <w:szCs w:val="18"/>
              </w:rPr>
              <w:t>1.355 ka BP</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r>
              <w:rPr>
                <w:sz w:val="18"/>
                <w:szCs w:val="18"/>
              </w:rPr>
              <w:t>216</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35</w:t>
            </w: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A paleoearthquake or combination of paleoearthquake and rainfall events</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&lt;EndNote&gt;&lt;Cite&gt;&lt;Author&gt;Wang&lt;/Author&gt;&lt;Year&gt;2014&lt;/Year&gt;&lt;RecNum&gt;421&lt;/RecNum&gt;&lt;DisplayText&gt;[16,17]&lt;/DisplayText&gt;&lt;record&gt;&lt;rec-number&gt;421&lt;/rec-number&gt;&lt;foreign-keys&gt;&lt;key app="EN" db-id="xs0d5swp49tasae5twvpwvdaazzfw0st09xd" timestamp="1665976962"&gt;421&lt;/key&gt;&lt;/foreign-keys&gt;&lt;ref-type name="Journal Article"&gt;17&lt;/ref-type&gt;&lt;contributors&gt;&lt;authors&gt;&lt;author&gt;Wang, Pengfei&lt;/author&gt;&lt;author&gt;Chen, Jian&lt;/author&gt;&lt;author&gt;Dai, Fuchu&lt;/author&gt;&lt;author&gt;Long, Wei&lt;/author&gt;&lt;author&gt;Xu, Chong&lt;/author&gt;&lt;author&gt;Sun, Jimin&lt;/author&gt;&lt;author&gt;Cui, Zhijiu&lt;/author&gt;&lt;/authors&gt;&lt;/contributors&gt;&lt;titles&gt;&lt;title&gt;Chronology of relict lake deposits around the Suwalong paleolandslide in the upper Jinsha River, SE Tibetan Plateau: Implications to Holocene tectonic perturbations&lt;/title&gt;&lt;secondary-title&gt;Geomorphology&lt;/secondary-title&gt;&lt;/titles&gt;&lt;periodical&gt;&lt;full-title&gt;Geomorphology&lt;/full-title&gt;&lt;/periodical&gt;&lt;pages&gt;193-203&lt;/pages&gt;&lt;volume&gt;217&lt;/volume&gt;&lt;dates&gt;&lt;year&gt;2014&lt;/year&gt;&lt;/dates&gt;&lt;isbn&gt;0169-555X&lt;/isbn&gt;&lt;urls&gt;&lt;/urls&gt;&lt;/record&gt;&lt;/Cite&gt;&lt;Cite&gt;&lt;Author&gt;Gao&lt;/Author&gt;&lt;Year&gt;2020&lt;/Year&gt;&lt;RecNum&gt;426&lt;/RecNum&gt;&lt;record&gt;&lt;rec-number&gt;426&lt;/rec-number&gt;&lt;foreign-keys&gt;&lt;key app="EN" db-id="xs0d5swp49tasae5twvpwvdaazzfw0st09xd" timestamp="1665977155"&gt;426&lt;/key&gt;&lt;/foreign-keys&gt;&lt;ref-type name="Journal Article"&gt;17&lt;/ref-type&gt;&lt;contributors&gt;&lt;authors&gt;&lt;author&gt;Gao, Y&lt;/author&gt;&lt;author&gt;Zhao, S&lt;/author&gt;&lt;author&gt;Deng, J&lt;/author&gt;&lt;/authors&gt;&lt;/contributors&gt;&lt;titles&gt;&lt;title&gt;Developing law of damming landslide and challenges for disaster prevention and mitigation in the Three-river-parallel Territory in the Tibetan Plateau&lt;/title&gt;&lt;secondary-title&gt;Advanced Engineering Sciences&lt;/secondary-title&gt;&lt;/titles&gt;&lt;periodical&gt;&lt;full-title&gt;Advanced Engineering Sciences&lt;/full-title&gt;&lt;abbr-1&gt;Adv. Eng. Sci.&lt;/abbr-1&gt;&lt;/periodical&gt;&lt;pages&gt;50-61&lt;/pages&gt;&lt;volume&gt;52&lt;/volume&gt;&lt;number&gt;5&lt;/number&gt;&lt;dates&gt;&lt;year&gt;2020&lt;/year&gt;&lt;/dates&gt;&lt;urls&gt;&lt;/urls&gt;&lt;language&gt;Chinese.&lt;/language&gt;&lt;/record&gt;&lt;/Cite&gt;&lt;/EndNote&gt;</w:instrText>
            </w:r>
            <w:r>
              <w:rPr>
                <w:sz w:val="18"/>
                <w:szCs w:val="18"/>
              </w:rPr>
              <w:fldChar w:fldCharType="separate"/>
            </w:r>
            <w:r>
              <w:rPr>
                <w:sz w:val="18"/>
                <w:szCs w:val="18"/>
              </w:rPr>
              <w:t>[16,17]</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10</w:t>
            </w:r>
          </w:p>
        </w:tc>
        <w:tc>
          <w:tcPr>
            <w:tcW w:w="466" w:type="pct"/>
            <w:shd w:val="clear" w:color="auto" w:fill="auto"/>
            <w:vAlign w:val="center"/>
          </w:tcPr>
          <w:p>
            <w:pPr>
              <w:adjustRightInd w:val="0"/>
              <w:snapToGrid w:val="0"/>
              <w:rPr>
                <w:sz w:val="18"/>
                <w:szCs w:val="18"/>
              </w:rPr>
            </w:pPr>
            <w:r>
              <w:rPr>
                <w:sz w:val="18"/>
                <w:szCs w:val="18"/>
              </w:rPr>
              <w:t>Rongcharong</w:t>
            </w:r>
          </w:p>
        </w:tc>
        <w:tc>
          <w:tcPr>
            <w:tcW w:w="492" w:type="pct"/>
            <w:shd w:val="clear" w:color="auto" w:fill="auto"/>
            <w:vAlign w:val="center"/>
          </w:tcPr>
          <w:p>
            <w:pPr>
              <w:adjustRightInd w:val="0"/>
              <w:snapToGrid w:val="0"/>
              <w:rPr>
                <w:sz w:val="18"/>
                <w:szCs w:val="18"/>
              </w:rPr>
            </w:pPr>
            <w:r>
              <w:rPr>
                <w:sz w:val="18"/>
                <w:szCs w:val="18"/>
              </w:rPr>
              <w:t>99° 3'56.01" E</w:t>
            </w:r>
          </w:p>
        </w:tc>
        <w:tc>
          <w:tcPr>
            <w:tcW w:w="483" w:type="pct"/>
            <w:shd w:val="clear" w:color="auto" w:fill="auto"/>
            <w:vAlign w:val="center"/>
          </w:tcPr>
          <w:p>
            <w:pPr>
              <w:adjustRightInd w:val="0"/>
              <w:snapToGrid w:val="0"/>
              <w:rPr>
                <w:sz w:val="18"/>
                <w:szCs w:val="18"/>
              </w:rPr>
            </w:pPr>
            <w:r>
              <w:rPr>
                <w:sz w:val="18"/>
                <w:szCs w:val="18"/>
              </w:rPr>
              <w:t>29°21'36.00" N</w:t>
            </w:r>
          </w:p>
        </w:tc>
        <w:tc>
          <w:tcPr>
            <w:tcW w:w="448"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p>
        </w:tc>
        <w:tc>
          <w:tcPr>
            <w:tcW w:w="351" w:type="pct"/>
            <w:shd w:val="clear" w:color="auto" w:fill="auto"/>
            <w:vAlign w:val="center"/>
          </w:tcPr>
          <w:p>
            <w:pPr>
              <w:adjustRightInd w:val="0"/>
              <w:snapToGrid w:val="0"/>
              <w:rPr>
                <w:sz w:val="18"/>
                <w:szCs w:val="18"/>
              </w:rPr>
            </w:pPr>
            <w:r>
              <w:rPr>
                <w:sz w:val="18"/>
                <w:szCs w:val="18"/>
              </w:rPr>
              <w:t>2200</w:t>
            </w:r>
          </w:p>
        </w:tc>
        <w:tc>
          <w:tcPr>
            <w:tcW w:w="262" w:type="pct"/>
            <w:shd w:val="clear" w:color="auto" w:fill="auto"/>
            <w:vAlign w:val="center"/>
          </w:tcPr>
          <w:p>
            <w:pPr>
              <w:adjustRightInd w:val="0"/>
              <w:snapToGrid w:val="0"/>
              <w:rPr>
                <w:sz w:val="18"/>
                <w:szCs w:val="18"/>
              </w:rPr>
            </w:pPr>
            <w:r>
              <w:rPr>
                <w:sz w:val="18"/>
                <w:szCs w:val="18"/>
              </w:rPr>
              <w:t>107</w:t>
            </w:r>
          </w:p>
        </w:tc>
        <w:tc>
          <w:tcPr>
            <w:tcW w:w="400" w:type="pct"/>
            <w:shd w:val="clear" w:color="auto" w:fill="auto"/>
            <w:vAlign w:val="center"/>
          </w:tcPr>
          <w:p>
            <w:pPr>
              <w:adjustRightInd w:val="0"/>
              <w:snapToGrid w:val="0"/>
              <w:rPr>
                <w:sz w:val="18"/>
                <w:szCs w:val="18"/>
              </w:rPr>
            </w:pPr>
            <w:r>
              <w:rPr>
                <w:sz w:val="18"/>
                <w:szCs w:val="18"/>
              </w:rPr>
              <w:t>81800</w:t>
            </w:r>
          </w:p>
        </w:tc>
        <w:tc>
          <w:tcPr>
            <w:tcW w:w="337" w:type="pct"/>
            <w:shd w:val="clear" w:color="auto" w:fill="auto"/>
            <w:vAlign w:val="center"/>
          </w:tcPr>
          <w:p>
            <w:pPr>
              <w:adjustRightInd w:val="0"/>
              <w:snapToGrid w:val="0"/>
              <w:rPr>
                <w:sz w:val="18"/>
                <w:szCs w:val="18"/>
              </w:rPr>
            </w:pPr>
            <w:r>
              <w:rPr>
                <w:sz w:val="18"/>
                <w:szCs w:val="18"/>
              </w:rPr>
              <w:t>41195</w:t>
            </w:r>
          </w:p>
        </w:tc>
        <w:tc>
          <w:tcPr>
            <w:tcW w:w="535" w:type="pct"/>
            <w:shd w:val="clear" w:color="auto" w:fill="auto"/>
            <w:vAlign w:val="center"/>
          </w:tcPr>
          <w:p>
            <w:pPr>
              <w:adjustRightInd w:val="0"/>
              <w:snapToGrid w:val="0"/>
              <w:rPr>
                <w:sz w:val="18"/>
                <w:szCs w:val="18"/>
              </w:rPr>
            </w:pPr>
            <w:r>
              <w:rPr>
                <w:sz w:val="18"/>
                <w:szCs w:val="18"/>
              </w:rPr>
              <w:t>Earthquakes (near Xiongsong-Suwalong fault)</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&lt;EndNote&gt;&lt;Cite&gt;&lt;Author&gt;Li&lt;/Author&gt;&lt;Year&gt;2020&lt;/Year&gt;&lt;RecNum&gt;459&lt;/RecNum&gt;&lt;DisplayText&gt;[12,13]&lt;/DisplayText&gt;&lt;record&gt;&lt;rec-number&gt;459&lt;/rec-number&gt;&lt;foreign-keys&gt;&lt;key app="EN" db-id="xs0d5swp49tasae5twvpwvdaazzfw0st09xd" timestamp="1668438180"&gt;459&lt;/key&gt;&lt;/foreign-keys&gt;&lt;ref-type name="Journal Article"&gt;17&lt;/ref-type&gt;&lt;contributors&gt;&lt;authors&gt;&lt;author&gt;Li, Yongchao&lt;/author&gt;&lt;author&gt;Chen, Jianping&lt;/author&gt;&lt;author&gt;Zhou, Fujun&lt;/author&gt;&lt;author&gt;Song, Shengyuan&lt;/author&gt;&lt;author&gt;Zhang, Yiwei&lt;/author&gt;&lt;author&gt;Gu, Feifan&lt;/author&gt;&lt;author&gt;Cao, Chen&lt;/author&gt;&lt;/authors&gt;&lt;/contributors&gt;&lt;titles&gt;&lt;title&gt;Identification of ancient river-blocking events and analysis of the mechanisms for the formation of landslide dams in the Suwalong section of the upper Jinsha River, SE Tibetan Plateau&lt;/title&gt;&lt;secondary-title&gt;Geomorphology&lt;/secondary-title&gt;&lt;/titles&gt;&lt;periodical&gt;&lt;full-title&gt;Geomorphology&lt;/full-title&gt;&lt;/periodical&gt;&lt;pages&gt;107351&lt;/pages&gt;&lt;volume&gt;368&lt;/volume&gt;&lt;dates&gt;&lt;year&gt;2020&lt;/year&gt;&lt;/dates&gt;&lt;isbn&gt;0169-555X&lt;/isbn&gt;&lt;urls&gt;&lt;/urls&gt;&lt;/record&gt;&lt;/Cite&gt;&lt;Cite&gt;&lt;Author&gt;Li&lt;/Author&gt;&lt;Year&gt;2021&lt;/Year&gt;&lt;RecNum&gt;461&lt;/RecNum&gt;&lt;record&gt;&lt;rec-number&gt;461&lt;/rec-number&gt;&lt;foreign-keys&gt;&lt;key app="EN" db-id="xs0d5swp49tasae5twvpwvdaazzfw0st09xd" timestamp="1668438685"&gt;461&lt;/key&gt;&lt;/foreign-keys&gt;&lt;ref-type name="Thesis"&gt;32&lt;/ref-type&gt;&lt;contributors&gt;&lt;authors&gt;&lt;author&gt;Li, Yongchao&lt;/author&gt;&lt;/authors&gt;&lt;/contributors&gt;&lt;titles&gt;&lt;title&gt;Identification and evolution of the paleo-landslide dam events in the Suwalong reach of the upper Jinsha River&lt;/title&gt;&lt;/titles&gt;&lt;dates&gt;&lt;year&gt;2021&lt;/year&gt;&lt;/dates&gt;&lt;publisher&gt;Jilin University&lt;/publisher&gt;&lt;work-type&gt;PhD dissertation&lt;/work-type&gt;&lt;urls&gt;&lt;/urls&gt;&lt;language&gt;Chinese.&lt;/language&gt;&lt;/record&gt;&lt;/Cite&gt;&lt;/EndNote&gt;</w:instrText>
            </w:r>
            <w:r>
              <w:rPr>
                <w:sz w:val="18"/>
                <w:szCs w:val="18"/>
              </w:rPr>
              <w:fldChar w:fldCharType="separate"/>
            </w:r>
            <w:r>
              <w:rPr>
                <w:sz w:val="18"/>
                <w:szCs w:val="18"/>
              </w:rPr>
              <w:t>[12,13]</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191" w:type="pct"/>
            <w:shd w:val="clear" w:color="auto" w:fill="auto"/>
            <w:vAlign w:val="center"/>
          </w:tcPr>
          <w:p>
            <w:pPr>
              <w:adjustRightInd w:val="0"/>
              <w:snapToGrid w:val="0"/>
              <w:rPr>
                <w:sz w:val="18"/>
                <w:szCs w:val="18"/>
              </w:rPr>
            </w:pPr>
            <w:r>
              <w:rPr>
                <w:sz w:val="18"/>
                <w:szCs w:val="18"/>
              </w:rPr>
              <w:t>11</w:t>
            </w:r>
          </w:p>
        </w:tc>
        <w:tc>
          <w:tcPr>
            <w:tcW w:w="466" w:type="pct"/>
            <w:shd w:val="clear" w:color="auto" w:fill="auto"/>
            <w:vAlign w:val="center"/>
          </w:tcPr>
          <w:p>
            <w:pPr>
              <w:adjustRightInd w:val="0"/>
              <w:snapToGrid w:val="0"/>
              <w:rPr>
                <w:sz w:val="18"/>
                <w:szCs w:val="18"/>
              </w:rPr>
            </w:pPr>
            <w:r>
              <w:rPr>
                <w:sz w:val="18"/>
                <w:szCs w:val="18"/>
              </w:rPr>
              <w:t>Wangdalong</w:t>
            </w:r>
          </w:p>
        </w:tc>
        <w:tc>
          <w:tcPr>
            <w:tcW w:w="492" w:type="pct"/>
            <w:shd w:val="clear" w:color="auto" w:fill="auto"/>
            <w:vAlign w:val="center"/>
          </w:tcPr>
          <w:p>
            <w:pPr>
              <w:adjustRightInd w:val="0"/>
              <w:snapToGrid w:val="0"/>
              <w:rPr>
                <w:sz w:val="18"/>
                <w:szCs w:val="18"/>
              </w:rPr>
            </w:pPr>
            <w:r>
              <w:rPr>
                <w:sz w:val="18"/>
                <w:szCs w:val="18"/>
              </w:rPr>
              <w:t>99° 4'12.24" E</w:t>
            </w:r>
          </w:p>
        </w:tc>
        <w:tc>
          <w:tcPr>
            <w:tcW w:w="483" w:type="pct"/>
            <w:shd w:val="clear" w:color="auto" w:fill="auto"/>
            <w:vAlign w:val="center"/>
          </w:tcPr>
          <w:p>
            <w:pPr>
              <w:adjustRightInd w:val="0"/>
              <w:snapToGrid w:val="0"/>
              <w:rPr>
                <w:sz w:val="18"/>
                <w:szCs w:val="18"/>
              </w:rPr>
            </w:pPr>
            <w:r>
              <w:rPr>
                <w:sz w:val="18"/>
                <w:szCs w:val="18"/>
              </w:rPr>
              <w:t>29°19'41.90" N</w:t>
            </w:r>
          </w:p>
        </w:tc>
        <w:tc>
          <w:tcPr>
            <w:tcW w:w="448"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r>
              <w:rPr>
                <w:sz w:val="18"/>
                <w:szCs w:val="18"/>
              </w:rPr>
              <w:t>6000</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137</w:t>
            </w:r>
          </w:p>
        </w:tc>
        <w:tc>
          <w:tcPr>
            <w:tcW w:w="400" w:type="pct"/>
            <w:shd w:val="clear" w:color="auto" w:fill="auto"/>
            <w:vAlign w:val="center"/>
          </w:tcPr>
          <w:p>
            <w:pPr>
              <w:adjustRightInd w:val="0"/>
              <w:snapToGrid w:val="0"/>
              <w:rPr>
                <w:sz w:val="18"/>
                <w:szCs w:val="18"/>
              </w:rPr>
            </w:pPr>
            <w:r>
              <w:rPr>
                <w:sz w:val="18"/>
                <w:szCs w:val="18"/>
              </w:rPr>
              <w:t>121900</w:t>
            </w:r>
          </w:p>
        </w:tc>
        <w:tc>
          <w:tcPr>
            <w:tcW w:w="337" w:type="pct"/>
            <w:shd w:val="clear" w:color="auto" w:fill="auto"/>
            <w:vAlign w:val="center"/>
          </w:tcPr>
          <w:p>
            <w:pPr>
              <w:adjustRightInd w:val="0"/>
              <w:snapToGrid w:val="0"/>
              <w:rPr>
                <w:sz w:val="18"/>
                <w:szCs w:val="18"/>
              </w:rPr>
            </w:pPr>
            <w:r>
              <w:rPr>
                <w:sz w:val="18"/>
                <w:szCs w:val="18"/>
              </w:rPr>
              <w:t>51685</w:t>
            </w:r>
          </w:p>
        </w:tc>
        <w:tc>
          <w:tcPr>
            <w:tcW w:w="535" w:type="pct"/>
            <w:shd w:val="clear" w:color="auto" w:fill="auto"/>
            <w:vAlign w:val="center"/>
          </w:tcPr>
          <w:p>
            <w:pPr>
              <w:adjustRightInd w:val="0"/>
              <w:snapToGrid w:val="0"/>
              <w:rPr>
                <w:sz w:val="18"/>
                <w:szCs w:val="18"/>
              </w:rPr>
            </w:pPr>
            <w:r>
              <w:rPr>
                <w:sz w:val="18"/>
                <w:szCs w:val="18"/>
              </w:rPr>
              <w:t>Earthquakes (near Xiongsong-Suwalong fault)</w:t>
            </w:r>
          </w:p>
        </w:tc>
        <w:tc>
          <w:tcPr>
            <w:tcW w:w="360" w:type="pct"/>
            <w:shd w:val="clear" w:color="auto" w:fill="auto"/>
            <w:vAlign w:val="center"/>
          </w:tcPr>
          <w:p>
            <w:pPr>
              <w:adjustRightInd w:val="0"/>
              <w:snapToGrid w:val="0"/>
              <w:rPr>
                <w:sz w:val="18"/>
                <w:szCs w:val="18"/>
              </w:rPr>
            </w:pPr>
            <w:r>
              <w:rPr>
                <w:sz w:val="18"/>
                <w:szCs w:val="18"/>
              </w:rPr>
              <w:fldChar w:fldCharType="begin">
                <w:fldData xml:space="preserve">PEVuZE5vdGU+PENpdGU+PEF1dGhvcj5MaTwvQXV0aG9yPjxZZWFyPjIwMjA8L1llYXI+PFJlY051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</w:fldData>
              </w:fldChar>
            </w:r>
            <w:r>
              <w:rPr>
                <w:sz w:val="18"/>
                <w:szCs w:val="18"/>
              </w:rPr>
              <w:instrText xml:space="preserve"> ADDIN EN.CITE </w:instrText>
            </w:r>
            <w:r>
              <w:rPr>
                <w:sz w:val="18"/>
                <w:szCs w:val="18"/>
              </w:rPr>
              <w:fldChar w:fldCharType="begin">
                <w:fldData xml:space="preserve">PEVuZE5vdGU+PENpdGU+PEF1dGhvcj5MaTwvQXV0aG9yPjxZZWFyPjIwMjA8L1llYXI+PFJlY051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</w:fldData>
              </w:fldChar>
            </w:r>
            <w:r>
              <w:rPr>
                <w:sz w:val="18"/>
                <w:szCs w:val="18"/>
              </w:rPr>
              <w:instrText xml:space="preserve"> ADDIN EN.CITE.DATA </w:instrText>
            </w:r>
            <w:r>
              <w:rPr>
                <w:sz w:val="18"/>
                <w:szCs w:val="18"/>
              </w:rPr>
              <w:fldChar w:fldCharType="end"/>
            </w:r>
            <w:r>
              <w:rPr>
                <w:sz w:val="18"/>
                <w:szCs w:val="18"/>
              </w:rPr>
              <w:fldChar w:fldCharType="separate"/>
            </w:r>
            <w:r>
              <w:rPr>
                <w:sz w:val="18"/>
                <w:szCs w:val="18"/>
              </w:rPr>
              <w:t>[12,13,18]</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12</w:t>
            </w:r>
          </w:p>
        </w:tc>
        <w:tc>
          <w:tcPr>
            <w:tcW w:w="466" w:type="pct"/>
            <w:shd w:val="clear" w:color="auto" w:fill="auto"/>
            <w:vAlign w:val="center"/>
          </w:tcPr>
          <w:p>
            <w:pPr>
              <w:adjustRightInd w:val="0"/>
              <w:snapToGrid w:val="0"/>
              <w:rPr>
                <w:sz w:val="18"/>
                <w:szCs w:val="18"/>
              </w:rPr>
            </w:pPr>
            <w:r>
              <w:rPr>
                <w:sz w:val="18"/>
                <w:szCs w:val="18"/>
              </w:rPr>
              <w:t>Samaoding</w:t>
            </w:r>
          </w:p>
        </w:tc>
        <w:tc>
          <w:tcPr>
            <w:tcW w:w="492" w:type="pct"/>
            <w:shd w:val="clear" w:color="auto" w:fill="auto"/>
            <w:vAlign w:val="center"/>
          </w:tcPr>
          <w:p>
            <w:pPr>
              <w:adjustRightInd w:val="0"/>
              <w:snapToGrid w:val="0"/>
              <w:rPr>
                <w:sz w:val="18"/>
                <w:szCs w:val="18"/>
              </w:rPr>
            </w:pPr>
            <w:r>
              <w:rPr>
                <w:sz w:val="18"/>
                <w:szCs w:val="18"/>
              </w:rPr>
              <w:t>99° 8'3.44" E</w:t>
            </w:r>
          </w:p>
        </w:tc>
        <w:tc>
          <w:tcPr>
            <w:tcW w:w="483" w:type="pct"/>
            <w:shd w:val="clear" w:color="auto" w:fill="auto"/>
            <w:vAlign w:val="center"/>
          </w:tcPr>
          <w:p>
            <w:pPr>
              <w:adjustRightInd w:val="0"/>
              <w:snapToGrid w:val="0"/>
              <w:rPr>
                <w:sz w:val="18"/>
                <w:szCs w:val="18"/>
              </w:rPr>
            </w:pPr>
            <w:r>
              <w:rPr>
                <w:sz w:val="18"/>
                <w:szCs w:val="18"/>
              </w:rPr>
              <w:t>28°43'51.30" N</w:t>
            </w:r>
          </w:p>
        </w:tc>
        <w:tc>
          <w:tcPr>
            <w:tcW w:w="448" w:type="pct"/>
            <w:shd w:val="clear" w:color="auto" w:fill="auto"/>
            <w:vAlign w:val="center"/>
          </w:tcPr>
          <w:p>
            <w:pPr>
              <w:adjustRightInd w:val="0"/>
              <w:snapToGrid w:val="0"/>
              <w:rPr>
                <w:sz w:val="18"/>
                <w:szCs w:val="18"/>
              </w:rPr>
            </w:pPr>
            <w:r>
              <w:rPr>
                <w:sz w:val="18"/>
                <w:szCs w:val="18"/>
              </w:rPr>
              <w:t>10.6 ± 0.5 ka BP</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r>
              <w:rPr>
                <w:sz w:val="18"/>
                <w:szCs w:val="18"/>
              </w:rPr>
              <w:t>3300</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200</w:t>
            </w: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&lt;EndNote&gt;&lt;Cite&gt;&lt;Author&gt;Bao&lt;/Author&gt;&lt;Year&gt;2020&lt;/Year&gt;&lt;RecNum&gt;462&lt;/RecNum&gt;&lt;DisplayText&gt;[19,20]&lt;/DisplayText&gt;&lt;record&gt;&lt;rec-number&gt;462&lt;/rec-number&gt;&lt;foreign-keys&gt;&lt;key app="EN" db-id="xs0d5swp49tasae5twvpwvdaazzfw0st09xd" timestamp="1668438824"&gt;462&lt;/key&gt;&lt;/foreign-keys&gt;&lt;ref-type name="Journal Article"&gt;17&lt;/ref-type&gt;&lt;contributors&gt;&lt;authors&gt;&lt;author&gt;Bao, Yiding&lt;/author&gt;&lt;author&gt;Zhai, Shijie&lt;/author&gt;&lt;author&gt;Chen, Jianping&lt;/author&gt;&lt;author&gt;Xu, Peihua&lt;/author&gt;&lt;author&gt;Sun, Xiaohui&lt;/author&gt;&lt;author&gt;Zhan, Jiewei&lt;/author&gt;&lt;author&gt;Zhang, Wen&lt;/author&gt;&lt;author&gt;Zhou, Xin&lt;/author&gt;&lt;/authors&gt;&lt;/contributors&gt;&lt;titles&gt;&lt;title&gt;The evolution of the Samaoding paleolandslide river blocking event at the upstream reaches of the Jinsha River, Tibetan Plateau&lt;/title&gt;&lt;secondary-title&gt;Geomorphology&lt;/secondary-title&gt;&lt;/titles&gt;&lt;periodical&gt;&lt;full-title&gt;Geomorphology&lt;/full-title&gt;&lt;/periodical&gt;&lt;pages&gt;106970&lt;/pages&gt;&lt;volume&gt;351&lt;/volume&gt;&lt;dates&gt;&lt;year&gt;2020&lt;/year&gt;&lt;/dates&gt;&lt;isbn&gt;0169-555X&lt;/isbn&gt;&lt;urls&gt;&lt;/urls&gt;&lt;/record&gt;&lt;/Cite&gt;&lt;Cite&gt;&lt;Author&gt;Chen&lt;/Author&gt;&lt;Year&gt;2016&lt;/Year&gt;&lt;RecNum&gt;422&lt;/RecNum&gt;&lt;record&gt;&lt;rec-number&gt;422&lt;/rec-number&gt;&lt;foreign-keys&gt;&lt;key app="EN" db-id="xs0d5swp49tasae5twvpwvdaazzfw0st09xd" timestamp="1665976969"&gt;422&lt;/key&gt;&lt;/foreign-keys&gt;&lt;ref-type name="Journal Article"&gt;17&lt;/ref-type&gt;&lt;contributors&gt;&lt;authors&gt;&lt;author&gt;Chen, J&lt;/author&gt;&lt;author&gt;Li, H&lt;/author&gt;&lt;/authors&gt;&lt;/contributors&gt;&lt;titles&gt;&lt;title&gt;Genetic mechanism and disasters features of complicated structural rock mass along the rapidly uplift section at the upstream of Jinsha River&lt;/title&gt;&lt;secondary-title&gt;J Jilin Univ (Earth Sci Ed)&lt;/secondary-title&gt;&lt;/titles&gt;&lt;periodical&gt;&lt;full-title&gt;J Jilin Univ (Earth Sci Ed)&lt;/full-title&gt;&lt;/periodical&gt;&lt;pages&gt;1153-1167&lt;/pages&gt;&lt;volume&gt;46&lt;/volume&gt;&lt;number&gt;4&lt;/number&gt;&lt;dates&gt;&lt;year&gt;2016&lt;/year&gt;&lt;/dates&gt;&lt;urls&gt;&lt;/urls&gt;&lt;language&gt;Chinese.&lt;/language&gt;&lt;/record&gt;&lt;/Cite&gt;&lt;/EndNote&gt;</w:instrText>
            </w:r>
            <w:r>
              <w:rPr>
                <w:sz w:val="18"/>
                <w:szCs w:val="18"/>
              </w:rPr>
              <w:fldChar w:fldCharType="separate"/>
            </w:r>
            <w:r>
              <w:rPr>
                <w:sz w:val="18"/>
                <w:szCs w:val="18"/>
              </w:rPr>
              <w:t>[19,20]</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13</w:t>
            </w:r>
          </w:p>
        </w:tc>
        <w:tc>
          <w:tcPr>
            <w:tcW w:w="466" w:type="pct"/>
            <w:shd w:val="clear" w:color="auto" w:fill="auto"/>
            <w:vAlign w:val="center"/>
          </w:tcPr>
          <w:p>
            <w:pPr>
              <w:adjustRightInd w:val="0"/>
              <w:snapToGrid w:val="0"/>
              <w:rPr>
                <w:sz w:val="18"/>
                <w:szCs w:val="18"/>
              </w:rPr>
            </w:pPr>
            <w:r>
              <w:rPr>
                <w:sz w:val="18"/>
                <w:szCs w:val="18"/>
              </w:rPr>
              <w:t>Duirongtong</w:t>
            </w:r>
          </w:p>
        </w:tc>
        <w:tc>
          <w:tcPr>
            <w:tcW w:w="492" w:type="pct"/>
            <w:shd w:val="clear" w:color="auto" w:fill="auto"/>
            <w:vAlign w:val="center"/>
          </w:tcPr>
          <w:p>
            <w:pPr>
              <w:adjustRightInd w:val="0"/>
              <w:snapToGrid w:val="0"/>
              <w:rPr>
                <w:sz w:val="18"/>
                <w:szCs w:val="18"/>
              </w:rPr>
            </w:pPr>
            <w:r>
              <w:rPr>
                <w:sz w:val="18"/>
                <w:szCs w:val="18"/>
              </w:rPr>
              <w:t>99° 7'53.83" E</w:t>
            </w:r>
          </w:p>
        </w:tc>
        <w:tc>
          <w:tcPr>
            <w:tcW w:w="483" w:type="pct"/>
            <w:shd w:val="clear" w:color="auto" w:fill="auto"/>
            <w:vAlign w:val="center"/>
          </w:tcPr>
          <w:p>
            <w:pPr>
              <w:adjustRightInd w:val="0"/>
              <w:snapToGrid w:val="0"/>
              <w:rPr>
                <w:sz w:val="18"/>
                <w:szCs w:val="18"/>
              </w:rPr>
            </w:pPr>
            <w:r>
              <w:rPr>
                <w:sz w:val="18"/>
                <w:szCs w:val="18"/>
              </w:rPr>
              <w:t>28°42'37.62" N</w:t>
            </w:r>
          </w:p>
        </w:tc>
        <w:tc>
          <w:tcPr>
            <w:tcW w:w="448"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r>
              <w:rPr>
                <w:sz w:val="18"/>
                <w:szCs w:val="18"/>
              </w:rPr>
              <w:t>28000</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149</w:t>
            </w: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&lt;EndNote&gt;&lt;Cite&gt;&lt;Author&gt;Gao&lt;/Author&gt;&lt;Year&gt;2020&lt;/Year&gt;&lt;RecNum&gt;426&lt;/RecNum&gt;&lt;DisplayText&gt;[17,21]&lt;/DisplayText&gt;&lt;record&gt;&lt;rec-number&gt;426&lt;/rec-number&gt;&lt;foreign-keys&gt;&lt;key app="EN" db-id="xs0d5swp49tasae5twvpwvdaazzfw0st09xd" timestamp="1665977155"&gt;426&lt;/key&gt;&lt;/foreign-keys&gt;&lt;ref-type name="Journal Article"&gt;17&lt;/ref-type&gt;&lt;contributors&gt;&lt;authors&gt;&lt;author&gt;Gao, Y&lt;/author&gt;&lt;author&gt;Zhao, S&lt;/author&gt;&lt;author&gt;Deng, J&lt;/author&gt;&lt;/authors&gt;&lt;/contributors&gt;&lt;titles&gt;&lt;title&gt;Developing law of damming landslide and challenges for disaster prevention and mitigation in the Three-river-parallel Territory in the Tibetan Plateau&lt;/title&gt;&lt;secondary-title&gt;Advanced Engineering Sciences&lt;/secondary-title&gt;&lt;/titles&gt;&lt;periodical&gt;&lt;full-title&gt;Advanced Engineering Sciences&lt;/full-title&gt;&lt;abbr-1&gt;Adv. Eng. Sci.&lt;/abbr-1&gt;&lt;/periodical&gt;&lt;pages&gt;50-61&lt;/pages&gt;&lt;volume&gt;52&lt;/volume&gt;&lt;number&gt;5&lt;/number&gt;&lt;dates&gt;&lt;year&gt;2020&lt;/year&gt;&lt;/dates&gt;&lt;urls&gt;&lt;/urls&gt;&lt;language&gt;Chinese.&lt;/language&gt;&lt;/record&gt;&lt;/Cite&gt;&lt;Cite&gt;&lt;Author&gt;Chang&lt;/Author&gt;&lt;Year&gt;2021&lt;/Year&gt;&lt;RecNum&gt;463&lt;/RecNum&gt;&lt;record&gt;&lt;rec-number&gt;463&lt;/rec-number&gt;&lt;foreign-keys&gt;&lt;key app="EN" db-id="xs0d5swp49tasae5twvpwvdaazzfw0st09xd" timestamp="1668438964"&gt;463&lt;/key&gt;&lt;/foreign-keys&gt;&lt;ref-type name="Journal Article"&gt;17&lt;/ref-type&gt;&lt;contributors&gt;&lt;authors&gt;&lt;author&gt;Chang, Hao&lt;/author&gt;&lt;author&gt;Chang, Zufeng,&lt;/author&gt;&lt;author&gt;Liu, Changwei&lt;/author&gt;&lt;/authors&gt;&lt;/contributors&gt;&lt;titles&gt;&lt;title&gt;The relationship between activity of Jinsha River fault zone and large-scale landslides: a case study of the section between Narong and Rongxue along the Jinsha River&lt;/title&gt;&lt;secondary-title&gt;Seismology and Geology&lt;/secondary-title&gt;&lt;/titles&gt;&lt;periodical&gt;&lt;full-title&gt;SEISMOLOGY AND GEOLOGY&lt;/full-title&gt;&lt;abbr-1&gt;Seismol. Geol.&lt;/abbr-1&gt;&lt;/periodical&gt;&lt;pages&gt;1435&lt;/pages&gt;&lt;volume&gt;43&lt;/volume&gt;&lt;number&gt;6&lt;/number&gt;&lt;dates&gt;&lt;year&gt;2021&lt;/year&gt;&lt;/dates&gt;&lt;isbn&gt;0253-4967&lt;/isbn&gt;&lt;urls&gt;&lt;/urls&gt;&lt;language&gt;Chinese.&lt;/language&gt;&lt;/record&gt;&lt;/Cite&gt;&lt;/EndNote&gt;</w:instrText>
            </w:r>
            <w:r>
              <w:rPr>
                <w:sz w:val="18"/>
                <w:szCs w:val="18"/>
              </w:rPr>
              <w:fldChar w:fldCharType="separate"/>
            </w:r>
            <w:r>
              <w:rPr>
                <w:sz w:val="18"/>
                <w:szCs w:val="18"/>
              </w:rPr>
              <w:t>[17,21]</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14</w:t>
            </w:r>
          </w:p>
        </w:tc>
        <w:tc>
          <w:tcPr>
            <w:tcW w:w="466" w:type="pct"/>
            <w:shd w:val="clear" w:color="auto" w:fill="auto"/>
            <w:vAlign w:val="center"/>
          </w:tcPr>
          <w:p>
            <w:pPr>
              <w:adjustRightInd w:val="0"/>
              <w:snapToGrid w:val="0"/>
              <w:rPr>
                <w:sz w:val="18"/>
                <w:szCs w:val="18"/>
              </w:rPr>
            </w:pPr>
            <w:r>
              <w:rPr>
                <w:sz w:val="18"/>
                <w:szCs w:val="18"/>
              </w:rPr>
              <w:t>Qulong</w:t>
            </w:r>
          </w:p>
        </w:tc>
        <w:tc>
          <w:tcPr>
            <w:tcW w:w="492" w:type="pct"/>
            <w:shd w:val="clear" w:color="auto" w:fill="auto"/>
            <w:vAlign w:val="center"/>
          </w:tcPr>
          <w:p>
            <w:pPr>
              <w:adjustRightInd w:val="0"/>
              <w:snapToGrid w:val="0"/>
              <w:rPr>
                <w:sz w:val="18"/>
                <w:szCs w:val="18"/>
              </w:rPr>
            </w:pPr>
            <w:r>
              <w:rPr>
                <w:sz w:val="18"/>
                <w:szCs w:val="18"/>
              </w:rPr>
              <w:t>99°10'20.34" E</w:t>
            </w:r>
          </w:p>
        </w:tc>
        <w:tc>
          <w:tcPr>
            <w:tcW w:w="483" w:type="pct"/>
            <w:shd w:val="clear" w:color="auto" w:fill="auto"/>
            <w:vAlign w:val="center"/>
          </w:tcPr>
          <w:p>
            <w:pPr>
              <w:adjustRightInd w:val="0"/>
              <w:snapToGrid w:val="0"/>
              <w:rPr>
                <w:sz w:val="18"/>
                <w:szCs w:val="18"/>
              </w:rPr>
            </w:pPr>
            <w:r>
              <w:rPr>
                <w:sz w:val="18"/>
                <w:szCs w:val="18"/>
              </w:rPr>
              <w:t>28°36'50.77" N</w:t>
            </w:r>
          </w:p>
        </w:tc>
        <w:tc>
          <w:tcPr>
            <w:tcW w:w="448" w:type="pct"/>
            <w:shd w:val="clear" w:color="auto" w:fill="auto"/>
            <w:vAlign w:val="center"/>
          </w:tcPr>
          <w:p>
            <w:pPr>
              <w:adjustRightInd w:val="0"/>
              <w:snapToGrid w:val="0"/>
              <w:rPr>
                <w:sz w:val="18"/>
                <w:szCs w:val="18"/>
              </w:rPr>
            </w:pPr>
            <w:r>
              <w:rPr>
                <w:sz w:val="18"/>
                <w:szCs w:val="18"/>
              </w:rPr>
              <w:t>0.15 Ma BP</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p>
        </w:tc>
        <w:tc>
          <w:tcPr>
            <w:tcW w:w="351" w:type="pct"/>
            <w:shd w:val="clear" w:color="auto" w:fill="auto"/>
            <w:vAlign w:val="center"/>
          </w:tcPr>
          <w:p>
            <w:pPr>
              <w:adjustRightInd w:val="0"/>
              <w:snapToGrid w:val="0"/>
              <w:rPr>
                <w:sz w:val="18"/>
                <w:szCs w:val="18"/>
              </w:rPr>
            </w:pPr>
            <w:r>
              <w:rPr>
                <w:sz w:val="18"/>
                <w:szCs w:val="18"/>
              </w:rPr>
              <w:t>21433</w:t>
            </w:r>
          </w:p>
        </w:tc>
        <w:tc>
          <w:tcPr>
            <w:tcW w:w="262" w:type="pct"/>
            <w:shd w:val="clear" w:color="auto" w:fill="auto"/>
            <w:vAlign w:val="center"/>
          </w:tcPr>
          <w:p>
            <w:pPr>
              <w:adjustRightInd w:val="0"/>
              <w:snapToGrid w:val="0"/>
              <w:rPr>
                <w:sz w:val="18"/>
                <w:szCs w:val="18"/>
              </w:rPr>
            </w:pP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&lt;EndNote&gt;&lt;Cite&gt;&lt;Author&gt;Chen&lt;/Author&gt;&lt;Year&gt;2016&lt;/Year&gt;&lt;RecNum&gt;422&lt;/RecNum&gt;&lt;DisplayText&gt;[20,22]&lt;/DisplayText&gt;&lt;record&gt;&lt;rec-number&gt;422&lt;/rec-number&gt;&lt;foreign-keys&gt;&lt;key app="EN" db-id="xs0d5swp49tasae5twvpwvdaazzfw0st09xd" timestamp="1665976969"&gt;422&lt;/key&gt;&lt;/foreign-keys&gt;&lt;ref-type name="Journal Article"&gt;17&lt;/ref-type&gt;&lt;contributors&gt;&lt;authors&gt;&lt;author&gt;Chen, J&lt;/author&gt;&lt;author&gt;Li, H&lt;/author&gt;&lt;/authors&gt;&lt;/contributors&gt;&lt;titles&gt;&lt;title&gt;Genetic mechanism and disasters features of complicated structural rock mass along the rapidly uplift section at the upstream of Jinsha River&lt;/title&gt;&lt;secondary-title&gt;J Jilin Univ (Earth Sci Ed)&lt;/secondary-title&gt;&lt;/titles&gt;&lt;periodical&gt;&lt;full-title&gt;J Jilin Univ (Earth Sci Ed)&lt;/full-title&gt;&lt;/periodical&gt;&lt;pages&gt;1153-1167&lt;/pages&gt;&lt;volume&gt;46&lt;/volume&gt;&lt;number&gt;4&lt;/number&gt;&lt;dates&gt;&lt;year&gt;2016&lt;/year&gt;&lt;/dates&gt;&lt;urls&gt;&lt;/urls&gt;&lt;language&gt;Chinese.&lt;/language&gt;&lt;/record&gt;&lt;/Cite&gt;&lt;Cite&gt;&lt;Author&gt;Sun&lt;/Author&gt;&lt;Year&gt;2020&lt;/Year&gt;&lt;RecNum&gt;464&lt;/RecNum&gt;&lt;record&gt;&lt;rec-number&gt;464&lt;/rec-number&gt;&lt;foreign-keys&gt;&lt;key app="EN" db-id="xs0d5swp49tasae5twvpwvdaazzfw0st09xd" timestamp="1668439259"&gt;464&lt;/key&gt;&lt;/foreign-keys&gt;&lt;ref-type name="Thesis"&gt;32&lt;/ref-type&gt;&lt;contributors&gt;&lt;authors&gt;&lt;author&gt;Sun, Xiaohui&lt;/author&gt;&lt;/authors&gt;&lt;/contributors&gt;&lt;titles&gt;&lt;title&gt;Study on Landslide Susceptibility and Risk Mapping Along the Rapidly Uplifting Section of the Upper Jinsha River: A Case of Xulong to Benzilan Reach&lt;/title&gt;&lt;/titles&gt;&lt;dates&gt;&lt;year&gt;2020&lt;/year&gt;&lt;/dates&gt;&lt;publisher&gt;Jilin University&lt;/publisher&gt;&lt;work-type&gt;PhD dissertation&lt;/work-type&gt;&lt;urls&gt;&lt;/urls&gt;&lt;language&gt;Chinese.&lt;/language&gt;&lt;/record&gt;&lt;/Cite&gt;&lt;/EndNote&gt;</w:instrText>
            </w:r>
            <w:r>
              <w:rPr>
                <w:sz w:val="18"/>
                <w:szCs w:val="18"/>
              </w:rPr>
              <w:fldChar w:fldCharType="separate"/>
            </w:r>
            <w:r>
              <w:rPr>
                <w:sz w:val="18"/>
                <w:szCs w:val="18"/>
              </w:rPr>
              <w:t>[20,22]</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15</w:t>
            </w:r>
          </w:p>
        </w:tc>
        <w:tc>
          <w:tcPr>
            <w:tcW w:w="466" w:type="pct"/>
            <w:shd w:val="clear" w:color="auto" w:fill="auto"/>
            <w:vAlign w:val="center"/>
          </w:tcPr>
          <w:p>
            <w:pPr>
              <w:adjustRightInd w:val="0"/>
              <w:snapToGrid w:val="0"/>
              <w:rPr>
                <w:sz w:val="18"/>
                <w:szCs w:val="18"/>
              </w:rPr>
            </w:pPr>
            <w:r>
              <w:rPr>
                <w:sz w:val="18"/>
                <w:szCs w:val="18"/>
              </w:rPr>
              <w:t>Benzilan</w:t>
            </w:r>
          </w:p>
        </w:tc>
        <w:tc>
          <w:tcPr>
            <w:tcW w:w="492" w:type="pct"/>
            <w:shd w:val="clear" w:color="auto" w:fill="auto"/>
            <w:vAlign w:val="center"/>
          </w:tcPr>
          <w:p>
            <w:pPr>
              <w:adjustRightInd w:val="0"/>
              <w:snapToGrid w:val="0"/>
              <w:rPr>
                <w:sz w:val="18"/>
                <w:szCs w:val="18"/>
              </w:rPr>
            </w:pPr>
            <w:r>
              <w:rPr>
                <w:sz w:val="18"/>
                <w:szCs w:val="18"/>
              </w:rPr>
              <w:t>99°19'18.55" E</w:t>
            </w:r>
          </w:p>
        </w:tc>
        <w:tc>
          <w:tcPr>
            <w:tcW w:w="483" w:type="pct"/>
            <w:shd w:val="clear" w:color="auto" w:fill="auto"/>
            <w:vAlign w:val="center"/>
          </w:tcPr>
          <w:p>
            <w:pPr>
              <w:adjustRightInd w:val="0"/>
              <w:snapToGrid w:val="0"/>
              <w:rPr>
                <w:sz w:val="18"/>
                <w:szCs w:val="18"/>
              </w:rPr>
            </w:pPr>
            <w:r>
              <w:rPr>
                <w:sz w:val="18"/>
                <w:szCs w:val="18"/>
              </w:rPr>
              <w:t>28°13'5.81" N</w:t>
            </w:r>
          </w:p>
        </w:tc>
        <w:tc>
          <w:tcPr>
            <w:tcW w:w="448" w:type="pct"/>
            <w:shd w:val="clear" w:color="auto" w:fill="auto"/>
            <w:vAlign w:val="center"/>
          </w:tcPr>
          <w:p>
            <w:pPr>
              <w:adjustRightInd w:val="0"/>
              <w:snapToGrid w:val="0"/>
              <w:rPr>
                <w:sz w:val="18"/>
                <w:szCs w:val="18"/>
              </w:rPr>
            </w:pPr>
            <w:r>
              <w:rPr>
                <w:sz w:val="18"/>
                <w:szCs w:val="18"/>
              </w:rPr>
              <w:t xml:space="preserve">122.0 ± 12.4 ka BP </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120</w:t>
            </w: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&lt;EndNote&gt;&lt;Cite&gt;&lt;Author&gt;Zhang&lt;/Author&gt;&lt;Year&gt;2011&lt;/Year&gt;&lt;RecNum&gt;465&lt;/RecNum&gt;&lt;DisplayText&gt;[17,23]&lt;/DisplayText&gt;&lt;record&gt;&lt;rec-number&gt;465&lt;/rec-number&gt;&lt;foreign-keys&gt;&lt;key app="EN" db-id="xs0d5swp49tasae5twvpwvdaazzfw0st09xd" timestamp="1668439519"&gt;465&lt;/key&gt;&lt;/foreign-keys&gt;&lt;ref-type name="Journal Article"&gt;17&lt;/ref-type&gt;&lt;contributors&gt;&lt;authors&gt;&lt;author&gt;Zhang, Yongshuang&lt;/author&gt;&lt;author&gt;Zhao, Xitao&lt;/author&gt;&lt;author&gt;Lan, Hengxing&lt;/author&gt;&lt;author&gt;Xiong, Tanyu&lt;/author&gt;&lt;/authors&gt;&lt;/contributors&gt;&lt;titles&gt;&lt;title&gt;A Pleistocene landslide-dammed lake, Jinsha River, Yunnan, China&lt;/title&gt;&lt;secondary-title&gt;Quaternary International&lt;/secondary-title&gt;&lt;/titles&gt;&lt;periodical&gt;&lt;full-title&gt;Quaternary International&lt;/full-title&gt;&lt;abbr-1&gt;Quatern. Int.&lt;/abbr-1&gt;&lt;/periodical&gt;&lt;pages&gt;72-80&lt;/pages&gt;&lt;volume&gt;233&lt;/volume&gt;&lt;number&gt;1&lt;/number&gt;&lt;dates&gt;&lt;year&gt;2011&lt;/year&gt;&lt;/dates&gt;&lt;isbn&gt;1040-6182&lt;/isbn&gt;&lt;urls&gt;&lt;/urls&gt;&lt;/record&gt;&lt;/Cite&gt;&lt;Cite&gt;&lt;Author&gt;Gao&lt;/Author&gt;&lt;Year&gt;2020&lt;/Year&gt;&lt;RecNum&gt;426&lt;/RecNum&gt;&lt;record&gt;&lt;rec-number&gt;426&lt;/rec-number&gt;&lt;foreign-keys&gt;&lt;key app="EN" db-id="xs0d5swp49tasae5twvpwvdaazzfw0st09xd" timestamp="1665977155"&gt;426&lt;/key&gt;&lt;/foreign-keys&gt;&lt;ref-type name="Journal Article"&gt;17&lt;/ref-type&gt;&lt;contributors&gt;&lt;authors&gt;&lt;author&gt;Gao, Y&lt;/author&gt;&lt;author&gt;Zhao, S&lt;/author&gt;&lt;author&gt;Deng, J&lt;/author&gt;&lt;/authors&gt;&lt;/contributors&gt;&lt;titles&gt;&lt;title&gt;Developing law of damming landslide and challenges for disaster prevention and mitigation in the Three-river-parallel Territory in the Tibetan Plateau&lt;/title&gt;&lt;secondary-title&gt;Advanced Engineering Sciences&lt;/secondary-title&gt;&lt;/titles&gt;&lt;periodical&gt;&lt;full-title&gt;Advanced Engineering Sciences&lt;/full-title&gt;&lt;abbr-1&gt;Adv. Eng. Sci.&lt;/abbr-1&gt;&lt;/periodical&gt;&lt;pages&gt;50-61&lt;/pages&gt;&lt;volume&gt;52&lt;/volume&gt;&lt;number&gt;5&lt;/number&gt;&lt;dates&gt;&lt;year&gt;2020&lt;/year&gt;&lt;/dates&gt;&lt;urls&gt;&lt;/urls&gt;&lt;language&gt;Chinese.&lt;/language&gt;&lt;/record&gt;&lt;/Cite&gt;&lt;/EndNote&gt;</w:instrText>
            </w:r>
            <w:r>
              <w:rPr>
                <w:sz w:val="18"/>
                <w:szCs w:val="18"/>
              </w:rPr>
              <w:fldChar w:fldCharType="separate"/>
            </w:r>
            <w:r>
              <w:rPr>
                <w:sz w:val="18"/>
                <w:szCs w:val="18"/>
              </w:rPr>
              <w:t>[17,23]</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16</w:t>
            </w:r>
          </w:p>
        </w:tc>
        <w:tc>
          <w:tcPr>
            <w:tcW w:w="466" w:type="pct"/>
            <w:shd w:val="clear" w:color="auto" w:fill="auto"/>
            <w:vAlign w:val="center"/>
          </w:tcPr>
          <w:p>
            <w:pPr>
              <w:adjustRightInd w:val="0"/>
              <w:snapToGrid w:val="0"/>
              <w:rPr>
                <w:sz w:val="18"/>
                <w:szCs w:val="18"/>
              </w:rPr>
            </w:pPr>
            <w:r>
              <w:rPr>
                <w:sz w:val="18"/>
                <w:szCs w:val="18"/>
              </w:rPr>
              <w:t>Shigu</w:t>
            </w:r>
          </w:p>
        </w:tc>
        <w:tc>
          <w:tcPr>
            <w:tcW w:w="492" w:type="pct"/>
            <w:shd w:val="clear" w:color="auto" w:fill="auto"/>
            <w:vAlign w:val="center"/>
          </w:tcPr>
          <w:p>
            <w:pPr>
              <w:adjustRightInd w:val="0"/>
              <w:snapToGrid w:val="0"/>
              <w:rPr>
                <w:sz w:val="18"/>
                <w:szCs w:val="18"/>
              </w:rPr>
            </w:pPr>
            <w:r>
              <w:rPr>
                <w:sz w:val="18"/>
                <w:szCs w:val="18"/>
              </w:rPr>
              <w:t>100</w:t>
            </w:r>
            <w:r>
              <w:rPr>
                <w:rFonts w:hint="eastAsia"/>
                <w:sz w:val="18"/>
                <w:szCs w:val="18"/>
              </w:rPr>
              <w:t>°</w:t>
            </w:r>
            <w:r>
              <w:rPr>
                <w:sz w:val="18"/>
                <w:szCs w:val="18"/>
              </w:rPr>
              <w:t xml:space="preserve"> 2'32.32" E</w:t>
            </w:r>
          </w:p>
        </w:tc>
        <w:tc>
          <w:tcPr>
            <w:tcW w:w="483" w:type="pct"/>
            <w:shd w:val="clear" w:color="auto" w:fill="auto"/>
            <w:vAlign w:val="center"/>
          </w:tcPr>
          <w:p>
            <w:pPr>
              <w:adjustRightInd w:val="0"/>
              <w:snapToGrid w:val="0"/>
              <w:rPr>
                <w:sz w:val="18"/>
                <w:szCs w:val="18"/>
              </w:rPr>
            </w:pPr>
            <w:r>
              <w:rPr>
                <w:sz w:val="18"/>
                <w:szCs w:val="18"/>
              </w:rPr>
              <w:t>26°55'28.76" N</w:t>
            </w:r>
          </w:p>
        </w:tc>
        <w:tc>
          <w:tcPr>
            <w:tcW w:w="448" w:type="pct"/>
            <w:shd w:val="clear" w:color="auto" w:fill="auto"/>
            <w:vAlign w:val="center"/>
          </w:tcPr>
          <w:p>
            <w:pPr>
              <w:adjustRightInd w:val="0"/>
              <w:snapToGrid w:val="0"/>
              <w:rPr>
                <w:sz w:val="18"/>
                <w:szCs w:val="18"/>
              </w:rPr>
            </w:pPr>
            <w:r>
              <w:rPr>
                <w:sz w:val="18"/>
                <w:szCs w:val="18"/>
              </w:rPr>
              <w:t>33.5 ± 1.4 ka BP</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105</w:t>
            </w: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Earthquake with the synergistic action of climate</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&lt;EndNote&gt;&lt;Cite&gt;&lt;Author&gt;Li&lt;/Author&gt;&lt;Year&gt;2022&lt;/Year&gt;&lt;RecNum&gt;466&lt;/RecNum&gt;&lt;DisplayText&gt;[24]&lt;/DisplayText&gt;&lt;record&gt;&lt;rec-number&gt;466&lt;/rec-number&gt;&lt;foreign-keys&gt;&lt;key app="EN" db-id="xs0d5swp49tasae5twvpwvdaazzfw0st09xd" timestamp="1668439590"&gt;466&lt;/key&gt;&lt;/foreign-keys&gt;&lt;ref-type name="Journal Article"&gt;17&lt;/ref-type&gt;&lt;contributors&gt;&lt;authors&gt;&lt;author&gt;Li, Yuchao&lt;/author&gt;&lt;author&gt;Chen, Jianping&lt;/author&gt;&lt;author&gt;Yan, Jianhua&lt;/author&gt;&lt;author&gt;Zhou, Fujun&lt;/author&gt;&lt;author&gt;Wang, Qing&lt;/author&gt;&lt;author&gt;Li, Zhihai&lt;/author&gt;&lt;author&gt;Zhang, Yansong&lt;/author&gt;&lt;/authors&gt;&lt;/contributors&gt;&lt;titles&gt;&lt;title&gt;Formation and evolution of a giant old deposit in the First Bend of the Yangtze River on the southeastern margin of the Qinghai-Tibet Plateau&lt;/title&gt;&lt;secondary-title&gt;Catena&lt;/secondary-title&gt;&lt;/titles&gt;&lt;periodical&gt;&lt;full-title&gt;CATENA&lt;/full-title&gt;&lt;/periodical&gt;&lt;pages&gt;106138&lt;/pages&gt;&lt;volume&gt;213&lt;/volume&gt;&lt;dates&gt;&lt;year&gt;2022&lt;/year&gt;&lt;/dates&gt;&lt;isbn&gt;0341-8162&lt;/isbn&gt;&lt;urls&gt;&lt;/urls&gt;&lt;/record&gt;&lt;/Cite&gt;&lt;/EndNote&gt;</w:instrText>
            </w:r>
            <w:r>
              <w:rPr>
                <w:sz w:val="18"/>
                <w:szCs w:val="18"/>
              </w:rPr>
              <w:fldChar w:fldCharType="separate"/>
            </w:r>
            <w:r>
              <w:rPr>
                <w:sz w:val="18"/>
                <w:szCs w:val="18"/>
              </w:rPr>
              <w:t>[24]</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191" w:type="pct"/>
            <w:shd w:val="clear" w:color="auto" w:fill="auto"/>
            <w:vAlign w:val="center"/>
          </w:tcPr>
          <w:p>
            <w:pPr>
              <w:adjustRightInd w:val="0"/>
              <w:snapToGrid w:val="0"/>
              <w:rPr>
                <w:sz w:val="18"/>
                <w:szCs w:val="18"/>
              </w:rPr>
            </w:pPr>
            <w:r>
              <w:rPr>
                <w:sz w:val="18"/>
                <w:szCs w:val="18"/>
              </w:rPr>
              <w:t>17</w:t>
            </w:r>
          </w:p>
        </w:tc>
        <w:tc>
          <w:tcPr>
            <w:tcW w:w="466" w:type="pct"/>
            <w:shd w:val="clear" w:color="auto" w:fill="auto"/>
            <w:vAlign w:val="center"/>
          </w:tcPr>
          <w:p>
            <w:pPr>
              <w:adjustRightInd w:val="0"/>
              <w:snapToGrid w:val="0"/>
              <w:rPr>
                <w:sz w:val="18"/>
                <w:szCs w:val="18"/>
              </w:rPr>
            </w:pPr>
            <w:r>
              <w:rPr>
                <w:sz w:val="18"/>
                <w:szCs w:val="18"/>
              </w:rPr>
              <w:t>Huashiban</w:t>
            </w:r>
          </w:p>
        </w:tc>
        <w:tc>
          <w:tcPr>
            <w:tcW w:w="492" w:type="pct"/>
            <w:shd w:val="clear" w:color="auto" w:fill="auto"/>
            <w:vAlign w:val="center"/>
          </w:tcPr>
          <w:p>
            <w:pPr>
              <w:adjustRightInd w:val="0"/>
              <w:snapToGrid w:val="0"/>
              <w:rPr>
                <w:sz w:val="18"/>
                <w:szCs w:val="18"/>
              </w:rPr>
            </w:pPr>
            <w:r>
              <w:rPr>
                <w:sz w:val="18"/>
                <w:szCs w:val="18"/>
              </w:rPr>
              <w:t>100</w:t>
            </w:r>
            <w:r>
              <w:rPr>
                <w:rFonts w:hint="eastAsia"/>
                <w:sz w:val="18"/>
                <w:szCs w:val="18"/>
              </w:rPr>
              <w:t>°</w:t>
            </w:r>
            <w:r>
              <w:rPr>
                <w:sz w:val="18"/>
                <w:szCs w:val="18"/>
              </w:rPr>
              <w:t>11</w:t>
            </w:r>
            <w:r>
              <w:rPr>
                <w:rFonts w:hint="eastAsia"/>
                <w:sz w:val="18"/>
                <w:szCs w:val="18"/>
              </w:rPr>
              <w:t>′</w:t>
            </w:r>
            <w:r>
              <w:rPr>
                <w:sz w:val="18"/>
                <w:szCs w:val="18"/>
              </w:rPr>
              <w:t>45.21</w:t>
            </w:r>
            <w:r>
              <w:rPr>
                <w:rFonts w:hint="eastAsia"/>
                <w:sz w:val="18"/>
                <w:szCs w:val="18"/>
              </w:rPr>
              <w:t>″</w:t>
            </w:r>
            <w:r>
              <w:rPr>
                <w:sz w:val="18"/>
                <w:szCs w:val="18"/>
              </w:rPr>
              <w:t>E</w:t>
            </w:r>
          </w:p>
        </w:tc>
        <w:tc>
          <w:tcPr>
            <w:tcW w:w="483" w:type="pct"/>
            <w:shd w:val="clear" w:color="auto" w:fill="auto"/>
            <w:vAlign w:val="center"/>
          </w:tcPr>
          <w:p>
            <w:pPr>
              <w:adjustRightInd w:val="0"/>
              <w:snapToGrid w:val="0"/>
              <w:rPr>
                <w:sz w:val="18"/>
                <w:szCs w:val="18"/>
              </w:rPr>
            </w:pPr>
            <w:r>
              <w:rPr>
                <w:sz w:val="18"/>
                <w:szCs w:val="18"/>
              </w:rPr>
              <w:t>27</w:t>
            </w:r>
            <w:r>
              <w:rPr>
                <w:rFonts w:hint="eastAsia"/>
                <w:sz w:val="18"/>
                <w:szCs w:val="18"/>
              </w:rPr>
              <w:t>°</w:t>
            </w:r>
            <w:r>
              <w:rPr>
                <w:sz w:val="18"/>
                <w:szCs w:val="18"/>
              </w:rPr>
              <w:t>17</w:t>
            </w:r>
            <w:r>
              <w:rPr>
                <w:rFonts w:hint="eastAsia"/>
                <w:sz w:val="18"/>
                <w:szCs w:val="18"/>
              </w:rPr>
              <w:t>′</w:t>
            </w:r>
            <w:r>
              <w:rPr>
                <w:sz w:val="18"/>
                <w:szCs w:val="18"/>
              </w:rPr>
              <w:t>52.25</w:t>
            </w:r>
            <w:r>
              <w:rPr>
                <w:rFonts w:hint="eastAsia"/>
                <w:sz w:val="18"/>
                <w:szCs w:val="18"/>
              </w:rPr>
              <w:t>″</w:t>
            </w:r>
            <w:r>
              <w:rPr>
                <w:sz w:val="18"/>
                <w:szCs w:val="18"/>
              </w:rPr>
              <w:t>N</w:t>
            </w:r>
          </w:p>
        </w:tc>
        <w:tc>
          <w:tcPr>
            <w:tcW w:w="448" w:type="pct"/>
            <w:shd w:val="clear" w:color="auto" w:fill="auto"/>
            <w:vAlign w:val="center"/>
          </w:tcPr>
          <w:p>
            <w:pPr>
              <w:adjustRightInd w:val="0"/>
              <w:snapToGrid w:val="0"/>
              <w:rPr>
                <w:sz w:val="18"/>
                <w:szCs w:val="18"/>
              </w:rPr>
            </w:pPr>
            <w:r>
              <w:rPr>
                <w:sz w:val="18"/>
                <w:szCs w:val="18"/>
              </w:rPr>
              <w:t>1996.10.28</w:t>
            </w:r>
          </w:p>
        </w:tc>
        <w:tc>
          <w:tcPr>
            <w:tcW w:w="337" w:type="pct"/>
            <w:shd w:val="clear" w:color="auto" w:fill="auto"/>
            <w:vAlign w:val="center"/>
          </w:tcPr>
          <w:p>
            <w:pPr>
              <w:adjustRightInd w:val="0"/>
              <w:snapToGrid w:val="0"/>
              <w:rPr>
                <w:sz w:val="18"/>
                <w:szCs w:val="18"/>
              </w:rPr>
            </w:pPr>
            <w:r>
              <w:rPr>
                <w:sz w:val="18"/>
                <w:szCs w:val="18"/>
              </w:rPr>
              <w:t>2 hours</w:t>
            </w:r>
          </w:p>
        </w:tc>
        <w:tc>
          <w:tcPr>
            <w:tcW w:w="338" w:type="pct"/>
            <w:shd w:val="clear" w:color="auto" w:fill="auto"/>
            <w:vAlign w:val="center"/>
          </w:tcPr>
          <w:p>
            <w:pPr>
              <w:adjustRightInd w:val="0"/>
              <w:snapToGrid w:val="0"/>
              <w:rPr>
                <w:sz w:val="18"/>
                <w:szCs w:val="18"/>
              </w:rPr>
            </w:pPr>
            <w:r>
              <w:rPr>
                <w:sz w:val="18"/>
                <w:szCs w:val="18"/>
              </w:rPr>
              <w:t>135</w:t>
            </w:r>
          </w:p>
        </w:tc>
        <w:tc>
          <w:tcPr>
            <w:tcW w:w="351" w:type="pct"/>
            <w:shd w:val="clear" w:color="auto" w:fill="auto"/>
            <w:vAlign w:val="center"/>
          </w:tcPr>
          <w:p>
            <w:pPr>
              <w:adjustRightInd w:val="0"/>
              <w:snapToGrid w:val="0"/>
              <w:rPr>
                <w:sz w:val="18"/>
                <w:szCs w:val="18"/>
              </w:rPr>
            </w:pPr>
            <w:r>
              <w:rPr>
                <w:sz w:val="18"/>
                <w:szCs w:val="18"/>
              </w:rPr>
              <w:t>-</w:t>
            </w:r>
          </w:p>
        </w:tc>
        <w:tc>
          <w:tcPr>
            <w:tcW w:w="262" w:type="pct"/>
            <w:shd w:val="clear" w:color="auto" w:fill="auto"/>
            <w:vAlign w:val="center"/>
          </w:tcPr>
          <w:p>
            <w:pPr>
              <w:adjustRightInd w:val="0"/>
              <w:snapToGrid w:val="0"/>
              <w:rPr>
                <w:sz w:val="18"/>
                <w:szCs w:val="18"/>
              </w:rPr>
            </w:pPr>
            <w:r>
              <w:rPr>
                <w:sz w:val="18"/>
                <w:szCs w:val="18"/>
              </w:rPr>
              <w:t>100</w:t>
            </w: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Earthquake (Mw 7.0) on 3 February 1996; Severe rainfall between May and October in 1996</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&lt;EndNote&gt;&lt;Cite&gt;&lt;Author&gt;Liu&lt;/Author&gt;&lt;Year&gt;2007&lt;/Year&gt;&lt;RecNum&gt;468&lt;/RecNum&gt;&lt;DisplayText&gt;[25,26]&lt;/DisplayText&gt;&lt;record&gt;&lt;rec-number&gt;468&lt;/rec-number&gt;&lt;foreign-keys&gt;&lt;key app="EN" db-id="xs0d5swp49tasae5twvpwvdaazzfw0st09xd" timestamp="1668439641"&gt;468&lt;/key&gt;&lt;/foreign-keys&gt;&lt;ref-type name="Journal Article"&gt;17&lt;/ref-type&gt;&lt;contributors&gt;&lt;authors&gt;&lt;author&gt;Liu, Heng Qiu&lt;/author&gt;&lt;author&gt;Hu, Ruilin&lt;/author&gt;&lt;author&gt;Tan, Rujiao&lt;/author&gt;&lt;author&gt;Chen, Jian&lt;/author&gt;&lt;/authors&gt;&lt;/contributors&gt;&lt;titles&gt;&lt;title&gt;Huashiban loose deposit landslide, Tiger-Leaping-Gorge, China: analysis and prediction&lt;/title&gt;&lt;secondary-title&gt;Bulletin of Engineering Geology and the Environment&lt;/secondary-title&gt;&lt;/titles&gt;&lt;periodical&gt;&lt;full-title&gt;Bulletin of Engineering Geology and the Environment&lt;/full-title&gt;&lt;abbr-1&gt;Bull. Eng. Geol. Environ.&lt;/abbr-1&gt;&lt;/periodical&gt;&lt;pages&gt;197-202&lt;/pages&gt;&lt;volume&gt;66&lt;/volume&gt;&lt;number&gt;2&lt;/number&gt;&lt;dates&gt;&lt;year&gt;2007&lt;/year&gt;&lt;/dates&gt;&lt;isbn&gt;1435-9537&lt;/isbn&gt;&lt;urls&gt;&lt;/urls&gt;&lt;/record&gt;&lt;/Cite&gt;&lt;Cite&gt;&lt;Author&gt;Zhou&lt;/Author&gt;&lt;Year&gt;2010&lt;/Year&gt;&lt;RecNum&gt;425&lt;/RecNum&gt;&lt;record&gt;&lt;rec-number&gt;425&lt;/rec-number&gt;&lt;foreign-keys&gt;&lt;key app="EN" db-id="xs0d5swp49tasae5twvpwvdaazzfw0st09xd" timestamp="1665977146"&gt;425&lt;/key&gt;&lt;/foreign-keys&gt;&lt;ref-type name="Journal Article"&gt;17&lt;/ref-type&gt;&lt;contributors&gt;&lt;authors&gt;&lt;author&gt;Zhou, Jia Wen&lt;/author&gt;&lt;author&gt;Xu, Wei Ya&lt;/author&gt;&lt;author&gt;Yang, Xing Guo&lt;/author&gt;&lt;author&gt;Shi, Chong&lt;/author&gt;&lt;author&gt;Yang, Zhao Hui&lt;/author&gt;&lt;/authors&gt;&lt;/contributors&gt;&lt;titles&gt;&lt;title&gt;The 28 October 1996 landslide and analysis of the stability of the current Huashiban slope at the Liangjiaren Hydropower Station, Southwest China&lt;/title&gt;&lt;secondary-title&gt;Engineering Geology&lt;/secondary-title&gt;&lt;/titles&gt;&lt;periodical&gt;&lt;full-title&gt;Engineering Geology&lt;/full-title&gt;&lt;abbr-1&gt;Eng. Geol.&lt;/abbr-1&gt;&lt;/periodical&gt;&lt;pages&gt;45-56&lt;/pages&gt;&lt;volume&gt;114&lt;/volume&gt;&lt;number&gt;1-2&lt;/number&gt;&lt;dates&gt;&lt;year&gt;2010&lt;/year&gt;&lt;/dates&gt;&lt;isbn&gt;0013-7952&lt;/isbn&gt;&lt;urls&gt;&lt;/urls&gt;&lt;/record&gt;&lt;/Cite&gt;&lt;/EndNote&gt;</w:instrText>
            </w:r>
            <w:r>
              <w:rPr>
                <w:sz w:val="18"/>
                <w:szCs w:val="18"/>
              </w:rPr>
              <w:fldChar w:fldCharType="separate"/>
            </w:r>
            <w:r>
              <w:rPr>
                <w:sz w:val="18"/>
                <w:szCs w:val="18"/>
              </w:rPr>
              <w:t>[25,26]</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18</w:t>
            </w:r>
          </w:p>
        </w:tc>
        <w:tc>
          <w:tcPr>
            <w:tcW w:w="466" w:type="pct"/>
            <w:shd w:val="clear" w:color="auto" w:fill="auto"/>
            <w:vAlign w:val="center"/>
          </w:tcPr>
          <w:p>
            <w:pPr>
              <w:adjustRightInd w:val="0"/>
              <w:snapToGrid w:val="0"/>
              <w:rPr>
                <w:sz w:val="18"/>
                <w:szCs w:val="18"/>
              </w:rPr>
            </w:pPr>
            <w:r>
              <w:rPr>
                <w:sz w:val="18"/>
                <w:szCs w:val="18"/>
              </w:rPr>
              <w:t>Zhaizicun 1#</w:t>
            </w:r>
          </w:p>
        </w:tc>
        <w:tc>
          <w:tcPr>
            <w:tcW w:w="492" w:type="pct"/>
            <w:shd w:val="clear" w:color="auto" w:fill="auto"/>
            <w:vAlign w:val="center"/>
          </w:tcPr>
          <w:p>
            <w:pPr>
              <w:adjustRightInd w:val="0"/>
              <w:snapToGrid w:val="0"/>
              <w:rPr>
                <w:sz w:val="18"/>
                <w:szCs w:val="18"/>
              </w:rPr>
            </w:pPr>
            <w:r>
              <w:rPr>
                <w:sz w:val="18"/>
                <w:szCs w:val="18"/>
              </w:rPr>
              <w:t>100°35'43.27" E</w:t>
            </w:r>
          </w:p>
        </w:tc>
        <w:tc>
          <w:tcPr>
            <w:tcW w:w="483" w:type="pct"/>
            <w:shd w:val="clear" w:color="auto" w:fill="auto"/>
            <w:vAlign w:val="center"/>
          </w:tcPr>
          <w:p>
            <w:pPr>
              <w:adjustRightInd w:val="0"/>
              <w:snapToGrid w:val="0"/>
              <w:rPr>
                <w:sz w:val="18"/>
                <w:szCs w:val="18"/>
              </w:rPr>
            </w:pPr>
            <w:r>
              <w:rPr>
                <w:sz w:val="18"/>
                <w:szCs w:val="18"/>
              </w:rPr>
              <w:t>26°11'7.64" N</w:t>
            </w:r>
          </w:p>
        </w:tc>
        <w:tc>
          <w:tcPr>
            <w:tcW w:w="448" w:type="pct"/>
            <w:shd w:val="clear" w:color="auto" w:fill="auto"/>
            <w:vAlign w:val="center"/>
          </w:tcPr>
          <w:p>
            <w:pPr>
              <w:adjustRightInd w:val="0"/>
              <w:snapToGrid w:val="0"/>
              <w:rPr>
                <w:sz w:val="18"/>
                <w:szCs w:val="18"/>
              </w:rPr>
            </w:pPr>
            <w:r>
              <w:rPr>
                <w:sz w:val="18"/>
                <w:szCs w:val="18"/>
              </w:rPr>
              <w:t>60.3 ± 9.0 ka BP</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r>
              <w:rPr>
                <w:sz w:val="18"/>
                <w:szCs w:val="18"/>
              </w:rPr>
              <w:t>12000</w:t>
            </w:r>
          </w:p>
        </w:tc>
        <w:tc>
          <w:tcPr>
            <w:tcW w:w="351" w:type="pct"/>
            <w:shd w:val="clear" w:color="auto" w:fill="auto"/>
            <w:vAlign w:val="center"/>
          </w:tcPr>
          <w:p>
            <w:pPr>
              <w:adjustRightInd w:val="0"/>
              <w:snapToGrid w:val="0"/>
              <w:rPr>
                <w:sz w:val="18"/>
                <w:szCs w:val="18"/>
              </w:rPr>
            </w:pPr>
            <w:r>
              <w:rPr>
                <w:sz w:val="18"/>
                <w:szCs w:val="18"/>
              </w:rPr>
              <w:t>180</w:t>
            </w:r>
          </w:p>
        </w:tc>
        <w:tc>
          <w:tcPr>
            <w:tcW w:w="262" w:type="pct"/>
            <w:shd w:val="clear" w:color="auto" w:fill="auto"/>
            <w:vAlign w:val="center"/>
          </w:tcPr>
          <w:p>
            <w:pPr>
              <w:adjustRightInd w:val="0"/>
              <w:snapToGrid w:val="0"/>
              <w:rPr>
                <w:sz w:val="18"/>
                <w:szCs w:val="18"/>
              </w:rPr>
            </w:pP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Earthquakes (near Chenghai fault)</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&lt;EndNote&gt;&lt;Cite&gt;&lt;Author&gt;Xu&lt;/Author&gt;&lt;Year&gt;2013&lt;/Year&gt;&lt;RecNum&gt;470&lt;/RecNum&gt;&lt;DisplayText&gt;[27,28]&lt;/DisplayText&gt;&lt;record&gt;&lt;rec-number&gt;470&lt;/rec-number&gt;&lt;foreign-keys&gt;&lt;key app="EN" db-id="xs0d5swp49tasae5twvpwvdaazzfw0st09xd" timestamp="1668439780"&gt;470&lt;/key&gt;&lt;/foreign-keys&gt;&lt;ref-type name="Journal Article"&gt;17&lt;/ref-type&gt;&lt;contributors&gt;&lt;authors&gt;&lt;author&gt;Xu, Zemin&lt;/author&gt;&lt;author&gt;Liu, Wenlian&lt;/author&gt;&lt;author&gt;Huang, Runqiu&lt;/author&gt;&lt;/authors&gt;&lt;/contributors&gt;&lt;titles&gt;&lt;title&gt;Geomorphological effects of landslide damming&lt;/title&gt;&lt;secondary-title&gt;Quaternary Sciences&lt;/secondary-title&gt;&lt;/titles&gt;&lt;periodical&gt;&lt;full-title&gt;Quaternary Sciences&lt;/full-title&gt;&lt;abbr-1&gt;Quat. Sci.&lt;/abbr-1&gt;&lt;/periodical&gt;&lt;pages&gt;490-500&lt;/pages&gt;&lt;volume&gt;33&lt;/volume&gt;&lt;number&gt;3&lt;/number&gt;&lt;dates&gt;&lt;year&gt;2013&lt;/year&gt;&lt;/dates&gt;&lt;isbn&gt;1001-7410&lt;/isbn&gt;&lt;urls&gt;&lt;/urls&gt;&lt;language&gt;Chinese.&lt;/language&gt;&lt;/record&gt;&lt;/Cite&gt;&lt;Cite&gt;&lt;Author&gt;Li&lt;/Author&gt;&lt;Year&gt;2009&lt;/Year&gt;&lt;RecNum&gt;471&lt;/RecNum&gt;&lt;record&gt;&lt;rec-number&gt;471&lt;/rec-number&gt;&lt;foreign-keys&gt;&lt;key app="EN" db-id="xs0d5swp49tasae5twvpwvdaazzfw0st09xd" timestamp="1668439868"&gt;471&lt;/key&gt;&lt;/foreign-keys&gt;&lt;ref-type name="Thesis"&gt;32&lt;/ref-type&gt;&lt;contributors&gt;&lt;authors&gt;&lt;author&gt;Li, Qiankun&lt;/author&gt;&lt;/authors&gt;&lt;/contributors&gt;&lt;titles&gt;&lt;title&gt;The Zhaizicun Landslide in Jinsha River and its deposits of landslide-dammed lake&lt;/title&gt;&lt;/titles&gt;&lt;dates&gt;&lt;year&gt;2009&lt;/year&gt;&lt;/dates&gt;&lt;publisher&gt;Kunming University of Science and Technology&lt;/publisher&gt;&lt;work-type&gt;Master’s thesis&lt;/work-type&gt;&lt;urls&gt;&lt;/urls&gt;&lt;language&gt;Chinese.&lt;/language&gt;&lt;/record&gt;&lt;/Cite&gt;&lt;/EndNote&gt;</w:instrText>
            </w:r>
            <w:r>
              <w:rPr>
                <w:sz w:val="18"/>
                <w:szCs w:val="18"/>
              </w:rPr>
              <w:fldChar w:fldCharType="separate"/>
            </w:r>
            <w:r>
              <w:rPr>
                <w:sz w:val="18"/>
                <w:szCs w:val="18"/>
              </w:rPr>
              <w:t>[27,28]</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19</w:t>
            </w:r>
          </w:p>
        </w:tc>
        <w:tc>
          <w:tcPr>
            <w:tcW w:w="466" w:type="pct"/>
            <w:shd w:val="clear" w:color="auto" w:fill="auto"/>
            <w:vAlign w:val="center"/>
          </w:tcPr>
          <w:p>
            <w:pPr>
              <w:adjustRightInd w:val="0"/>
              <w:snapToGrid w:val="0"/>
              <w:rPr>
                <w:sz w:val="18"/>
                <w:szCs w:val="18"/>
              </w:rPr>
            </w:pPr>
            <w:r>
              <w:rPr>
                <w:sz w:val="18"/>
                <w:szCs w:val="18"/>
              </w:rPr>
              <w:t>Zhaizicun 2#</w:t>
            </w:r>
          </w:p>
        </w:tc>
        <w:tc>
          <w:tcPr>
            <w:tcW w:w="492" w:type="pct"/>
            <w:shd w:val="clear" w:color="auto" w:fill="auto"/>
            <w:vAlign w:val="center"/>
          </w:tcPr>
          <w:p>
            <w:pPr>
              <w:adjustRightInd w:val="0"/>
              <w:snapToGrid w:val="0"/>
              <w:rPr>
                <w:sz w:val="18"/>
                <w:szCs w:val="18"/>
              </w:rPr>
            </w:pPr>
            <w:r>
              <w:rPr>
                <w:sz w:val="18"/>
                <w:szCs w:val="18"/>
              </w:rPr>
              <w:t>100°36'1.32" E</w:t>
            </w:r>
          </w:p>
        </w:tc>
        <w:tc>
          <w:tcPr>
            <w:tcW w:w="483" w:type="pct"/>
            <w:shd w:val="clear" w:color="auto" w:fill="auto"/>
            <w:vAlign w:val="center"/>
          </w:tcPr>
          <w:p>
            <w:pPr>
              <w:adjustRightInd w:val="0"/>
              <w:snapToGrid w:val="0"/>
              <w:rPr>
                <w:sz w:val="18"/>
                <w:szCs w:val="18"/>
              </w:rPr>
            </w:pPr>
            <w:r>
              <w:rPr>
                <w:sz w:val="18"/>
                <w:szCs w:val="18"/>
              </w:rPr>
              <w:t>26°11'28.35" N</w:t>
            </w:r>
          </w:p>
        </w:tc>
        <w:tc>
          <w:tcPr>
            <w:tcW w:w="448" w:type="pct"/>
            <w:shd w:val="clear" w:color="auto" w:fill="auto"/>
            <w:vAlign w:val="center"/>
          </w:tcPr>
          <w:p>
            <w:pPr>
              <w:adjustRightInd w:val="0"/>
              <w:snapToGrid w:val="0"/>
              <w:rPr>
                <w:sz w:val="18"/>
                <w:szCs w:val="18"/>
              </w:rPr>
            </w:pPr>
            <w:r>
              <w:rPr>
                <w:sz w:val="18"/>
                <w:szCs w:val="18"/>
              </w:rPr>
              <w:t>260.7 ± 39 ka BP</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r>
              <w:rPr>
                <w:sz w:val="18"/>
                <w:szCs w:val="18"/>
              </w:rPr>
              <w:t>13000</w:t>
            </w:r>
          </w:p>
        </w:tc>
        <w:tc>
          <w:tcPr>
            <w:tcW w:w="351" w:type="pct"/>
            <w:shd w:val="clear" w:color="auto" w:fill="auto"/>
            <w:vAlign w:val="center"/>
          </w:tcPr>
          <w:p>
            <w:pPr>
              <w:adjustRightInd w:val="0"/>
              <w:snapToGrid w:val="0"/>
              <w:rPr>
                <w:sz w:val="18"/>
                <w:szCs w:val="18"/>
              </w:rPr>
            </w:pPr>
            <w:r>
              <w:rPr>
                <w:sz w:val="18"/>
                <w:szCs w:val="18"/>
              </w:rPr>
              <w:t>150</w:t>
            </w:r>
          </w:p>
        </w:tc>
        <w:tc>
          <w:tcPr>
            <w:tcW w:w="262" w:type="pct"/>
            <w:shd w:val="clear" w:color="auto" w:fill="auto"/>
            <w:vAlign w:val="center"/>
          </w:tcPr>
          <w:p>
            <w:pPr>
              <w:adjustRightInd w:val="0"/>
              <w:snapToGrid w:val="0"/>
              <w:rPr>
                <w:sz w:val="18"/>
                <w:szCs w:val="18"/>
              </w:rPr>
            </w:pP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Earthquakes (near Chenghai fault)</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&lt;EndNote&gt;&lt;Cite&gt;&lt;Author&gt;Xu&lt;/Author&gt;&lt;Year&gt;2013&lt;/Year&gt;&lt;RecNum&gt;470&lt;/RecNum&gt;&lt;DisplayText&gt;[27,28]&lt;/DisplayText&gt;&lt;record&gt;&lt;rec-number&gt;470&lt;/rec-number&gt;&lt;foreign-keys&gt;&lt;key app="EN" db-id="xs0d5swp49tasae5twvpwvdaazzfw0st09xd" timestamp="1668439780"&gt;470&lt;/key&gt;&lt;/foreign-keys&gt;&lt;ref-type name="Journal Article"&gt;17&lt;/ref-type&gt;&lt;contributors&gt;&lt;authors&gt;&lt;author&gt;Xu, Zemin&lt;/author&gt;&lt;author&gt;Liu, Wenlian&lt;/author&gt;&lt;author&gt;Huang, Runqiu&lt;/author&gt;&lt;/authors&gt;&lt;/contributors&gt;&lt;titles&gt;&lt;title&gt;Geomorphological effects of landslide damming&lt;/title&gt;&lt;secondary-title&gt;Quaternary Sciences&lt;/secondary-title&gt;&lt;/titles&gt;&lt;periodical&gt;&lt;full-title&gt;Quaternary Sciences&lt;/full-title&gt;&lt;abbr-1&gt;Quat. Sci.&lt;/abbr-1&gt;&lt;/periodical&gt;&lt;pages&gt;490-500&lt;/pages&gt;&lt;volume&gt;33&lt;/volume&gt;&lt;number&gt;3&lt;/number&gt;&lt;dates&gt;&lt;year&gt;2013&lt;/year&gt;&lt;/dates&gt;&lt;isbn&gt;1001-7410&lt;/isbn&gt;&lt;urls&gt;&lt;/urls&gt;&lt;language&gt;Chinese.&lt;/language&gt;&lt;/record&gt;&lt;/Cite&gt;&lt;Cite&gt;&lt;Author&gt;Li&lt;/Author&gt;&lt;Year&gt;2009&lt;/Year&gt;&lt;RecNum&gt;471&lt;/RecNum&gt;&lt;record&gt;&lt;rec-number&gt;471&lt;/rec-number&gt;&lt;foreign-keys&gt;&lt;key app="EN" db-id="xs0d5swp49tasae5twvpwvdaazzfw0st09xd" timestamp="1668439868"&gt;471&lt;/key&gt;&lt;/foreign-keys&gt;&lt;ref-type name="Thesis"&gt;32&lt;/ref-type&gt;&lt;contributors&gt;&lt;authors&gt;&lt;author&gt;Li, Qiankun&lt;/author&gt;&lt;/authors&gt;&lt;/contributors&gt;&lt;titles&gt;&lt;title&gt;The Zhaizicun Landslide in Jinsha River and its deposits of landslide-dammed lake&lt;/title&gt;&lt;/titles&gt;&lt;dates&gt;&lt;year&gt;2009&lt;/year&gt;&lt;/dates&gt;&lt;publisher&gt;Kunming University of Science and Technology&lt;/publisher&gt;&lt;work-type&gt;Master’s thesis&lt;/work-type&gt;&lt;urls&gt;&lt;/urls&gt;&lt;language&gt;Chinese.&lt;/language&gt;&lt;/record&gt;&lt;/Cite&gt;&lt;/EndNote&gt;</w:instrText>
            </w:r>
            <w:r>
              <w:rPr>
                <w:sz w:val="18"/>
                <w:szCs w:val="18"/>
              </w:rPr>
              <w:fldChar w:fldCharType="separate"/>
            </w:r>
            <w:r>
              <w:rPr>
                <w:sz w:val="18"/>
                <w:szCs w:val="18"/>
              </w:rPr>
              <w:t>[27,28]</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91" w:type="pct"/>
            <w:shd w:val="clear" w:color="auto" w:fill="auto"/>
            <w:vAlign w:val="center"/>
          </w:tcPr>
          <w:p>
            <w:pPr>
              <w:adjustRightInd w:val="0"/>
              <w:snapToGrid w:val="0"/>
              <w:rPr>
                <w:sz w:val="18"/>
                <w:szCs w:val="18"/>
              </w:rPr>
            </w:pPr>
            <w:r>
              <w:rPr>
                <w:sz w:val="18"/>
                <w:szCs w:val="18"/>
              </w:rPr>
              <w:t>20</w:t>
            </w:r>
          </w:p>
        </w:tc>
        <w:tc>
          <w:tcPr>
            <w:tcW w:w="466" w:type="pct"/>
            <w:shd w:val="clear" w:color="auto" w:fill="auto"/>
            <w:vAlign w:val="center"/>
          </w:tcPr>
          <w:p>
            <w:pPr>
              <w:adjustRightInd w:val="0"/>
              <w:snapToGrid w:val="0"/>
              <w:rPr>
                <w:sz w:val="18"/>
                <w:szCs w:val="18"/>
              </w:rPr>
            </w:pPr>
            <w:r>
              <w:rPr>
                <w:sz w:val="18"/>
                <w:szCs w:val="18"/>
              </w:rPr>
              <w:t>Baimakou</w:t>
            </w:r>
          </w:p>
        </w:tc>
        <w:tc>
          <w:tcPr>
            <w:tcW w:w="492" w:type="pct"/>
            <w:shd w:val="clear" w:color="auto" w:fill="auto"/>
            <w:vAlign w:val="center"/>
          </w:tcPr>
          <w:p>
            <w:pPr>
              <w:adjustRightInd w:val="0"/>
              <w:snapToGrid w:val="0"/>
              <w:rPr>
                <w:sz w:val="18"/>
                <w:szCs w:val="18"/>
              </w:rPr>
            </w:pPr>
            <w:r>
              <w:rPr>
                <w:sz w:val="18"/>
                <w:szCs w:val="18"/>
              </w:rPr>
              <w:t>102° 5'19.61" E</w:t>
            </w:r>
          </w:p>
        </w:tc>
        <w:tc>
          <w:tcPr>
            <w:tcW w:w="483" w:type="pct"/>
            <w:shd w:val="clear" w:color="auto" w:fill="auto"/>
            <w:vAlign w:val="center"/>
          </w:tcPr>
          <w:p>
            <w:pPr>
              <w:adjustRightInd w:val="0"/>
              <w:snapToGrid w:val="0"/>
              <w:rPr>
                <w:sz w:val="18"/>
                <w:szCs w:val="18"/>
              </w:rPr>
            </w:pPr>
            <w:r>
              <w:rPr>
                <w:sz w:val="18"/>
                <w:szCs w:val="18"/>
              </w:rPr>
              <w:t>25°59'48.42" N</w:t>
            </w:r>
          </w:p>
        </w:tc>
        <w:tc>
          <w:tcPr>
            <w:tcW w:w="448" w:type="pct"/>
            <w:shd w:val="clear" w:color="auto" w:fill="auto"/>
            <w:vAlign w:val="center"/>
          </w:tcPr>
          <w:p>
            <w:pPr>
              <w:adjustRightInd w:val="0"/>
              <w:snapToGrid w:val="0"/>
              <w:rPr>
                <w:sz w:val="18"/>
                <w:szCs w:val="18"/>
              </w:rPr>
            </w:pPr>
            <w:r>
              <w:rPr>
                <w:sz w:val="18"/>
                <w:szCs w:val="18"/>
              </w:rPr>
              <w:t>12.1 ka BP</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p>
        </w:tc>
        <w:tc>
          <w:tcPr>
            <w:tcW w:w="351" w:type="pct"/>
            <w:shd w:val="clear" w:color="auto" w:fill="auto"/>
            <w:vAlign w:val="center"/>
          </w:tcPr>
          <w:p>
            <w:pPr>
              <w:adjustRightInd w:val="0"/>
              <w:snapToGrid w:val="0"/>
              <w:rPr>
                <w:sz w:val="18"/>
                <w:szCs w:val="18"/>
              </w:rPr>
            </w:pPr>
            <w:r>
              <w:rPr>
                <w:sz w:val="18"/>
                <w:szCs w:val="18"/>
              </w:rPr>
              <w:t>34000</w:t>
            </w:r>
          </w:p>
        </w:tc>
        <w:tc>
          <w:tcPr>
            <w:tcW w:w="262" w:type="pct"/>
            <w:shd w:val="clear" w:color="auto" w:fill="auto"/>
            <w:vAlign w:val="center"/>
          </w:tcPr>
          <w:p>
            <w:pPr>
              <w:adjustRightInd w:val="0"/>
              <w:snapToGrid w:val="0"/>
              <w:rPr>
                <w:sz w:val="18"/>
                <w:szCs w:val="18"/>
              </w:rPr>
            </w:pPr>
            <w:r>
              <w:rPr>
                <w:sz w:val="18"/>
                <w:szCs w:val="18"/>
              </w:rPr>
              <w:t>120</w:t>
            </w:r>
          </w:p>
        </w:tc>
        <w:tc>
          <w:tcPr>
            <w:tcW w:w="400" w:type="pct"/>
            <w:shd w:val="clear" w:color="auto" w:fill="auto"/>
            <w:vAlign w:val="center"/>
          </w:tcPr>
          <w:p>
            <w:pPr>
              <w:adjustRightInd w:val="0"/>
              <w:snapToGrid w:val="0"/>
              <w:rPr>
                <w:sz w:val="18"/>
                <w:szCs w:val="18"/>
              </w:rPr>
            </w:pPr>
            <w:r>
              <w:rPr>
                <w:sz w:val="18"/>
                <w:szCs w:val="18"/>
              </w:rPr>
              <w:t>750000</w:t>
            </w:r>
          </w:p>
        </w:tc>
        <w:tc>
          <w:tcPr>
            <w:tcW w:w="337" w:type="pct"/>
            <w:shd w:val="clear" w:color="auto" w:fill="auto"/>
            <w:vAlign w:val="center"/>
          </w:tcPr>
          <w:p>
            <w:pPr>
              <w:adjustRightInd w:val="0"/>
              <w:snapToGrid w:val="0"/>
              <w:rPr>
                <w:sz w:val="18"/>
                <w:szCs w:val="18"/>
              </w:rPr>
            </w:pPr>
            <w:r>
              <w:rPr>
                <w:sz w:val="18"/>
                <w:szCs w:val="18"/>
              </w:rPr>
              <w:t>82000</w:t>
            </w:r>
          </w:p>
        </w:tc>
        <w:tc>
          <w:tcPr>
            <w:tcW w:w="535" w:type="pct"/>
            <w:shd w:val="clear" w:color="auto" w:fill="auto"/>
            <w:vAlign w:val="center"/>
          </w:tcPr>
          <w:p>
            <w:pPr>
              <w:adjustRightInd w:val="0"/>
              <w:snapToGrid w:val="0"/>
              <w:rPr>
                <w:sz w:val="18"/>
                <w:szCs w:val="18"/>
              </w:rPr>
            </w:pP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&lt;EndNote&gt;&lt;Cite&gt;&lt;Author&gt;Liu&lt;/Author&gt;&lt;Year&gt;2018&lt;/Year&gt;&lt;RecNum&gt;472&lt;/RecNum&gt;&lt;DisplayText&gt;[29]&lt;/DisplayText&gt;&lt;record&gt;&lt;rec-number&gt;472&lt;/rec-number&gt;&lt;foreign-keys&gt;&lt;key app="EN" db-id="xs0d5swp49tasae5twvpwvdaazzfw0st09xd" timestamp="1668440088"&gt;472&lt;/key&gt;&lt;/foreign-keys&gt;&lt;ref-type name="Journal Article"&gt;17&lt;/ref-type&gt;&lt;contributors&gt;&lt;authors&gt;&lt;author&gt;Liu, Weiming&lt;/author&gt;&lt;author&gt;Hu, Kaiheng&lt;/author&gt;&lt;author&gt;Carling, Paul A&lt;/author&gt;&lt;author&gt;Lai, Zhongping&lt;/author&gt;&lt;author&gt;Cheng, Ting&lt;/author&gt;&lt;author&gt;Xu, Yali&lt;/author&gt;&lt;/authors&gt;&lt;/contributors&gt;&lt;titles&gt;&lt;title&gt;The establishment and influence of Baimakou paleo-dam in an upstream reach of the Yangtze River, southeastern margin of the Tibetan Plateau&lt;/title&gt;&lt;secondary-title&gt;Geomorphology&lt;/secondary-title&gt;&lt;/titles&gt;&lt;periodical&gt;&lt;full-title&gt;Geomorphology&lt;/full-title&gt;&lt;/periodical&gt;&lt;pages&gt;167-173&lt;/pages&gt;&lt;volume&gt;321&lt;/volume&gt;&lt;dates&gt;&lt;year&gt;2018&lt;/year&gt;&lt;/dates&gt;&lt;isbn&gt;0169-555X&lt;/isbn&gt;&lt;urls&gt;&lt;/urls&gt;&lt;/record&gt;&lt;/Cite&gt;&lt;/EndNote&gt;</w:instrText>
            </w:r>
            <w:r>
              <w:rPr>
                <w:sz w:val="18"/>
                <w:szCs w:val="18"/>
              </w:rPr>
              <w:fldChar w:fldCharType="separate"/>
            </w:r>
            <w:r>
              <w:rPr>
                <w:sz w:val="18"/>
                <w:szCs w:val="18"/>
              </w:rPr>
              <w:t>[29]</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91" w:type="pct"/>
            <w:shd w:val="clear" w:color="auto" w:fill="auto"/>
            <w:vAlign w:val="center"/>
          </w:tcPr>
          <w:p>
            <w:pPr>
              <w:adjustRightInd w:val="0"/>
              <w:snapToGrid w:val="0"/>
              <w:rPr>
                <w:sz w:val="18"/>
                <w:szCs w:val="18"/>
              </w:rPr>
            </w:pPr>
            <w:r>
              <w:rPr>
                <w:sz w:val="18"/>
                <w:szCs w:val="18"/>
              </w:rPr>
              <w:t>21</w:t>
            </w:r>
          </w:p>
        </w:tc>
        <w:tc>
          <w:tcPr>
            <w:tcW w:w="466" w:type="pct"/>
            <w:shd w:val="clear" w:color="auto" w:fill="auto"/>
            <w:vAlign w:val="center"/>
          </w:tcPr>
          <w:p>
            <w:pPr>
              <w:adjustRightInd w:val="0"/>
              <w:snapToGrid w:val="0"/>
              <w:rPr>
                <w:sz w:val="18"/>
                <w:szCs w:val="18"/>
              </w:rPr>
            </w:pPr>
            <w:r>
              <w:rPr>
                <w:sz w:val="18"/>
                <w:szCs w:val="18"/>
              </w:rPr>
              <w:t>Luchedu</w:t>
            </w:r>
          </w:p>
        </w:tc>
        <w:tc>
          <w:tcPr>
            <w:tcW w:w="492" w:type="pct"/>
            <w:shd w:val="clear" w:color="auto" w:fill="auto"/>
            <w:vAlign w:val="center"/>
          </w:tcPr>
          <w:p>
            <w:pPr>
              <w:adjustRightInd w:val="0"/>
              <w:snapToGrid w:val="0"/>
              <w:rPr>
                <w:sz w:val="18"/>
                <w:szCs w:val="18"/>
              </w:rPr>
            </w:pPr>
            <w:r>
              <w:rPr>
                <w:sz w:val="18"/>
                <w:szCs w:val="18"/>
              </w:rPr>
              <w:t>102°18'38.54" E</w:t>
            </w:r>
          </w:p>
        </w:tc>
        <w:tc>
          <w:tcPr>
            <w:tcW w:w="483" w:type="pct"/>
            <w:shd w:val="clear" w:color="auto" w:fill="auto"/>
            <w:vAlign w:val="center"/>
          </w:tcPr>
          <w:p>
            <w:pPr>
              <w:adjustRightInd w:val="0"/>
              <w:snapToGrid w:val="0"/>
              <w:rPr>
                <w:sz w:val="18"/>
                <w:szCs w:val="18"/>
              </w:rPr>
            </w:pPr>
            <w:r>
              <w:rPr>
                <w:sz w:val="18"/>
                <w:szCs w:val="18"/>
              </w:rPr>
              <w:t>26°13'48.56" N</w:t>
            </w:r>
          </w:p>
        </w:tc>
        <w:tc>
          <w:tcPr>
            <w:tcW w:w="448" w:type="pct"/>
            <w:shd w:val="clear" w:color="auto" w:fill="auto"/>
            <w:vAlign w:val="center"/>
          </w:tcPr>
          <w:p>
            <w:pPr>
              <w:adjustRightInd w:val="0"/>
              <w:snapToGrid w:val="0"/>
              <w:rPr>
                <w:sz w:val="18"/>
                <w:szCs w:val="18"/>
              </w:rPr>
            </w:pPr>
            <w:r>
              <w:rPr>
                <w:sz w:val="18"/>
                <w:szCs w:val="18"/>
              </w:rPr>
              <w:t>1935.12</w:t>
            </w:r>
          </w:p>
        </w:tc>
        <w:tc>
          <w:tcPr>
            <w:tcW w:w="337" w:type="pct"/>
            <w:shd w:val="clear" w:color="auto" w:fill="auto"/>
            <w:vAlign w:val="center"/>
          </w:tcPr>
          <w:p>
            <w:pPr>
              <w:adjustRightInd w:val="0"/>
              <w:snapToGrid w:val="0"/>
              <w:rPr>
                <w:sz w:val="18"/>
                <w:szCs w:val="18"/>
              </w:rPr>
            </w:pPr>
            <w:r>
              <w:rPr>
                <w:sz w:val="18"/>
                <w:szCs w:val="18"/>
              </w:rPr>
              <w:t>3 days</w:t>
            </w:r>
          </w:p>
        </w:tc>
        <w:tc>
          <w:tcPr>
            <w:tcW w:w="338" w:type="pct"/>
            <w:shd w:val="clear" w:color="auto" w:fill="auto"/>
            <w:vAlign w:val="center"/>
          </w:tcPr>
          <w:p>
            <w:pPr>
              <w:adjustRightInd w:val="0"/>
              <w:snapToGrid w:val="0"/>
              <w:rPr>
                <w:sz w:val="18"/>
                <w:szCs w:val="18"/>
              </w:rPr>
            </w:pPr>
            <w:r>
              <w:rPr>
                <w:sz w:val="18"/>
                <w:szCs w:val="18"/>
              </w:rPr>
              <w:t>13000</w:t>
            </w:r>
          </w:p>
        </w:tc>
        <w:tc>
          <w:tcPr>
            <w:tcW w:w="351" w:type="pct"/>
            <w:shd w:val="clear" w:color="auto" w:fill="auto"/>
            <w:vAlign w:val="center"/>
          </w:tcPr>
          <w:p>
            <w:pPr>
              <w:adjustRightInd w:val="0"/>
              <w:snapToGrid w:val="0"/>
              <w:rPr>
                <w:sz w:val="18"/>
                <w:szCs w:val="18"/>
              </w:rPr>
            </w:pPr>
            <w:r>
              <w:rPr>
                <w:sz w:val="18"/>
                <w:szCs w:val="18"/>
              </w:rPr>
              <w:t>16000</w:t>
            </w:r>
          </w:p>
        </w:tc>
        <w:tc>
          <w:tcPr>
            <w:tcW w:w="262" w:type="pct"/>
            <w:shd w:val="clear" w:color="auto" w:fill="auto"/>
            <w:vAlign w:val="center"/>
          </w:tcPr>
          <w:p>
            <w:pPr>
              <w:adjustRightInd w:val="0"/>
              <w:snapToGrid w:val="0"/>
              <w:rPr>
                <w:sz w:val="18"/>
                <w:szCs w:val="18"/>
              </w:rPr>
            </w:pPr>
            <w:r>
              <w:rPr>
                <w:sz w:val="18"/>
                <w:szCs w:val="18"/>
              </w:rPr>
              <w:t>50</w:t>
            </w: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Rainstorm</w:t>
            </w:r>
          </w:p>
        </w:tc>
        <w:tc>
          <w:tcPr>
            <w:tcW w:w="360" w:type="pct"/>
            <w:shd w:val="clear" w:color="auto" w:fill="auto"/>
            <w:vAlign w:val="center"/>
          </w:tcPr>
          <w:p>
            <w:pPr>
              <w:adjustRightInd w:val="0"/>
              <w:snapToGrid w:val="0"/>
              <w:rPr>
                <w:sz w:val="18"/>
                <w:szCs w:val="18"/>
              </w:rPr>
            </w:pPr>
            <w:r>
              <w:rPr>
                <w:sz w:val="18"/>
                <w:szCs w:val="18"/>
              </w:rPr>
              <w:fldChar w:fldCharType="begin">
                <w:fldData xml:space="preserve">PEVuZE5vdGU+PENpdGU+PEF1dGhvcj5XZW48L0F1dGhvcj48WWVhcj4yMDIwPC9ZZWFyPjxSZWNO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</w:fldData>
              </w:fldChar>
            </w:r>
            <w:r>
              <w:rPr>
                <w:sz w:val="18"/>
                <w:szCs w:val="18"/>
              </w:rPr>
              <w:instrText xml:space="preserve"> ADDIN EN.CITE </w:instrText>
            </w:r>
            <w:r>
              <w:rPr>
                <w:sz w:val="18"/>
                <w:szCs w:val="18"/>
              </w:rPr>
              <w:fldChar w:fldCharType="begin">
                <w:fldData xml:space="preserve">PEVuZE5vdGU+PENpdGU+PEF1dGhvcj5XZW48L0F1dGhvcj48WWVhcj4yMDIwPC9ZZWFyPjxSZWNO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</w:fldData>
              </w:fldChar>
            </w:r>
            <w:r>
              <w:rPr>
                <w:sz w:val="18"/>
                <w:szCs w:val="18"/>
              </w:rPr>
              <w:instrText xml:space="preserve"> ADDIN EN.CITE.DATA </w:instrText>
            </w:r>
            <w:r>
              <w:rPr>
                <w:sz w:val="18"/>
                <w:szCs w:val="18"/>
              </w:rPr>
              <w:fldChar w:fldCharType="end"/>
            </w:r>
            <w:r>
              <w:rPr>
                <w:sz w:val="18"/>
                <w:szCs w:val="18"/>
              </w:rPr>
              <w:fldChar w:fldCharType="separate"/>
            </w:r>
            <w:r>
              <w:rPr>
                <w:sz w:val="18"/>
                <w:szCs w:val="18"/>
              </w:rPr>
              <w:t>[18,30,31]</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91" w:type="pct"/>
            <w:shd w:val="clear" w:color="auto" w:fill="auto"/>
            <w:vAlign w:val="center"/>
          </w:tcPr>
          <w:p>
            <w:pPr>
              <w:adjustRightInd w:val="0"/>
              <w:snapToGrid w:val="0"/>
              <w:rPr>
                <w:sz w:val="18"/>
                <w:szCs w:val="18"/>
              </w:rPr>
            </w:pPr>
            <w:r>
              <w:rPr>
                <w:sz w:val="18"/>
                <w:szCs w:val="18"/>
              </w:rPr>
              <w:t>22</w:t>
            </w:r>
          </w:p>
        </w:tc>
        <w:tc>
          <w:tcPr>
            <w:tcW w:w="466" w:type="pct"/>
            <w:shd w:val="clear" w:color="auto" w:fill="auto"/>
            <w:vAlign w:val="center"/>
          </w:tcPr>
          <w:p>
            <w:pPr>
              <w:adjustRightInd w:val="0"/>
              <w:snapToGrid w:val="0"/>
              <w:rPr>
                <w:sz w:val="18"/>
                <w:szCs w:val="18"/>
              </w:rPr>
            </w:pPr>
            <w:r>
              <w:rPr>
                <w:sz w:val="18"/>
                <w:szCs w:val="18"/>
              </w:rPr>
              <w:t>Wudongde</w:t>
            </w:r>
          </w:p>
        </w:tc>
        <w:tc>
          <w:tcPr>
            <w:tcW w:w="492" w:type="pct"/>
            <w:shd w:val="clear" w:color="auto" w:fill="auto"/>
            <w:vAlign w:val="center"/>
          </w:tcPr>
          <w:p>
            <w:pPr>
              <w:adjustRightInd w:val="0"/>
              <w:snapToGrid w:val="0"/>
              <w:rPr>
                <w:sz w:val="18"/>
                <w:szCs w:val="18"/>
              </w:rPr>
            </w:pPr>
            <w:r>
              <w:rPr>
                <w:sz w:val="18"/>
                <w:szCs w:val="18"/>
              </w:rPr>
              <w:t>102°38'10.58" E</w:t>
            </w:r>
          </w:p>
        </w:tc>
        <w:tc>
          <w:tcPr>
            <w:tcW w:w="483" w:type="pct"/>
            <w:shd w:val="clear" w:color="auto" w:fill="auto"/>
            <w:vAlign w:val="center"/>
          </w:tcPr>
          <w:p>
            <w:pPr>
              <w:adjustRightInd w:val="0"/>
              <w:snapToGrid w:val="0"/>
              <w:rPr>
                <w:sz w:val="18"/>
                <w:szCs w:val="18"/>
              </w:rPr>
            </w:pPr>
            <w:r>
              <w:rPr>
                <w:sz w:val="18"/>
                <w:szCs w:val="18"/>
              </w:rPr>
              <w:t>26°18'34.31" N</w:t>
            </w:r>
          </w:p>
        </w:tc>
        <w:tc>
          <w:tcPr>
            <w:tcW w:w="448" w:type="pct"/>
            <w:shd w:val="clear" w:color="auto" w:fill="auto"/>
            <w:vAlign w:val="center"/>
          </w:tcPr>
          <w:p>
            <w:pPr>
              <w:adjustRightInd w:val="0"/>
              <w:snapToGrid w:val="0"/>
              <w:rPr>
                <w:sz w:val="18"/>
                <w:szCs w:val="18"/>
              </w:rPr>
            </w:pPr>
            <w:r>
              <w:rPr>
                <w:sz w:val="18"/>
                <w:szCs w:val="18"/>
              </w:rPr>
              <w:t>19 ka BP</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p>
        </w:tc>
        <w:tc>
          <w:tcPr>
            <w:tcW w:w="351" w:type="pct"/>
            <w:shd w:val="clear" w:color="auto" w:fill="auto"/>
            <w:vAlign w:val="center"/>
          </w:tcPr>
          <w:p>
            <w:pPr>
              <w:adjustRightInd w:val="0"/>
              <w:snapToGrid w:val="0"/>
              <w:rPr>
                <w:sz w:val="18"/>
                <w:szCs w:val="18"/>
              </w:rPr>
            </w:pPr>
            <w:r>
              <w:rPr>
                <w:sz w:val="18"/>
                <w:szCs w:val="18"/>
              </w:rPr>
              <w:t>6400</w:t>
            </w:r>
          </w:p>
        </w:tc>
        <w:tc>
          <w:tcPr>
            <w:tcW w:w="262" w:type="pct"/>
            <w:shd w:val="clear" w:color="auto" w:fill="auto"/>
            <w:vAlign w:val="center"/>
          </w:tcPr>
          <w:p>
            <w:pPr>
              <w:adjustRightInd w:val="0"/>
              <w:snapToGrid w:val="0"/>
              <w:rPr>
                <w:sz w:val="18"/>
                <w:szCs w:val="18"/>
              </w:rPr>
            </w:pP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&lt;EndNote&gt;&lt;Cite&gt;&lt;Author&gt;Cui&lt;/Author&gt;&lt;Year&gt;2008&lt;/Year&gt;&lt;RecNum&gt;473&lt;/RecNum&gt;&lt;DisplayText&gt;[32]&lt;/DisplayText&gt;&lt;record&gt;&lt;rec-number&gt;473&lt;/rec-number&gt;&lt;foreign-keys&gt;&lt;key app="EN" db-id="xs0d5swp49tasae5twvpwvdaazzfw0st09xd" timestamp="1668440223"&gt;473&lt;/key&gt;&lt;/foreign-keys&gt;&lt;ref-type name="Journal Article"&gt;17&lt;/ref-type&gt;&lt;contributors&gt;&lt;authors&gt;&lt;author&gt;Cui, Jie&lt;/author&gt;&lt;author&gt;Wang, Lansheng&lt;/author&gt;&lt;author&gt;Xu, Jin&lt;/author&gt;&lt;author&gt;Wang, Xiaoqun&lt;/author&gt;&lt;author&gt;Yao, Qiang&lt;/author&gt;&lt;/authors&gt;&lt;/contributors&gt;&lt;titles&gt;&lt;title&gt;Stability analysis of old landslide for a possible ancient landslide event blocking middle of Jinsha river&lt;/title&gt;&lt;secondary-title&gt;Journal of Engineering Geology&lt;/secondary-title&gt;&lt;/titles&gt;&lt;periodical&gt;&lt;full-title&gt;Journal of Engineering Geology&lt;/full-title&gt;&lt;abbr-1&gt;J. Eng. Geol.&lt;/abbr-1&gt;&lt;/periodical&gt;&lt;pages&gt;6-10&lt;/pages&gt;&lt;volume&gt;16&lt;/volume&gt;&lt;number&gt;1&lt;/number&gt;&lt;dates&gt;&lt;year&gt;2008&lt;/year&gt;&lt;/dates&gt;&lt;isbn&gt;1004-9665&lt;/isbn&gt;&lt;urls&gt;&lt;/urls&gt;&lt;language&gt;Chinese.&lt;/language&gt;&lt;/record&gt;&lt;/Cite&gt;&lt;/EndNote&gt;</w:instrText>
            </w:r>
            <w:r>
              <w:rPr>
                <w:sz w:val="18"/>
                <w:szCs w:val="18"/>
              </w:rPr>
              <w:fldChar w:fldCharType="separate"/>
            </w:r>
            <w:r>
              <w:rPr>
                <w:sz w:val="18"/>
                <w:szCs w:val="18"/>
              </w:rPr>
              <w:t>[32]</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trPr>
        <w:tc>
          <w:tcPr>
            <w:tcW w:w="191" w:type="pct"/>
            <w:shd w:val="clear" w:color="auto" w:fill="auto"/>
            <w:vAlign w:val="center"/>
          </w:tcPr>
          <w:p>
            <w:pPr>
              <w:adjustRightInd w:val="0"/>
              <w:snapToGrid w:val="0"/>
              <w:rPr>
                <w:sz w:val="18"/>
                <w:szCs w:val="18"/>
              </w:rPr>
            </w:pPr>
            <w:r>
              <w:rPr>
                <w:sz w:val="18"/>
                <w:szCs w:val="18"/>
              </w:rPr>
              <w:t>23</w:t>
            </w:r>
          </w:p>
        </w:tc>
        <w:tc>
          <w:tcPr>
            <w:tcW w:w="466" w:type="pct"/>
            <w:shd w:val="clear" w:color="auto" w:fill="auto"/>
            <w:vAlign w:val="center"/>
          </w:tcPr>
          <w:p>
            <w:pPr>
              <w:adjustRightInd w:val="0"/>
              <w:snapToGrid w:val="0"/>
              <w:rPr>
                <w:sz w:val="18"/>
                <w:szCs w:val="18"/>
              </w:rPr>
            </w:pPr>
            <w:r>
              <w:rPr>
                <w:sz w:val="18"/>
                <w:szCs w:val="18"/>
              </w:rPr>
              <w:t>Lannigou</w:t>
            </w:r>
          </w:p>
        </w:tc>
        <w:tc>
          <w:tcPr>
            <w:tcW w:w="492" w:type="pct"/>
            <w:shd w:val="clear" w:color="auto" w:fill="auto"/>
            <w:vAlign w:val="center"/>
          </w:tcPr>
          <w:p>
            <w:pPr>
              <w:adjustRightInd w:val="0"/>
              <w:snapToGrid w:val="0"/>
              <w:rPr>
                <w:sz w:val="18"/>
                <w:szCs w:val="18"/>
              </w:rPr>
            </w:pPr>
            <w:r>
              <w:rPr>
                <w:sz w:val="18"/>
                <w:szCs w:val="18"/>
              </w:rPr>
              <w:t>102°38'58.30" E</w:t>
            </w:r>
          </w:p>
        </w:tc>
        <w:tc>
          <w:tcPr>
            <w:tcW w:w="483" w:type="pct"/>
            <w:shd w:val="clear" w:color="auto" w:fill="auto"/>
            <w:vAlign w:val="center"/>
          </w:tcPr>
          <w:p>
            <w:pPr>
              <w:adjustRightInd w:val="0"/>
              <w:snapToGrid w:val="0"/>
              <w:rPr>
                <w:sz w:val="18"/>
                <w:szCs w:val="18"/>
              </w:rPr>
            </w:pPr>
            <w:r>
              <w:rPr>
                <w:sz w:val="18"/>
                <w:szCs w:val="18"/>
              </w:rPr>
              <w:t>26°10'41.70" N</w:t>
            </w:r>
          </w:p>
        </w:tc>
        <w:tc>
          <w:tcPr>
            <w:tcW w:w="448" w:type="pct"/>
            <w:shd w:val="clear" w:color="auto" w:fill="auto"/>
            <w:vAlign w:val="center"/>
          </w:tcPr>
          <w:p>
            <w:pPr>
              <w:adjustRightInd w:val="0"/>
              <w:snapToGrid w:val="0"/>
              <w:rPr>
                <w:sz w:val="18"/>
                <w:szCs w:val="18"/>
              </w:rPr>
            </w:pPr>
            <w:r>
              <w:rPr>
                <w:sz w:val="18"/>
                <w:szCs w:val="18"/>
              </w:rPr>
              <w:t>1965.11.22; 1965.11.24</w:t>
            </w:r>
          </w:p>
        </w:tc>
        <w:tc>
          <w:tcPr>
            <w:tcW w:w="337" w:type="pct"/>
            <w:shd w:val="clear" w:color="auto" w:fill="auto"/>
            <w:vAlign w:val="center"/>
          </w:tcPr>
          <w:p>
            <w:pPr>
              <w:adjustRightInd w:val="0"/>
              <w:snapToGrid w:val="0"/>
              <w:rPr>
                <w:sz w:val="18"/>
                <w:szCs w:val="18"/>
              </w:rPr>
            </w:pPr>
            <w:r>
              <w:rPr>
                <w:sz w:val="18"/>
                <w:szCs w:val="18"/>
              </w:rPr>
              <w:t>Blocked the Pufu River, a tributary of the Jinsha River, for 8 months</w:t>
            </w:r>
          </w:p>
        </w:tc>
        <w:tc>
          <w:tcPr>
            <w:tcW w:w="338" w:type="pct"/>
            <w:shd w:val="clear" w:color="auto" w:fill="auto"/>
            <w:vAlign w:val="center"/>
          </w:tcPr>
          <w:p>
            <w:pPr>
              <w:adjustRightInd w:val="0"/>
              <w:snapToGrid w:val="0"/>
              <w:rPr>
                <w:sz w:val="18"/>
                <w:szCs w:val="18"/>
              </w:rPr>
            </w:pPr>
            <w:r>
              <w:rPr>
                <w:sz w:val="18"/>
                <w:szCs w:val="18"/>
              </w:rPr>
              <w:t>More than 17000</w:t>
            </w:r>
          </w:p>
        </w:tc>
        <w:tc>
          <w:tcPr>
            <w:tcW w:w="351" w:type="pct"/>
            <w:shd w:val="clear" w:color="auto" w:fill="auto"/>
            <w:vAlign w:val="center"/>
          </w:tcPr>
          <w:p>
            <w:pPr>
              <w:adjustRightInd w:val="0"/>
              <w:snapToGrid w:val="0"/>
              <w:rPr>
                <w:sz w:val="18"/>
                <w:szCs w:val="18"/>
              </w:rPr>
            </w:pPr>
            <w:r>
              <w:rPr>
                <w:sz w:val="18"/>
                <w:szCs w:val="18"/>
              </w:rPr>
              <w:t>45000</w:t>
            </w:r>
          </w:p>
        </w:tc>
        <w:tc>
          <w:tcPr>
            <w:tcW w:w="262" w:type="pct"/>
            <w:shd w:val="clear" w:color="auto" w:fill="auto"/>
            <w:vAlign w:val="center"/>
          </w:tcPr>
          <w:p>
            <w:pPr>
              <w:adjustRightInd w:val="0"/>
              <w:snapToGrid w:val="0"/>
              <w:rPr>
                <w:sz w:val="18"/>
                <w:szCs w:val="18"/>
              </w:rPr>
            </w:pPr>
            <w:r>
              <w:rPr>
                <w:sz w:val="18"/>
                <w:szCs w:val="18"/>
              </w:rPr>
              <w:t>167</w:t>
            </w:r>
          </w:p>
        </w:tc>
        <w:tc>
          <w:tcPr>
            <w:tcW w:w="400" w:type="pct"/>
            <w:shd w:val="clear" w:color="auto" w:fill="auto"/>
            <w:vAlign w:val="center"/>
          </w:tcPr>
          <w:p>
            <w:pPr>
              <w:adjustRightInd w:val="0"/>
              <w:snapToGrid w:val="0"/>
              <w:rPr>
                <w:sz w:val="18"/>
                <w:szCs w:val="18"/>
              </w:rPr>
            </w:pPr>
            <w:r>
              <w:rPr>
                <w:sz w:val="18"/>
                <w:szCs w:val="18"/>
              </w:rPr>
              <w:t>500</w:t>
            </w: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Rainstorm</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&lt;EndNote&gt;&lt;Cite&gt;&lt;Author&gt;Cheng&lt;/Author&gt;&lt;Year&gt;2015&lt;/Year&gt;&lt;RecNum&gt;451&lt;/RecNum&gt;&lt;DisplayText&gt;[33,34]&lt;/DisplayText&gt;&lt;record&gt;&lt;rec-number&gt;451&lt;/rec-number&gt;&lt;foreign-keys&gt;&lt;key app="EN" db-id="xs0d5swp49tasae5twvpwvdaazzfw0st09xd" timestamp="1668343332"&gt;451&lt;/key&gt;&lt;/foreign-keys&gt;&lt;ref-type name="Journal Article"&gt;17&lt;/ref-type&gt;&lt;contributors&gt;&lt;authors&gt;&lt;author&gt;Cheng, XF&lt;/author&gt;&lt;author&gt;Zhu, CB&lt;/author&gt;&lt;author&gt;Qi, WF&lt;/author&gt;&lt;author&gt;Xu, J&lt;/author&gt;&lt;author&gt;Yuaqn, J&lt;/author&gt;&lt;/authors&gt;&lt;/contributors&gt;&lt;titles&gt;&lt;title&gt;Formation conditions, development tendency and preventive measures of Pufu landslide in Luquan of Yunnan&lt;/title&gt;&lt;secondary-title&gt;Mineral Resources and Geology&lt;/secondary-title&gt;&lt;/titles&gt;&lt;periodical&gt;&lt;full-title&gt;Mineral Resources and Geology&lt;/full-title&gt;&lt;abbr-1&gt;Miner. Resour. Geol.&lt;/abbr-1&gt;&lt;/periodical&gt;&lt;pages&gt;395-401&lt;/pages&gt;&lt;volume&gt;29&lt;/volume&gt;&lt;dates&gt;&lt;year&gt;2015&lt;/year&gt;&lt;/dates&gt;&lt;urls&gt;&lt;/urls&gt;&lt;language&gt;Chinese.&lt;/language&gt;&lt;/record&gt;&lt;/Cite&gt;&lt;Cite&gt;&lt;Author&gt;Wen&lt;/Author&gt;&lt;Year&gt;2021&lt;/Year&gt;&lt;RecNum&gt;452&lt;/RecNum&gt;&lt;record&gt;&lt;rec-number&gt;452&lt;/rec-number&gt;&lt;foreign-keys&gt;&lt;key app="EN" db-id="xs0d5swp49tasae5twvpwvdaazzfw0st09xd" timestamp="1668343433"&gt;452&lt;/key&gt;&lt;/foreign-keys&gt;&lt;ref-type name="Journal Article"&gt;17&lt;/ref-type&gt;&lt;contributors&gt;&lt;authors&gt;&lt;author&gt;Wen, Baoping&lt;/author&gt;&lt;author&gt;Wang, Fan&lt;/author&gt;&lt;/authors&gt;&lt;/contributors&gt;&lt;titles&gt;&lt;title&gt;Precursors and motion characteristics of the 1965 Lannigou rockslides and the subsequent evolution&lt;/title&gt;&lt;secondary-title&gt;Hydrogeology &amp;amp; Engineering Geology&lt;/secondary-title&gt;&lt;/titles&gt;&lt;periodical&gt;&lt;full-title&gt;Hydrogeology &amp;amp; Engineering Geology&lt;/full-title&gt;&lt;abbr-1&gt;Hydrogeol. Eng. Geol.&lt;/abbr-1&gt;&lt;/periodical&gt;&lt;pages&gt;72-80&lt;/pages&gt;&lt;volume&gt;48&lt;/volume&gt;&lt;number&gt;6&lt;/number&gt;&lt;dates&gt;&lt;year&gt;2021&lt;/year&gt;&lt;/dates&gt;&lt;isbn&gt;1000-3665&lt;/isbn&gt;&lt;urls&gt;&lt;/urls&gt;&lt;language&gt;Chinese.&lt;/language&gt;&lt;/record&gt;&lt;/Cite&gt;&lt;/EndNote&gt;</w:instrText>
            </w:r>
            <w:r>
              <w:rPr>
                <w:sz w:val="18"/>
                <w:szCs w:val="18"/>
              </w:rPr>
              <w:fldChar w:fldCharType="separate"/>
            </w:r>
            <w:r>
              <w:rPr>
                <w:sz w:val="18"/>
                <w:szCs w:val="18"/>
              </w:rPr>
              <w:t>[33,34]</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trPr>
        <w:tc>
          <w:tcPr>
            <w:tcW w:w="191" w:type="pct"/>
            <w:shd w:val="clear" w:color="auto" w:fill="auto"/>
            <w:vAlign w:val="center"/>
          </w:tcPr>
          <w:p>
            <w:pPr>
              <w:adjustRightInd w:val="0"/>
              <w:snapToGrid w:val="0"/>
              <w:rPr>
                <w:sz w:val="18"/>
                <w:szCs w:val="18"/>
              </w:rPr>
            </w:pPr>
            <w:r>
              <w:rPr>
                <w:sz w:val="18"/>
                <w:szCs w:val="18"/>
              </w:rPr>
              <w:t>24</w:t>
            </w:r>
          </w:p>
        </w:tc>
        <w:tc>
          <w:tcPr>
            <w:tcW w:w="466" w:type="pct"/>
            <w:shd w:val="clear" w:color="auto" w:fill="auto"/>
            <w:vAlign w:val="center"/>
          </w:tcPr>
          <w:p>
            <w:pPr>
              <w:adjustRightInd w:val="0"/>
              <w:snapToGrid w:val="0"/>
              <w:rPr>
                <w:sz w:val="18"/>
                <w:szCs w:val="18"/>
              </w:rPr>
            </w:pPr>
            <w:r>
              <w:rPr>
                <w:sz w:val="18"/>
                <w:szCs w:val="18"/>
              </w:rPr>
              <w:t>Laojuntan</w:t>
            </w:r>
          </w:p>
        </w:tc>
        <w:tc>
          <w:tcPr>
            <w:tcW w:w="492" w:type="pct"/>
            <w:shd w:val="clear" w:color="auto" w:fill="auto"/>
            <w:vAlign w:val="center"/>
          </w:tcPr>
          <w:p>
            <w:pPr>
              <w:adjustRightInd w:val="0"/>
              <w:snapToGrid w:val="0"/>
              <w:rPr>
                <w:sz w:val="18"/>
                <w:szCs w:val="18"/>
              </w:rPr>
            </w:pPr>
            <w:r>
              <w:rPr>
                <w:sz w:val="18"/>
                <w:szCs w:val="18"/>
              </w:rPr>
              <w:t>102</w:t>
            </w:r>
            <w:r>
              <w:rPr>
                <w:rFonts w:hint="eastAsia"/>
                <w:sz w:val="18"/>
                <w:szCs w:val="18"/>
              </w:rPr>
              <w:t>°</w:t>
            </w:r>
            <w:r>
              <w:rPr>
                <w:sz w:val="18"/>
                <w:szCs w:val="18"/>
              </w:rPr>
              <w:t>45'34.20" E</w:t>
            </w:r>
          </w:p>
        </w:tc>
        <w:tc>
          <w:tcPr>
            <w:tcW w:w="483" w:type="pct"/>
            <w:shd w:val="clear" w:color="auto" w:fill="auto"/>
            <w:vAlign w:val="center"/>
          </w:tcPr>
          <w:p>
            <w:pPr>
              <w:adjustRightInd w:val="0"/>
              <w:snapToGrid w:val="0"/>
              <w:rPr>
                <w:sz w:val="18"/>
                <w:szCs w:val="18"/>
              </w:rPr>
            </w:pPr>
            <w:r>
              <w:rPr>
                <w:sz w:val="18"/>
                <w:szCs w:val="18"/>
              </w:rPr>
              <w:t>26</w:t>
            </w:r>
            <w:r>
              <w:rPr>
                <w:rFonts w:hint="eastAsia"/>
                <w:sz w:val="18"/>
                <w:szCs w:val="18"/>
              </w:rPr>
              <w:t>°</w:t>
            </w:r>
            <w:r>
              <w:rPr>
                <w:sz w:val="18"/>
                <w:szCs w:val="18"/>
              </w:rPr>
              <w:t>16'43.96" N</w:t>
            </w:r>
          </w:p>
        </w:tc>
        <w:tc>
          <w:tcPr>
            <w:tcW w:w="448" w:type="pct"/>
            <w:shd w:val="clear" w:color="auto" w:fill="auto"/>
            <w:vAlign w:val="center"/>
          </w:tcPr>
          <w:p>
            <w:pPr>
              <w:adjustRightInd w:val="0"/>
              <w:snapToGrid w:val="0"/>
              <w:rPr>
                <w:sz w:val="18"/>
                <w:szCs w:val="18"/>
              </w:rPr>
            </w:pPr>
            <w:r>
              <w:rPr>
                <w:sz w:val="18"/>
                <w:szCs w:val="18"/>
              </w:rPr>
              <w:t>1932</w:t>
            </w:r>
          </w:p>
        </w:tc>
        <w:tc>
          <w:tcPr>
            <w:tcW w:w="337" w:type="pct"/>
            <w:shd w:val="clear" w:color="auto" w:fill="auto"/>
            <w:vAlign w:val="center"/>
          </w:tcPr>
          <w:p>
            <w:pPr>
              <w:adjustRightInd w:val="0"/>
              <w:snapToGrid w:val="0"/>
              <w:rPr>
                <w:sz w:val="18"/>
                <w:szCs w:val="18"/>
              </w:rPr>
            </w:pPr>
            <w:r>
              <w:rPr>
                <w:sz w:val="18"/>
                <w:szCs w:val="18"/>
              </w:rPr>
              <w:t>12 hours</w:t>
            </w:r>
          </w:p>
        </w:tc>
        <w:tc>
          <w:tcPr>
            <w:tcW w:w="338" w:type="pct"/>
            <w:shd w:val="clear" w:color="auto" w:fill="auto"/>
            <w:vAlign w:val="center"/>
          </w:tcPr>
          <w:p>
            <w:pPr>
              <w:adjustRightInd w:val="0"/>
              <w:snapToGrid w:val="0"/>
              <w:rPr>
                <w:sz w:val="18"/>
                <w:szCs w:val="18"/>
              </w:rPr>
            </w:pP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&lt;EndNote&gt;&lt;Cite&gt;&lt;Author&gt;Cai&lt;/Author&gt;&lt;Year&gt;2021&lt;/Year&gt;&lt;RecNum&gt;444&lt;/RecNum&gt;&lt;DisplayText&gt;[14]&lt;/DisplayText&gt;&lt;record&gt;&lt;rec-number&gt;444&lt;/rec-number&gt;&lt;foreign-keys&gt;&lt;key app="EN" db-id="xs0d5swp49tasae5twvpwvdaazzfw0st09xd" timestamp="1665984815"&gt;444&lt;/key&gt;&lt;/foreign-keys&gt;&lt;ref-type name="Book"&gt;6&lt;/ref-type&gt;&lt;contributors&gt;&lt;authors&gt;&lt;author&gt;Cai, Yaojun&lt;/author&gt;&lt;author&gt;Luan, Yuesheng&lt;/author&gt;&lt;author&gt;Peng, Wenxiang&lt;/author&gt;&lt;author&gt;Li, Jianqing&lt;/author&gt;&lt;author&gt;Xu, Yi&lt;/author&gt;&lt;/authors&gt;&lt;/contributors&gt;&lt;titles&gt;&lt;title&gt;Analysis on typical cases of barrier lake: causes, disaster and emergency response&lt;/title&gt;&lt;/titles&gt;&lt;pages&gt;318&lt;/pages&gt;&lt;dates&gt;&lt;year&gt;2021&lt;/year&gt;&lt;/dates&gt;&lt;pub-location&gt;Wuhan&lt;/pub-location&gt;&lt;publisher&gt;Changjiang Press&lt;/publisher&gt;&lt;urls&gt;&lt;/urls&gt;&lt;language&gt;Chinese.&lt;/language&gt;&lt;/record&gt;&lt;/Cite&gt;&lt;/EndNote&gt;</w:instrText>
            </w:r>
            <w:r>
              <w:rPr>
                <w:sz w:val="18"/>
                <w:szCs w:val="18"/>
              </w:rPr>
              <w:fldChar w:fldCharType="separate"/>
            </w:r>
            <w:r>
              <w:rPr>
                <w:sz w:val="18"/>
                <w:szCs w:val="18"/>
              </w:rPr>
              <w:t>[14]</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25</w:t>
            </w:r>
          </w:p>
        </w:tc>
        <w:tc>
          <w:tcPr>
            <w:tcW w:w="466" w:type="pct"/>
            <w:shd w:val="clear" w:color="auto" w:fill="auto"/>
            <w:vAlign w:val="center"/>
          </w:tcPr>
          <w:p>
            <w:pPr>
              <w:adjustRightInd w:val="0"/>
              <w:snapToGrid w:val="0"/>
              <w:rPr>
                <w:sz w:val="18"/>
                <w:szCs w:val="18"/>
              </w:rPr>
            </w:pPr>
            <w:r>
              <w:rPr>
                <w:sz w:val="18"/>
                <w:szCs w:val="18"/>
              </w:rPr>
              <w:t>Jintang</w:t>
            </w:r>
          </w:p>
        </w:tc>
        <w:tc>
          <w:tcPr>
            <w:tcW w:w="492" w:type="pct"/>
            <w:shd w:val="clear" w:color="auto" w:fill="auto"/>
            <w:vAlign w:val="center"/>
          </w:tcPr>
          <w:p>
            <w:pPr>
              <w:adjustRightInd w:val="0"/>
              <w:snapToGrid w:val="0"/>
              <w:rPr>
                <w:sz w:val="18"/>
                <w:szCs w:val="18"/>
              </w:rPr>
            </w:pPr>
            <w:r>
              <w:rPr>
                <w:sz w:val="18"/>
                <w:szCs w:val="18"/>
              </w:rPr>
              <w:t>102°59'14.88" E</w:t>
            </w:r>
          </w:p>
        </w:tc>
        <w:tc>
          <w:tcPr>
            <w:tcW w:w="483" w:type="pct"/>
            <w:shd w:val="clear" w:color="auto" w:fill="auto"/>
            <w:vAlign w:val="center"/>
          </w:tcPr>
          <w:p>
            <w:pPr>
              <w:adjustRightInd w:val="0"/>
              <w:snapToGrid w:val="0"/>
              <w:rPr>
                <w:sz w:val="18"/>
                <w:szCs w:val="18"/>
              </w:rPr>
            </w:pPr>
            <w:r>
              <w:rPr>
                <w:sz w:val="18"/>
                <w:szCs w:val="18"/>
              </w:rPr>
              <w:t>26°46'41.14" N</w:t>
            </w:r>
          </w:p>
        </w:tc>
        <w:tc>
          <w:tcPr>
            <w:tcW w:w="448" w:type="pct"/>
            <w:shd w:val="clear" w:color="auto" w:fill="auto"/>
            <w:vAlign w:val="center"/>
          </w:tcPr>
          <w:p>
            <w:pPr>
              <w:adjustRightInd w:val="0"/>
              <w:snapToGrid w:val="0"/>
              <w:rPr>
                <w:sz w:val="18"/>
                <w:szCs w:val="18"/>
              </w:rPr>
            </w:pPr>
            <w:r>
              <w:rPr>
                <w:sz w:val="18"/>
                <w:szCs w:val="18"/>
              </w:rPr>
              <w:t>20 ka BP</w:t>
            </w: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r>
              <w:rPr>
                <w:sz w:val="18"/>
                <w:szCs w:val="18"/>
              </w:rPr>
              <w:t>600000</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More than 200</w:t>
            </w:r>
          </w:p>
        </w:tc>
        <w:tc>
          <w:tcPr>
            <w:tcW w:w="400" w:type="pct"/>
            <w:shd w:val="clear" w:color="auto" w:fill="auto"/>
            <w:vAlign w:val="center"/>
          </w:tcPr>
          <w:p>
            <w:pPr>
              <w:adjustRightInd w:val="0"/>
              <w:snapToGrid w:val="0"/>
              <w:rPr>
                <w:sz w:val="18"/>
                <w:szCs w:val="18"/>
              </w:rPr>
            </w:pPr>
            <w:r>
              <w:rPr>
                <w:sz w:val="18"/>
                <w:szCs w:val="18"/>
              </w:rPr>
              <w:t>More than 2000000</w:t>
            </w: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&lt;EndNote&gt;&lt;Cite&gt;&lt;Author&gt;Wang&lt;/Author&gt;&lt;Year&gt;2019&lt;/Year&gt;&lt;RecNum&gt;475&lt;/RecNum&gt;&lt;DisplayText&gt;[35,36]&lt;/DisplayText&gt;&lt;record&gt;&lt;rec-number&gt;475&lt;/rec-number&gt;&lt;foreign-keys&gt;&lt;key app="EN" db-id="xs0d5swp49tasae5twvpwvdaazzfw0st09xd" timestamp="1668440397"&gt;475&lt;/key&gt;&lt;/foreign-keys&gt;&lt;ref-type name="Thesis"&gt;32&lt;/ref-type&gt;&lt;contributors&gt;&lt;authors&gt;&lt;author&gt;Wang, Ying&lt;/author&gt;&lt;/authors&gt;&lt;/contributors&gt;&lt;titles&gt;&lt;title&gt;Landslide-dammed lake deposits and landslide hazards in Qiaojia-Dongchuan section of Jinsha River&lt;/title&gt;&lt;/titles&gt;&lt;dates&gt;&lt;year&gt;2019&lt;/year&gt;&lt;/dates&gt;&lt;publisher&gt;Institute of Geology, China Earthquake Administrator&lt;/publisher&gt;&lt;work-type&gt;Master’s thesis&lt;/work-type&gt;&lt;urls&gt;&lt;/urls&gt;&lt;language&gt;Chinese.&lt;/language&gt;&lt;/record&gt;&lt;/Cite&gt;&lt;Cite&gt;&lt;Author&gt;Zhang&lt;/Author&gt;&lt;Year&gt;2013&lt;/Year&gt;&lt;RecNum&gt;476&lt;/RecNum&gt;&lt;record&gt;&lt;rec-number&gt;476&lt;/rec-number&gt;&lt;foreign-keys&gt;&lt;key app="EN" db-id="xs0d5swp49tasae5twvpwvdaazzfw0st09xd" timestamp="1668440551"&gt;476&lt;/key&gt;&lt;/foreign-keys&gt;&lt;ref-type name="Journal Article"&gt;17&lt;/ref-type&gt;&lt;contributors&gt;&lt;authors&gt;&lt;author&gt;Zhang, XB&lt;/author&gt;&lt;author&gt;Higgitt, DL&lt;/author&gt;&lt;author&gt;Liu, WM&lt;/author&gt;&lt;author&gt;Tang, Q&lt;/author&gt;&lt;/authors&gt;&lt;/contributors&gt;&lt;titles&gt;&lt;title&gt;Terraces of ancient giant Jintang landslide-dammed lake in Jinsha River&lt;/title&gt;&lt;secondary-title&gt;Journal of Mountain Science&lt;/secondary-title&gt;&lt;/titles&gt;&lt;periodical&gt;&lt;full-title&gt;Journal of Mountain Science&lt;/full-title&gt;&lt;abbr-1&gt;J. Mt. Sci.&lt;/abbr-1&gt;&lt;/periodical&gt;&lt;pages&gt;127&lt;/pages&gt;&lt;volume&gt;31&lt;/volume&gt;&lt;number&gt;1&lt;/number&gt;&lt;dates&gt;&lt;year&gt;2013&lt;/year&gt;&lt;/dates&gt;&lt;urls&gt;&lt;/urls&gt;&lt;language&gt;Chinese.&lt;/language&gt;&lt;/record&gt;&lt;/Cite&gt;&lt;/EndNote&gt;</w:instrText>
            </w:r>
            <w:r>
              <w:rPr>
                <w:sz w:val="18"/>
                <w:szCs w:val="18"/>
              </w:rPr>
              <w:fldChar w:fldCharType="separate"/>
            </w:r>
            <w:r>
              <w:rPr>
                <w:sz w:val="18"/>
                <w:szCs w:val="18"/>
              </w:rPr>
              <w:t>[35,36]</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191" w:type="pct"/>
            <w:shd w:val="clear" w:color="auto" w:fill="auto"/>
            <w:vAlign w:val="center"/>
          </w:tcPr>
          <w:p>
            <w:pPr>
              <w:adjustRightInd w:val="0"/>
              <w:snapToGrid w:val="0"/>
              <w:rPr>
                <w:sz w:val="18"/>
                <w:szCs w:val="18"/>
              </w:rPr>
            </w:pPr>
            <w:r>
              <w:rPr>
                <w:sz w:val="18"/>
                <w:szCs w:val="18"/>
              </w:rPr>
              <w:t>26</w:t>
            </w:r>
          </w:p>
        </w:tc>
        <w:tc>
          <w:tcPr>
            <w:tcW w:w="466" w:type="pct"/>
            <w:shd w:val="clear" w:color="auto" w:fill="auto"/>
            <w:vAlign w:val="center"/>
          </w:tcPr>
          <w:p>
            <w:pPr>
              <w:adjustRightInd w:val="0"/>
              <w:snapToGrid w:val="0"/>
              <w:rPr>
                <w:sz w:val="18"/>
                <w:szCs w:val="18"/>
              </w:rPr>
            </w:pPr>
            <w:r>
              <w:rPr>
                <w:sz w:val="18"/>
                <w:szCs w:val="18"/>
              </w:rPr>
              <w:t>Shigaodi</w:t>
            </w:r>
          </w:p>
        </w:tc>
        <w:tc>
          <w:tcPr>
            <w:tcW w:w="492" w:type="pct"/>
            <w:shd w:val="clear" w:color="auto" w:fill="auto"/>
            <w:vAlign w:val="center"/>
          </w:tcPr>
          <w:p>
            <w:pPr>
              <w:adjustRightInd w:val="0"/>
              <w:snapToGrid w:val="0"/>
              <w:rPr>
                <w:sz w:val="18"/>
                <w:szCs w:val="18"/>
              </w:rPr>
            </w:pPr>
            <w:r>
              <w:rPr>
                <w:sz w:val="18"/>
                <w:szCs w:val="18"/>
              </w:rPr>
              <w:t>102°58'3.59" E</w:t>
            </w:r>
          </w:p>
        </w:tc>
        <w:tc>
          <w:tcPr>
            <w:tcW w:w="483" w:type="pct"/>
            <w:shd w:val="clear" w:color="auto" w:fill="auto"/>
            <w:vAlign w:val="center"/>
          </w:tcPr>
          <w:p>
            <w:pPr>
              <w:adjustRightInd w:val="0"/>
              <w:snapToGrid w:val="0"/>
              <w:rPr>
                <w:sz w:val="18"/>
                <w:szCs w:val="18"/>
              </w:rPr>
            </w:pPr>
            <w:r>
              <w:rPr>
                <w:sz w:val="18"/>
                <w:szCs w:val="18"/>
              </w:rPr>
              <w:t>26°50'15.24" N</w:t>
            </w:r>
          </w:p>
        </w:tc>
        <w:tc>
          <w:tcPr>
            <w:tcW w:w="448" w:type="pct"/>
            <w:shd w:val="clear" w:color="auto" w:fill="auto"/>
            <w:vAlign w:val="center"/>
          </w:tcPr>
          <w:p>
            <w:pPr>
              <w:adjustRightInd w:val="0"/>
              <w:snapToGrid w:val="0"/>
              <w:rPr>
                <w:sz w:val="18"/>
                <w:szCs w:val="18"/>
              </w:rPr>
            </w:pPr>
            <w:r>
              <w:rPr>
                <w:sz w:val="18"/>
                <w:szCs w:val="18"/>
              </w:rPr>
              <w:t>1880.04.13</w:t>
            </w:r>
          </w:p>
        </w:tc>
        <w:tc>
          <w:tcPr>
            <w:tcW w:w="337" w:type="pct"/>
            <w:shd w:val="clear" w:color="auto" w:fill="auto"/>
            <w:vAlign w:val="center"/>
          </w:tcPr>
          <w:p>
            <w:pPr>
              <w:adjustRightInd w:val="0"/>
              <w:snapToGrid w:val="0"/>
              <w:rPr>
                <w:sz w:val="18"/>
                <w:szCs w:val="18"/>
              </w:rPr>
            </w:pPr>
            <w:r>
              <w:rPr>
                <w:sz w:val="18"/>
                <w:szCs w:val="18"/>
              </w:rPr>
              <w:t>3 days</w:t>
            </w:r>
          </w:p>
        </w:tc>
        <w:tc>
          <w:tcPr>
            <w:tcW w:w="338" w:type="pct"/>
            <w:shd w:val="clear" w:color="auto" w:fill="auto"/>
            <w:vAlign w:val="center"/>
          </w:tcPr>
          <w:p>
            <w:pPr>
              <w:adjustRightInd w:val="0"/>
              <w:snapToGrid w:val="0"/>
              <w:rPr>
                <w:sz w:val="18"/>
                <w:szCs w:val="18"/>
              </w:rPr>
            </w:pPr>
            <w:r>
              <w:rPr>
                <w:sz w:val="18"/>
                <w:szCs w:val="18"/>
              </w:rPr>
              <w:t>53600</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r>
              <w:rPr>
                <w:sz w:val="18"/>
                <w:szCs w:val="18"/>
              </w:rPr>
              <w:t>200</w:t>
            </w: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Earthquakes (near Xiaojiang fault); Strong fluvial incision</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&lt;EndNote&gt;&lt;Cite&gt;&lt;Author&gt;Cai&lt;/Author&gt;&lt;Year&gt;2021&lt;/Year&gt;&lt;RecNum&gt;444&lt;/RecNum&gt;&lt;DisplayText&gt;[14,37]&lt;/DisplayText&gt;&lt;record&gt;&lt;rec-number&gt;444&lt;/rec-number&gt;&lt;foreign-keys&gt;&lt;key app="EN" db-id="xs0d5swp49tasae5twvpwvdaazzfw0st09xd" timestamp="1665984815"&gt;444&lt;/key&gt;&lt;/foreign-keys&gt;&lt;ref-type name="Book"&gt;6&lt;/ref-type&gt;&lt;contributors&gt;&lt;authors&gt;&lt;author&gt;Cai, Yaojun&lt;/author&gt;&lt;author&gt;Luan, Yuesheng&lt;/author&gt;&lt;author&gt;Peng, Wenxiang&lt;/author&gt;&lt;author&gt;Li, Jianqing&lt;/author&gt;&lt;author&gt;Xu, Yi&lt;/author&gt;&lt;/authors&gt;&lt;/contributors&gt;&lt;titles&gt;&lt;title&gt;Analysis on typical cases of barrier lake: causes, disaster and emergency response&lt;/title&gt;&lt;/titles&gt;&lt;pages&gt;318&lt;/pages&gt;&lt;dates&gt;&lt;year&gt;2021&lt;/year&gt;&lt;/dates&gt;&lt;pub-location&gt;Wuhan&lt;/pub-location&gt;&lt;publisher&gt;Changjiang Press&lt;/publisher&gt;&lt;urls&gt;&lt;/urls&gt;&lt;language&gt;Chinese.&lt;/language&gt;&lt;/record&gt;&lt;/Cite&gt;&lt;Cite&gt;&lt;Author&gt;Chai&lt;/Author&gt;&lt;Year&gt;1995&lt;/Year&gt;&lt;RecNum&gt;443&lt;/RecNum&gt;&lt;record&gt;&lt;rec-number&gt;443&lt;/rec-number&gt;&lt;foreign-keys&gt;&lt;key app="EN" db-id="xs0d5swp49tasae5twvpwvdaazzfw0st09xd" timestamp="1665984132"&gt;443&lt;/key&gt;&lt;/foreign-keys&gt;&lt;ref-type name="Journal Article"&gt;17&lt;/ref-type&gt;&lt;contributors&gt;&lt;authors&gt;&lt;author&gt;Chai, Hejun&lt;/author&gt;&lt;author&gt;Liu, Hanchao&lt;/author&gt;&lt;author&gt;Zhang, Zhuoyuan&lt;/author&gt;&lt;/authors&gt;&lt;/contributors&gt;&lt;titles&gt;&lt;title&gt;The catalog of Chinese landslide dam events&lt;/title&gt;&lt;secondary-title&gt;Journal of Geological Hazards and Environment Preservation&lt;/secondary-title&gt;&lt;/titles&gt;&lt;periodical&gt;&lt;full-title&gt;Journal of Geological Hazards and Environment Preservation&lt;/full-title&gt;&lt;abbr-1&gt;J. Geol. Hazards Environ. Preserv.&lt;/abbr-1&gt;&lt;/periodical&gt;&lt;pages&gt;1-9&lt;/pages&gt;&lt;volume&gt;6&lt;/volume&gt;&lt;number&gt;4&lt;/number&gt;&lt;dates&gt;&lt;year&gt;1995&lt;/year&gt;&lt;/dates&gt;&lt;urls&gt;&lt;/urls&gt;&lt;language&gt;Chinese.&lt;/language&gt;&lt;/record&gt;&lt;/Cite&gt;&lt;/EndNote&gt;</w:instrText>
            </w:r>
            <w:r>
              <w:rPr>
                <w:sz w:val="18"/>
                <w:szCs w:val="18"/>
              </w:rPr>
              <w:fldChar w:fldCharType="separate"/>
            </w:r>
            <w:r>
              <w:rPr>
                <w:sz w:val="18"/>
                <w:szCs w:val="18"/>
              </w:rPr>
              <w:t>[14,37]</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27</w:t>
            </w:r>
          </w:p>
        </w:tc>
        <w:tc>
          <w:tcPr>
            <w:tcW w:w="466" w:type="pct"/>
            <w:shd w:val="clear" w:color="auto" w:fill="auto"/>
            <w:vAlign w:val="center"/>
          </w:tcPr>
          <w:p>
            <w:pPr>
              <w:adjustRightInd w:val="0"/>
              <w:snapToGrid w:val="0"/>
              <w:rPr>
                <w:sz w:val="18"/>
                <w:szCs w:val="18"/>
              </w:rPr>
            </w:pPr>
            <w:r>
              <w:rPr>
                <w:sz w:val="18"/>
                <w:szCs w:val="18"/>
              </w:rPr>
              <w:t>Shunhe</w:t>
            </w:r>
          </w:p>
        </w:tc>
        <w:tc>
          <w:tcPr>
            <w:tcW w:w="492" w:type="pct"/>
            <w:shd w:val="clear" w:color="auto" w:fill="auto"/>
            <w:vAlign w:val="center"/>
          </w:tcPr>
          <w:p>
            <w:pPr>
              <w:adjustRightInd w:val="0"/>
              <w:snapToGrid w:val="0"/>
              <w:rPr>
                <w:sz w:val="18"/>
                <w:szCs w:val="18"/>
              </w:rPr>
            </w:pPr>
            <w:r>
              <w:rPr>
                <w:sz w:val="18"/>
                <w:szCs w:val="18"/>
              </w:rPr>
              <w:t>103°46'36.24" E</w:t>
            </w:r>
          </w:p>
        </w:tc>
        <w:tc>
          <w:tcPr>
            <w:tcW w:w="483" w:type="pct"/>
            <w:shd w:val="clear" w:color="auto" w:fill="auto"/>
            <w:vAlign w:val="center"/>
          </w:tcPr>
          <w:p>
            <w:pPr>
              <w:adjustRightInd w:val="0"/>
              <w:snapToGrid w:val="0"/>
              <w:rPr>
                <w:sz w:val="18"/>
                <w:szCs w:val="18"/>
              </w:rPr>
            </w:pPr>
            <w:r>
              <w:rPr>
                <w:sz w:val="18"/>
                <w:szCs w:val="18"/>
              </w:rPr>
              <w:t>28°14'39.98" N</w:t>
            </w:r>
          </w:p>
        </w:tc>
        <w:tc>
          <w:tcPr>
            <w:tcW w:w="448"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r>
              <w:rPr>
                <w:sz w:val="18"/>
                <w:szCs w:val="18"/>
              </w:rPr>
              <w:t>7820</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&lt;EndNote&gt;&lt;Cite&gt;&lt;Author&gt;Liu&lt;/Author&gt;&lt;Year&gt;2019&lt;/Year&gt;&lt;RecNum&gt;389&lt;/RecNum&gt;&lt;DisplayText&gt;[15]&lt;/DisplayText&gt;&lt;record&gt;&lt;rec-number&gt;389&lt;/rec-number&gt;&lt;foreign-keys&gt;&lt;key app="EN" db-id="xs0d5swp49tasae5twvpwvdaazzfw0st09xd" timestamp="1663171734"&gt;389&lt;/key&gt;&lt;/foreign-keys&gt;&lt;ref-type name="Journal Article"&gt;17&lt;/ref-type&gt;&lt;contributors&gt;&lt;authors&gt;&lt;author&gt;Liu, Weiming&lt;/author&gt;&lt;author&gt;Carling, Paul A&lt;/author&gt;&lt;author&gt;Hu, Kaiheng&lt;/author&gt;&lt;author&gt;Wang, Hao&lt;/author&gt;&lt;author&gt;Zhou, Zhen&lt;/author&gt;&lt;author&gt;Zhou, Liqin&lt;/author&gt;&lt;author&gt;Liu, Dingzhu&lt;/author&gt;&lt;author&gt;Lai, Zhongping&lt;/author&gt;&lt;author&gt;Zhang, Xinbao&lt;/author&gt;&lt;/authors&gt;&lt;/contributors&gt;&lt;titles&gt;&lt;title&gt;Outburst floods in China: A review&lt;/title&gt;&lt;secondary-title&gt;Earth-Science Reviews&lt;/secondary-title&gt;&lt;/titles&gt;&lt;periodical&gt;&lt;full-title&gt;Earth-Science Reviews&lt;/full-title&gt;&lt;abbr-1&gt;Earth Sci. Rev.&lt;/abbr-1&gt;&lt;/periodical&gt;&lt;pages&gt;102895&lt;/pages&gt;&lt;volume&gt;197&lt;/volume&gt;&lt;dates&gt;&lt;year&gt;2019&lt;/year&gt;&lt;/dates&gt;&lt;isbn&gt;0012-8252&lt;/isbn&gt;&lt;urls&gt;&lt;/urls&gt;&lt;/record&gt;&lt;/Cite&gt;&lt;/EndNote&gt;</w:instrText>
            </w:r>
            <w:r>
              <w:rPr>
                <w:sz w:val="18"/>
                <w:szCs w:val="18"/>
              </w:rPr>
              <w:fldChar w:fldCharType="separate"/>
            </w:r>
            <w:r>
              <w:rPr>
                <w:sz w:val="18"/>
                <w:szCs w:val="18"/>
              </w:rPr>
              <w:t>[15]</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1" w:type="pct"/>
            <w:shd w:val="clear" w:color="auto" w:fill="auto"/>
            <w:vAlign w:val="center"/>
          </w:tcPr>
          <w:p>
            <w:pPr>
              <w:adjustRightInd w:val="0"/>
              <w:snapToGrid w:val="0"/>
              <w:rPr>
                <w:sz w:val="18"/>
                <w:szCs w:val="18"/>
              </w:rPr>
            </w:pPr>
            <w:r>
              <w:rPr>
                <w:sz w:val="18"/>
                <w:szCs w:val="18"/>
              </w:rPr>
              <w:t>28</w:t>
            </w:r>
          </w:p>
        </w:tc>
        <w:tc>
          <w:tcPr>
            <w:tcW w:w="466" w:type="pct"/>
            <w:shd w:val="clear" w:color="auto" w:fill="auto"/>
            <w:vAlign w:val="center"/>
          </w:tcPr>
          <w:p>
            <w:pPr>
              <w:adjustRightInd w:val="0"/>
              <w:snapToGrid w:val="0"/>
              <w:rPr>
                <w:sz w:val="18"/>
                <w:szCs w:val="18"/>
              </w:rPr>
            </w:pPr>
            <w:r>
              <w:rPr>
                <w:sz w:val="18"/>
                <w:szCs w:val="18"/>
              </w:rPr>
              <w:t>Wujiawan</w:t>
            </w:r>
          </w:p>
        </w:tc>
        <w:tc>
          <w:tcPr>
            <w:tcW w:w="492" w:type="pct"/>
            <w:shd w:val="clear" w:color="auto" w:fill="auto"/>
            <w:vAlign w:val="center"/>
          </w:tcPr>
          <w:p>
            <w:pPr>
              <w:adjustRightInd w:val="0"/>
              <w:snapToGrid w:val="0"/>
              <w:rPr>
                <w:sz w:val="18"/>
                <w:szCs w:val="18"/>
              </w:rPr>
            </w:pPr>
            <w:r>
              <w:rPr>
                <w:sz w:val="18"/>
                <w:szCs w:val="18"/>
              </w:rPr>
              <w:t>103°48'49.24" E</w:t>
            </w:r>
          </w:p>
        </w:tc>
        <w:tc>
          <w:tcPr>
            <w:tcW w:w="483" w:type="pct"/>
            <w:shd w:val="clear" w:color="auto" w:fill="auto"/>
            <w:vAlign w:val="center"/>
          </w:tcPr>
          <w:p>
            <w:pPr>
              <w:adjustRightInd w:val="0"/>
              <w:snapToGrid w:val="0"/>
              <w:rPr>
                <w:sz w:val="18"/>
                <w:szCs w:val="18"/>
              </w:rPr>
            </w:pPr>
            <w:r>
              <w:rPr>
                <w:sz w:val="18"/>
                <w:szCs w:val="18"/>
              </w:rPr>
              <w:t>28°16'16.05" N</w:t>
            </w:r>
          </w:p>
        </w:tc>
        <w:tc>
          <w:tcPr>
            <w:tcW w:w="448" w:type="pct"/>
            <w:shd w:val="clear" w:color="auto" w:fill="auto"/>
            <w:vAlign w:val="center"/>
          </w:tcPr>
          <w:p>
            <w:pPr>
              <w:adjustRightInd w:val="0"/>
              <w:snapToGrid w:val="0"/>
              <w:rPr>
                <w:sz w:val="18"/>
                <w:szCs w:val="18"/>
              </w:rPr>
            </w:pPr>
            <w:r>
              <w:rPr>
                <w:sz w:val="18"/>
                <w:szCs w:val="18"/>
              </w:rPr>
              <w:t>1887.03.17</w:t>
            </w:r>
          </w:p>
        </w:tc>
        <w:tc>
          <w:tcPr>
            <w:tcW w:w="337" w:type="pct"/>
            <w:shd w:val="clear" w:color="auto" w:fill="auto"/>
            <w:vAlign w:val="center"/>
          </w:tcPr>
          <w:p>
            <w:pPr>
              <w:adjustRightInd w:val="0"/>
              <w:snapToGrid w:val="0"/>
              <w:rPr>
                <w:sz w:val="18"/>
                <w:szCs w:val="18"/>
              </w:rPr>
            </w:pPr>
            <w:r>
              <w:rPr>
                <w:sz w:val="18"/>
                <w:szCs w:val="18"/>
              </w:rPr>
              <w:t>7 days</w:t>
            </w:r>
          </w:p>
        </w:tc>
        <w:tc>
          <w:tcPr>
            <w:tcW w:w="338" w:type="pct"/>
            <w:shd w:val="clear" w:color="auto" w:fill="auto"/>
            <w:vAlign w:val="center"/>
          </w:tcPr>
          <w:p>
            <w:pPr>
              <w:adjustRightInd w:val="0"/>
              <w:snapToGrid w:val="0"/>
              <w:rPr>
                <w:sz w:val="18"/>
                <w:szCs w:val="18"/>
              </w:rPr>
            </w:pPr>
            <w:r>
              <w:rPr>
                <w:sz w:val="18"/>
                <w:szCs w:val="18"/>
              </w:rPr>
              <w:t>3375</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Rainfall</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&lt;EndNote&gt;&lt;Cite&gt;&lt;Author&gt;Liu&lt;/Author&gt;&lt;Year&gt;2019&lt;/Year&gt;&lt;RecNum&gt;389&lt;/RecNum&gt;&lt;DisplayText&gt;[14,15]&lt;/DisplayText&gt;&lt;record&gt;&lt;rec-number&gt;389&lt;/rec-number&gt;&lt;foreign-keys&gt;&lt;key app="EN" db-id="xs0d5swp49tasae5twvpwvdaazzfw0st09xd" timestamp="1663171734"&gt;389&lt;/key&gt;&lt;/foreign-keys&gt;&lt;ref-type name="Journal Article"&gt;17&lt;/ref-type&gt;&lt;contributors&gt;&lt;authors&gt;&lt;author&gt;Liu, Weiming&lt;/author&gt;&lt;author&gt;Carling, Paul A&lt;/author&gt;&lt;author&gt;Hu, Kaiheng&lt;/author&gt;&lt;author&gt;Wang, Hao&lt;/author&gt;&lt;author&gt;Zhou, Zhen&lt;/author&gt;&lt;author&gt;Zhou, Liqin&lt;/author&gt;&lt;author&gt;Liu, Dingzhu&lt;/author&gt;&lt;author&gt;Lai, Zhongping&lt;/author&gt;&lt;author&gt;Zhang, Xinbao&lt;/author&gt;&lt;/authors&gt;&lt;/contributors&gt;&lt;titles&gt;&lt;title&gt;Outburst floods in China: A review&lt;/title&gt;&lt;secondary-title&gt;Earth-Science Reviews&lt;/secondary-title&gt;&lt;/titles&gt;&lt;periodical&gt;&lt;full-title&gt;Earth-Science Reviews&lt;/full-title&gt;&lt;abbr-1&gt;Earth Sci. Rev.&lt;/abbr-1&gt;&lt;/periodical&gt;&lt;pages&gt;102895&lt;/pages&gt;&lt;volume&gt;197&lt;/volume&gt;&lt;dates&gt;&lt;year&gt;2019&lt;/year&gt;&lt;/dates&gt;&lt;isbn&gt;0012-8252&lt;/isbn&gt;&lt;urls&gt;&lt;/urls&gt;&lt;/record&gt;&lt;/Cite&gt;&lt;Cite&gt;&lt;Author&gt;Cai&lt;/Author&gt;&lt;Year&gt;2021&lt;/Year&gt;&lt;RecNum&gt;444&lt;/RecNum&gt;&lt;record&gt;&lt;rec-number&gt;444&lt;/rec-number&gt;&lt;foreign-keys&gt;&lt;key app="EN" db-id="xs0d5swp49tasae5twvpwvdaazzfw0st09xd" timestamp="1665984815"&gt;444&lt;/key&gt;&lt;/foreign-keys&gt;&lt;ref-type name="Book"&gt;6&lt;/ref-type&gt;&lt;contributors&gt;&lt;authors&gt;&lt;author&gt;Cai, Yaojun&lt;/author&gt;&lt;author&gt;Luan, Yuesheng&lt;/author&gt;&lt;author&gt;Peng, Wenxiang&lt;/author&gt;&lt;author&gt;Li, Jianqing&lt;/author&gt;&lt;author&gt;Xu, Yi&lt;/author&gt;&lt;/authors&gt;&lt;/contributors&gt;&lt;titles&gt;&lt;title&gt;Analysis on typical cases of barrier lake: causes, disaster and emergency response&lt;/title&gt;&lt;/titles&gt;&lt;pages&gt;318&lt;/pages&gt;&lt;dates&gt;&lt;year&gt;2021&lt;/year&gt;&lt;/dates&gt;&lt;pub-location&gt;Wuhan&lt;/pub-location&gt;&lt;publisher&gt;Changjiang Press&lt;/publisher&gt;&lt;urls&gt;&lt;/urls&gt;&lt;language&gt;Chinese.&lt;/language&gt;&lt;/record&gt;&lt;/Cite&gt;&lt;/EndNote&gt;</w:instrText>
            </w:r>
            <w:r>
              <w:rPr>
                <w:sz w:val="18"/>
                <w:szCs w:val="18"/>
              </w:rPr>
              <w:fldChar w:fldCharType="separate"/>
            </w:r>
            <w:r>
              <w:rPr>
                <w:sz w:val="18"/>
                <w:szCs w:val="18"/>
              </w:rPr>
              <w:t>[14,15]</w:t>
            </w:r>
            <w:r>
              <w:rPr>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91" w:type="pct"/>
            <w:shd w:val="clear" w:color="auto" w:fill="auto"/>
            <w:vAlign w:val="center"/>
          </w:tcPr>
          <w:p>
            <w:pPr>
              <w:adjustRightInd w:val="0"/>
              <w:snapToGrid w:val="0"/>
              <w:rPr>
                <w:sz w:val="18"/>
                <w:szCs w:val="18"/>
              </w:rPr>
            </w:pPr>
            <w:r>
              <w:rPr>
                <w:sz w:val="18"/>
                <w:szCs w:val="18"/>
              </w:rPr>
              <w:t>29</w:t>
            </w:r>
          </w:p>
        </w:tc>
        <w:tc>
          <w:tcPr>
            <w:tcW w:w="466" w:type="pct"/>
            <w:shd w:val="clear" w:color="auto" w:fill="auto"/>
            <w:vAlign w:val="center"/>
          </w:tcPr>
          <w:p>
            <w:pPr>
              <w:adjustRightInd w:val="0"/>
              <w:snapToGrid w:val="0"/>
              <w:rPr>
                <w:sz w:val="18"/>
                <w:szCs w:val="18"/>
              </w:rPr>
            </w:pPr>
            <w:r>
              <w:rPr>
                <w:sz w:val="18"/>
                <w:szCs w:val="18"/>
              </w:rPr>
              <w:t>Dongyemiao</w:t>
            </w:r>
          </w:p>
        </w:tc>
        <w:tc>
          <w:tcPr>
            <w:tcW w:w="492" w:type="pct"/>
            <w:shd w:val="clear" w:color="auto" w:fill="auto"/>
            <w:vAlign w:val="center"/>
          </w:tcPr>
          <w:p>
            <w:pPr>
              <w:adjustRightInd w:val="0"/>
              <w:snapToGrid w:val="0"/>
              <w:rPr>
                <w:sz w:val="18"/>
                <w:szCs w:val="18"/>
              </w:rPr>
            </w:pPr>
            <w:r>
              <w:rPr>
                <w:sz w:val="18"/>
                <w:szCs w:val="18"/>
              </w:rPr>
              <w:t>104°12'35.41" E</w:t>
            </w:r>
          </w:p>
        </w:tc>
        <w:tc>
          <w:tcPr>
            <w:tcW w:w="483" w:type="pct"/>
            <w:shd w:val="clear" w:color="auto" w:fill="auto"/>
            <w:vAlign w:val="center"/>
          </w:tcPr>
          <w:p>
            <w:pPr>
              <w:adjustRightInd w:val="0"/>
              <w:snapToGrid w:val="0"/>
              <w:rPr>
                <w:sz w:val="18"/>
                <w:szCs w:val="18"/>
              </w:rPr>
            </w:pPr>
            <w:r>
              <w:rPr>
                <w:sz w:val="18"/>
                <w:szCs w:val="18"/>
              </w:rPr>
              <w:t>28°38'22.23" N</w:t>
            </w:r>
          </w:p>
        </w:tc>
        <w:tc>
          <w:tcPr>
            <w:tcW w:w="448"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338" w:type="pct"/>
            <w:shd w:val="clear" w:color="auto" w:fill="auto"/>
            <w:vAlign w:val="center"/>
          </w:tcPr>
          <w:p>
            <w:pPr>
              <w:adjustRightInd w:val="0"/>
              <w:snapToGrid w:val="0"/>
              <w:rPr>
                <w:sz w:val="18"/>
                <w:szCs w:val="18"/>
              </w:rPr>
            </w:pPr>
            <w:r>
              <w:rPr>
                <w:sz w:val="18"/>
                <w:szCs w:val="18"/>
              </w:rPr>
              <w:t>7100</w:t>
            </w:r>
          </w:p>
        </w:tc>
        <w:tc>
          <w:tcPr>
            <w:tcW w:w="351" w:type="pct"/>
            <w:shd w:val="clear" w:color="auto" w:fill="auto"/>
            <w:vAlign w:val="center"/>
          </w:tcPr>
          <w:p>
            <w:pPr>
              <w:adjustRightInd w:val="0"/>
              <w:snapToGrid w:val="0"/>
              <w:rPr>
                <w:sz w:val="18"/>
                <w:szCs w:val="18"/>
              </w:rPr>
            </w:pPr>
          </w:p>
        </w:tc>
        <w:tc>
          <w:tcPr>
            <w:tcW w:w="262" w:type="pct"/>
            <w:shd w:val="clear" w:color="auto" w:fill="auto"/>
            <w:vAlign w:val="center"/>
          </w:tcPr>
          <w:p>
            <w:pPr>
              <w:adjustRightInd w:val="0"/>
              <w:snapToGrid w:val="0"/>
              <w:rPr>
                <w:sz w:val="18"/>
                <w:szCs w:val="18"/>
              </w:rPr>
            </w:pPr>
          </w:p>
        </w:tc>
        <w:tc>
          <w:tcPr>
            <w:tcW w:w="400" w:type="pct"/>
            <w:shd w:val="clear" w:color="auto" w:fill="auto"/>
            <w:vAlign w:val="center"/>
          </w:tcPr>
          <w:p>
            <w:pPr>
              <w:adjustRightInd w:val="0"/>
              <w:snapToGrid w:val="0"/>
              <w:rPr>
                <w:sz w:val="18"/>
                <w:szCs w:val="18"/>
              </w:rPr>
            </w:pPr>
          </w:p>
        </w:tc>
        <w:tc>
          <w:tcPr>
            <w:tcW w:w="337" w:type="pct"/>
            <w:shd w:val="clear" w:color="auto" w:fill="auto"/>
            <w:vAlign w:val="center"/>
          </w:tcPr>
          <w:p>
            <w:pPr>
              <w:adjustRightInd w:val="0"/>
              <w:snapToGrid w:val="0"/>
              <w:rPr>
                <w:sz w:val="18"/>
                <w:szCs w:val="18"/>
              </w:rPr>
            </w:pPr>
          </w:p>
        </w:tc>
        <w:tc>
          <w:tcPr>
            <w:tcW w:w="535" w:type="pct"/>
            <w:shd w:val="clear" w:color="auto" w:fill="auto"/>
            <w:vAlign w:val="center"/>
          </w:tcPr>
          <w:p>
            <w:pPr>
              <w:adjustRightInd w:val="0"/>
              <w:snapToGrid w:val="0"/>
              <w:rPr>
                <w:sz w:val="18"/>
                <w:szCs w:val="18"/>
              </w:rPr>
            </w:pPr>
            <w:r>
              <w:rPr>
                <w:sz w:val="18"/>
                <w:szCs w:val="18"/>
              </w:rPr>
              <w:t>Strong fluvial incision</w:t>
            </w:r>
          </w:p>
        </w:tc>
        <w:tc>
          <w:tcPr>
            <w:tcW w:w="360" w:type="pct"/>
            <w:shd w:val="clear" w:color="auto" w:fill="auto"/>
            <w:vAlign w:val="center"/>
          </w:tcPr>
          <w:p>
            <w:pPr>
              <w:adjustRightInd w:val="0"/>
              <w:snapToGrid w:val="0"/>
              <w:rPr>
                <w:sz w:val="18"/>
                <w:szCs w:val="18"/>
              </w:rPr>
            </w:pPr>
            <w:r>
              <w:rPr>
                <w:sz w:val="18"/>
                <w:szCs w:val="18"/>
              </w:rPr>
              <w:fldChar w:fldCharType="begin"/>
            </w:r>
            <w:r>
              <w:rPr>
                <w:sz w:val="18"/>
                <w:szCs w:val="18"/>
              </w:rPr>
              <w:instrText xml:space="preserve"> ADDIN EN.CITE &lt;EndNote&gt;&lt;Cite&gt;&lt;Author&gt;Li&lt;/Author&gt;&lt;Year&gt;2007&lt;/Year&gt;&lt;RecNum&gt;477&lt;/RecNum&gt;&lt;DisplayText&gt;[38]&lt;/DisplayText&gt;&lt;record&gt;&lt;rec-number&gt;477&lt;/rec-number&gt;&lt;foreign-keys&gt;&lt;key app="EN" db-id="xs0d5swp49tasae5twvpwvdaazzfw0st09xd" timestamp="1668441000"&gt;477&lt;/key&gt;&lt;/foreign-keys&gt;&lt;ref-type name="Journal Article"&gt;17&lt;/ref-type&gt;&lt;contributors&gt;&lt;authors&gt;&lt;author&gt;Li, Hongjie&lt;/author&gt;&lt;author&gt;Yang, Jun&lt;/author&gt;&lt;author&gt;Xiong, Jianping&lt;/author&gt;&lt;author&gt;Zeng, Xiangxi&lt;/author&gt;&lt;author&gt;Zhong, Huiya&lt;/author&gt;&lt;/authors&gt;&lt;/contributors&gt;&lt;titles&gt;&lt;title&gt;Genetic analysis and stability assessment of a landslide in a reservoir area of Jinshajiang River&lt;/title&gt;&lt;secondary-title&gt;The Chinese Journal of Geological Hazard and Control&lt;/secondary-title&gt;&lt;/titles&gt;&lt;periodical&gt;&lt;full-title&gt;The Chinese Journal of Geological Hazard and Control&lt;/full-title&gt;&lt;abbr-1&gt;Chin. J. Geol. Hazards Control&lt;/abbr-1&gt;&lt;/periodical&gt;&lt;pages&gt;13-16&lt;/pages&gt;&lt;volume&gt;18&lt;/volume&gt;&lt;number&gt;2&lt;/number&gt;&lt;dates&gt;&lt;year&gt;2007&lt;/year&gt;&lt;/dates&gt;&lt;urls&gt;&lt;/urls&gt;&lt;language&gt;Chinese.&lt;/language&gt;&lt;/record&gt;&lt;/Cite&gt;&lt;/EndNote&gt;</w:instrText>
            </w:r>
            <w:r>
              <w:rPr>
                <w:sz w:val="18"/>
                <w:szCs w:val="18"/>
              </w:rPr>
              <w:fldChar w:fldCharType="separate"/>
            </w:r>
            <w:r>
              <w:rPr>
                <w:sz w:val="18"/>
                <w:szCs w:val="18"/>
              </w:rPr>
              <w:t>[38]</w:t>
            </w:r>
            <w:r>
              <w:rPr>
                <w:sz w:val="18"/>
                <w:szCs w:val="18"/>
              </w:rPr>
              <w:fldChar w:fldCharType="end"/>
            </w:r>
          </w:p>
        </w:tc>
      </w:tr>
    </w:tbl>
    <w:p>
      <w:pPr>
        <w:rPr>
          <w:sz w:val="18"/>
          <w:szCs w:val="18"/>
        </w:rPr>
      </w:pPr>
    </w:p>
    <w:p>
      <w:pPr>
        <w:rPr>
          <w:sz w:val="18"/>
          <w:szCs w:val="18"/>
        </w:rPr>
        <w:sectPr>
          <w:pgSz w:w="16838" w:h="11906" w:orient="landscape"/>
          <w:pgMar w:top="720" w:right="896" w:bottom="1038" w:left="1038" w:header="510" w:footer="652" w:gutter="0"/>
          <w:cols w:space="708" w:num="1"/>
          <w:docGrid w:linePitch="360" w:charSpace="0"/>
        </w:sectPr>
      </w:pPr>
    </w:p>
    <w:p>
      <w:pPr>
        <w:keepNext/>
        <w:overflowPunct w:val="0"/>
        <w:autoSpaceDE w:val="0"/>
        <w:autoSpaceDN w:val="0"/>
        <w:adjustRightInd w:val="0"/>
        <w:spacing w:before="60" w:after="60"/>
        <w:textAlignment w:val="baseline"/>
        <w:rPr>
          <w:b/>
          <w:sz w:val="18"/>
          <w:szCs w:val="18"/>
          <w:lang w:val="en-AU" w:eastAsia="zh-CN"/>
        </w:rPr>
      </w:pPr>
      <w:r>
        <w:rPr>
          <w:b/>
          <w:sz w:val="18"/>
          <w:szCs w:val="18"/>
          <w:lang w:val="en-AU" w:eastAsia="zh-CN"/>
        </w:rPr>
        <w:t>Table S2</w:t>
      </w:r>
    </w:p>
    <w:p>
      <w:pPr>
        <w:keepNext/>
        <w:overflowPunct w:val="0"/>
        <w:autoSpaceDE w:val="0"/>
        <w:autoSpaceDN w:val="0"/>
        <w:adjustRightInd w:val="0"/>
        <w:spacing w:before="60" w:after="60"/>
        <w:textAlignment w:val="baseline"/>
        <w:rPr>
          <w:bCs/>
          <w:sz w:val="18"/>
          <w:szCs w:val="18"/>
          <w:lang w:val="en-AU" w:eastAsia="zh-CN"/>
        </w:rPr>
      </w:pPr>
      <w:r>
        <w:rPr>
          <w:bCs/>
          <w:sz w:val="18"/>
          <w:szCs w:val="18"/>
          <w:lang w:val="en-AU" w:eastAsia="zh-CN"/>
        </w:rPr>
        <w:t>Summary of the spatial distribution of mapped landslides.</w:t>
      </w:r>
    </w:p>
    <w:tbl>
      <w:tblPr>
        <w:tblStyle w:val="89"/>
        <w:tblW w:w="44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7"/>
        <w:gridCol w:w="2155"/>
        <w:gridCol w:w="2143"/>
        <w:gridCol w:w="14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1793"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Regions</w:t>
            </w:r>
          </w:p>
        </w:tc>
        <w:tc>
          <w:tcPr>
            <w:tcW w:w="1201"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Number of damming landslides</w:t>
            </w:r>
          </w:p>
        </w:tc>
        <w:tc>
          <w:tcPr>
            <w:tcW w:w="1194"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Number of non-damming landslides</w:t>
            </w:r>
          </w:p>
        </w:tc>
        <w:tc>
          <w:tcPr>
            <w:tcW w:w="812"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Reference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3"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The mainstream of Jinsha River</w:t>
            </w:r>
          </w:p>
        </w:tc>
        <w:tc>
          <w:tcPr>
            <w:tcW w:w="1201"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23</w:t>
            </w:r>
          </w:p>
        </w:tc>
        <w:tc>
          <w:tcPr>
            <w:tcW w:w="1194"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137</w:t>
            </w:r>
          </w:p>
        </w:tc>
        <w:tc>
          <w:tcPr>
            <w:tcW w:w="812" w:type="pct"/>
            <w:vAlign w:val="center"/>
          </w:tcPr>
          <w:p>
            <w:pPr>
              <w:widowControl w:val="0"/>
              <w:adjustRightInd w:val="0"/>
              <w:snapToGrid w:val="0"/>
              <w:rPr>
                <w:rFonts w:ascii="Times New Roman" w:hAnsi="Times New Roman" w:eastAsia="等线" w:cs="Times New Roman"/>
                <w:kern w:val="0"/>
                <w:sz w:val="18"/>
                <w:szCs w:val="18"/>
              </w:rPr>
            </w:pPr>
            <w:r>
              <w:rPr>
                <w:rFonts w:eastAsia="等线" w:asciiTheme="minorHAnsi" w:hAnsiTheme="minorHAnsi" w:cstheme="minorBidi"/>
                <w:kern w:val="2"/>
                <w:sz w:val="18"/>
                <w:szCs w:val="18"/>
              </w:rPr>
              <w:fldChar w:fldCharType="begin">
                <w:fldData xml:space="preserve">PEVuZE5vdGU+PENpdGU+PEF1dGhvcj5DaGVuPC9BdXRob3I+PFllYXI+MjAxNjwvWWVhcj48UmVj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</w:fldData>
              </w:fldChar>
            </w:r>
            <w:r>
              <w:rPr>
                <w:rFonts w:ascii="Times New Roman" w:hAnsi="Times New Roman" w:eastAsia="等线" w:cs="Times New Roman"/>
                <w:kern w:val="2"/>
                <w:sz w:val="18"/>
                <w:szCs w:val="18"/>
              </w:rPr>
              <w:instrText xml:space="preserve"> ADDIN EN.CITE </w:instrText>
            </w:r>
            <w:r>
              <w:rPr>
                <w:rFonts w:eastAsia="等线" w:asciiTheme="minorHAnsi" w:hAnsiTheme="minorHAnsi" w:cstheme="minorBidi"/>
                <w:kern w:val="2"/>
                <w:sz w:val="18"/>
                <w:szCs w:val="18"/>
              </w:rPr>
              <w:fldChar w:fldCharType="begin">
                <w:fldData xml:space="preserve">PEVuZE5vdGU+PENpdGU+PEF1dGhvcj5DaGVuPC9BdXRob3I+PFllYXI+MjAxNjwvWWVhcj48UmVj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</w:fldData>
              </w:fldChar>
            </w:r>
            <w:r>
              <w:rPr>
                <w:rFonts w:ascii="Times New Roman" w:hAnsi="Times New Roman" w:eastAsia="等线" w:cs="Times New Roman"/>
                <w:kern w:val="2"/>
                <w:sz w:val="18"/>
                <w:szCs w:val="18"/>
              </w:rPr>
              <w:instrText xml:space="preserve"> ADDIN EN.CITE.DATA </w:instrText>
            </w:r>
            <w:r>
              <w:rPr>
                <w:rFonts w:eastAsia="等线" w:asciiTheme="minorHAnsi" w:hAnsiTheme="minorHAnsi" w:cstheme="minorBidi"/>
                <w:kern w:val="2"/>
                <w:sz w:val="18"/>
                <w:szCs w:val="18"/>
              </w:rPr>
              <w:fldChar w:fldCharType="end"/>
            </w:r>
            <w:r>
              <w:rPr>
                <w:rFonts w:eastAsia="等线" w:asciiTheme="minorHAnsi" w:hAnsiTheme="minorHAnsi" w:cstheme="minorBidi"/>
                <w:kern w:val="2"/>
                <w:sz w:val="18"/>
                <w:szCs w:val="18"/>
              </w:rPr>
              <w:fldChar w:fldCharType="separate"/>
            </w:r>
            <w:r>
              <w:rPr>
                <w:rFonts w:ascii="Times New Roman" w:hAnsi="Times New Roman" w:eastAsia="等线" w:cs="Times New Roman"/>
                <w:kern w:val="2"/>
                <w:sz w:val="18"/>
                <w:szCs w:val="18"/>
              </w:rPr>
              <w:t>[2,12,16,20,26]</w:t>
            </w:r>
            <w:r>
              <w:rPr>
                <w:rFonts w:eastAsia="等线" w:asciiTheme="minorHAnsi" w:hAnsiTheme="minorHAnsi" w:cstheme="minorBidi"/>
                <w:kern w:val="2"/>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3"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 xml:space="preserve">Impact zone of 2008 Wenchuan earthquake </w:t>
            </w:r>
          </w:p>
        </w:tc>
        <w:tc>
          <w:tcPr>
            <w:tcW w:w="1201"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69</w:t>
            </w:r>
          </w:p>
        </w:tc>
        <w:tc>
          <w:tcPr>
            <w:tcW w:w="1194"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104</w:t>
            </w:r>
          </w:p>
        </w:tc>
        <w:tc>
          <w:tcPr>
            <w:tcW w:w="812" w:type="pct"/>
            <w:vAlign w:val="center"/>
          </w:tcPr>
          <w:p>
            <w:pPr>
              <w:widowControl w:val="0"/>
              <w:adjustRightInd w:val="0"/>
              <w:snapToGrid w:val="0"/>
              <w:rPr>
                <w:rFonts w:ascii="Times New Roman" w:hAnsi="Times New Roman" w:eastAsia="等线" w:cs="Times New Roman"/>
                <w:kern w:val="0"/>
                <w:sz w:val="18"/>
                <w:szCs w:val="18"/>
              </w:rPr>
            </w:pPr>
            <w:r>
              <w:rPr>
                <w:rFonts w:eastAsia="等线" w:asciiTheme="minorHAnsi" w:hAnsiTheme="minorHAnsi" w:cstheme="minorBidi"/>
                <w:kern w:val="2"/>
                <w:sz w:val="18"/>
                <w:szCs w:val="18"/>
              </w:rPr>
              <w:fldChar w:fldCharType="begin">
                <w:fldData xml:space="preserve">PEVuZE5vdGU+PENpdGU+PEF1dGhvcj5GYW48L0F1dGhvcj48WWVhcj4yMDIxPC9ZZWFyPjxSZWNO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</w:fldData>
              </w:fldChar>
            </w:r>
            <w:r>
              <w:rPr>
                <w:rFonts w:ascii="Times New Roman" w:hAnsi="Times New Roman" w:eastAsia="等线" w:cs="Times New Roman"/>
                <w:kern w:val="2"/>
                <w:sz w:val="18"/>
                <w:szCs w:val="18"/>
              </w:rPr>
              <w:instrText xml:space="preserve"> ADDIN EN.CITE </w:instrText>
            </w:r>
            <w:r>
              <w:rPr>
                <w:rFonts w:eastAsia="等线" w:asciiTheme="minorHAnsi" w:hAnsiTheme="minorHAnsi" w:cstheme="minorBidi"/>
                <w:kern w:val="2"/>
                <w:sz w:val="18"/>
                <w:szCs w:val="18"/>
              </w:rPr>
              <w:fldChar w:fldCharType="begin">
                <w:fldData xml:space="preserve">PEVuZE5vdGU+PENpdGU+PEF1dGhvcj5GYW48L0F1dGhvcj48WWVhcj4yMDIxPC9ZZWFyPjxSZWNO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</w:fldData>
              </w:fldChar>
            </w:r>
            <w:r>
              <w:rPr>
                <w:rFonts w:ascii="Times New Roman" w:hAnsi="Times New Roman" w:eastAsia="等线" w:cs="Times New Roman"/>
                <w:kern w:val="2"/>
                <w:sz w:val="18"/>
                <w:szCs w:val="18"/>
              </w:rPr>
              <w:instrText xml:space="preserve"> ADDIN EN.CITE.DATA </w:instrText>
            </w:r>
            <w:r>
              <w:rPr>
                <w:rFonts w:eastAsia="等线" w:asciiTheme="minorHAnsi" w:hAnsiTheme="minorHAnsi" w:cstheme="minorBidi"/>
                <w:kern w:val="2"/>
                <w:sz w:val="18"/>
                <w:szCs w:val="18"/>
              </w:rPr>
              <w:fldChar w:fldCharType="end"/>
            </w:r>
            <w:r>
              <w:rPr>
                <w:rFonts w:eastAsia="等线" w:asciiTheme="minorHAnsi" w:hAnsiTheme="minorHAnsi" w:cstheme="minorBidi"/>
                <w:kern w:val="2"/>
                <w:sz w:val="18"/>
                <w:szCs w:val="18"/>
              </w:rPr>
              <w:fldChar w:fldCharType="separate"/>
            </w:r>
            <w:r>
              <w:rPr>
                <w:rFonts w:ascii="Times New Roman" w:hAnsi="Times New Roman" w:eastAsia="等线" w:cs="Times New Roman"/>
                <w:kern w:val="2"/>
                <w:sz w:val="18"/>
                <w:szCs w:val="18"/>
              </w:rPr>
              <w:t>[39-41]</w:t>
            </w:r>
            <w:r>
              <w:rPr>
                <w:rFonts w:eastAsia="等线" w:asciiTheme="minorHAnsi" w:hAnsiTheme="minorHAnsi" w:cstheme="minorBidi"/>
                <w:kern w:val="2"/>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3"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Yarlung Zangbo River</w:t>
            </w:r>
          </w:p>
        </w:tc>
        <w:tc>
          <w:tcPr>
            <w:tcW w:w="1201"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6</w:t>
            </w:r>
          </w:p>
        </w:tc>
        <w:tc>
          <w:tcPr>
            <w:tcW w:w="1194"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24</w:t>
            </w:r>
          </w:p>
        </w:tc>
        <w:tc>
          <w:tcPr>
            <w:tcW w:w="812" w:type="pct"/>
            <w:vAlign w:val="center"/>
          </w:tcPr>
          <w:p>
            <w:pPr>
              <w:widowControl w:val="0"/>
              <w:adjustRightInd w:val="0"/>
              <w:snapToGrid w:val="0"/>
              <w:rPr>
                <w:rFonts w:ascii="Times New Roman" w:hAnsi="Times New Roman" w:eastAsia="等线" w:cs="Times New Roman"/>
                <w:kern w:val="0"/>
                <w:sz w:val="18"/>
                <w:szCs w:val="18"/>
              </w:rPr>
            </w:pPr>
            <w:r>
              <w:rPr>
                <w:rFonts w:eastAsia="等线" w:asciiTheme="minorHAnsi" w:hAnsiTheme="minorHAnsi" w:cstheme="minorBidi"/>
                <w:kern w:val="2"/>
                <w:sz w:val="18"/>
                <w:szCs w:val="18"/>
              </w:rPr>
              <w:fldChar w:fldCharType="begin"/>
            </w:r>
            <w:r>
              <w:rPr>
                <w:rFonts w:ascii="Times New Roman" w:hAnsi="Times New Roman" w:eastAsia="等线" w:cs="Times New Roman"/>
                <w:kern w:val="2"/>
                <w:sz w:val="18"/>
                <w:szCs w:val="18"/>
              </w:rPr>
              <w:instrText xml:space="preserve"> ADDIN EN.CITE &lt;EndNote&gt;&lt;Cite&gt;&lt;Author&gt;Wang&lt;/Author&gt;&lt;Year&gt;2022&lt;/Year&gt;&lt;RecNum&gt;442&lt;/RecNum&gt;&lt;DisplayText&gt;[42]&lt;/DisplayText&gt;&lt;record&gt;&lt;rec-number&gt;442&lt;/rec-number&gt;&lt;foreign-keys&gt;&lt;key app="EN" db-id="xs0d5swp49tasae5twvpwvdaazzfw0st09xd" timestamp="1665983573"&gt;442&lt;/key&gt;&lt;/foreign-keys&gt;&lt;ref-type name="Journal Article"&gt;17&lt;/ref-type&gt;&lt;contributors&gt;&lt;authors&gt;&lt;author&gt;Wang, Hao&lt;/author&gt;&lt;author&gt;Cui, Peng&lt;/author&gt;&lt;author&gt;Zhou, Liqin&lt;/author&gt;&lt;author&gt;Liu, Weiming&lt;/author&gt;&lt;author&gt;Yang, Anna&lt;/author&gt;&lt;author&gt;Yao, Shunyu&lt;/author&gt;&lt;author&gt;Jiang, Zhenni&lt;/author&gt;&lt;/authors&gt;&lt;/contributors&gt;&lt;titles&gt;&lt;title&gt;Spatial and temporal distribution of landslide-dammed lakes in Purlung Tsangpo&lt;/title&gt;&lt;secondary-title&gt;Engineering Geology&lt;/secondary-title&gt;&lt;/titles&gt;&lt;periodical&gt;&lt;full-title&gt;Engineering Geology&lt;/full-title&gt;&lt;abbr-1&gt;Eng. Geol.&lt;/abbr-1&gt;&lt;/periodical&gt;&lt;pages&gt;106802&lt;/pages&gt;&lt;volume&gt;308&lt;/volume&gt;&lt;dates&gt;&lt;year&gt;2022&lt;/year&gt;&lt;/dates&gt;&lt;isbn&gt;0013-7952&lt;/isbn&gt;&lt;urls&gt;&lt;/urls&gt;&lt;/record&gt;&lt;/Cite&gt;&lt;/EndNote&gt;</w:instrText>
            </w:r>
            <w:r>
              <w:rPr>
                <w:rFonts w:eastAsia="等线" w:asciiTheme="minorHAnsi" w:hAnsiTheme="minorHAnsi" w:cstheme="minorBidi"/>
                <w:kern w:val="2"/>
                <w:sz w:val="18"/>
                <w:szCs w:val="18"/>
              </w:rPr>
              <w:fldChar w:fldCharType="separate"/>
            </w:r>
            <w:r>
              <w:rPr>
                <w:rFonts w:ascii="Times New Roman" w:hAnsi="Times New Roman" w:eastAsia="等线" w:cs="Times New Roman"/>
                <w:kern w:val="2"/>
                <w:sz w:val="18"/>
                <w:szCs w:val="18"/>
              </w:rPr>
              <w:t>[42]</w:t>
            </w:r>
            <w:r>
              <w:rPr>
                <w:rFonts w:eastAsia="等线" w:asciiTheme="minorHAnsi" w:hAnsiTheme="minorHAnsi" w:cstheme="minorBidi"/>
                <w:kern w:val="2"/>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3"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Lancang River and Nujiang River</w:t>
            </w:r>
          </w:p>
        </w:tc>
        <w:tc>
          <w:tcPr>
            <w:tcW w:w="1201"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8</w:t>
            </w:r>
          </w:p>
        </w:tc>
        <w:tc>
          <w:tcPr>
            <w:tcW w:w="1194"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67</w:t>
            </w:r>
          </w:p>
        </w:tc>
        <w:tc>
          <w:tcPr>
            <w:tcW w:w="812" w:type="pct"/>
            <w:vAlign w:val="center"/>
          </w:tcPr>
          <w:p>
            <w:pPr>
              <w:widowControl w:val="0"/>
              <w:adjustRightInd w:val="0"/>
              <w:snapToGrid w:val="0"/>
              <w:rPr>
                <w:rFonts w:ascii="Times New Roman" w:hAnsi="Times New Roman" w:eastAsia="等线" w:cs="Times New Roman"/>
                <w:kern w:val="0"/>
                <w:sz w:val="18"/>
                <w:szCs w:val="18"/>
              </w:rPr>
            </w:pPr>
            <w:r>
              <w:rPr>
                <w:rFonts w:eastAsia="等线" w:asciiTheme="minorHAnsi" w:hAnsiTheme="minorHAnsi" w:cstheme="minorBidi"/>
                <w:kern w:val="2"/>
                <w:sz w:val="18"/>
                <w:szCs w:val="18"/>
              </w:rPr>
              <w:fldChar w:fldCharType="begin"/>
            </w:r>
            <w:r>
              <w:rPr>
                <w:rFonts w:ascii="Times New Roman" w:hAnsi="Times New Roman" w:eastAsia="等线" w:cs="Times New Roman"/>
                <w:kern w:val="2"/>
                <w:sz w:val="18"/>
                <w:szCs w:val="18"/>
              </w:rPr>
              <w:instrText xml:space="preserve"> ADDIN EN.CITE &lt;EndNote&gt;&lt;Cite&gt;&lt;Author&gt;Gao&lt;/Author&gt;&lt;Year&gt;2020&lt;/Year&gt;&lt;RecNum&gt;426&lt;/RecNum&gt;&lt;DisplayText&gt;[17]&lt;/DisplayText&gt;&lt;record&gt;&lt;rec-number&gt;426&lt;/rec-number&gt;&lt;foreign-keys&gt;&lt;key app="EN" db-id="xs0d5swp49tasae5twvpwvdaazzfw0st09xd" timestamp="1665977155"&gt;426&lt;/key&gt;&lt;/foreign-keys&gt;&lt;ref-type name="Journal Article"&gt;17&lt;/ref-type&gt;&lt;contributors&gt;&lt;authors&gt;&lt;author&gt;Gao, Y&lt;/author&gt;&lt;author&gt;Zhao, S&lt;/author&gt;&lt;author&gt;Deng, J&lt;/author&gt;&lt;/authors&gt;&lt;/contributors&gt;&lt;titles&gt;&lt;title&gt;Developing law of damming landslide and challenges for disaster prevention and mitigation in the Three-river-parallel Territory in the Tibetan Plateau&lt;/title&gt;&lt;secondary-title&gt;Advanced Engineering Sciences&lt;/secondary-title&gt;&lt;/titles&gt;&lt;periodical&gt;&lt;full-title&gt;Advanced Engineering Sciences&lt;/full-title&gt;&lt;abbr-1&gt;Adv. Eng. Sci.&lt;/abbr-1&gt;&lt;/periodical&gt;&lt;pages&gt;50-61&lt;/pages&gt;&lt;volume&gt;52&lt;/volume&gt;&lt;number&gt;5&lt;/number&gt;&lt;dates&gt;&lt;year&gt;2020&lt;/year&gt;&lt;/dates&gt;&lt;urls&gt;&lt;/urls&gt;&lt;language&gt;Chinese.&lt;/language&gt;&lt;/record&gt;&lt;/Cite&gt;&lt;/EndNote&gt;</w:instrText>
            </w:r>
            <w:r>
              <w:rPr>
                <w:rFonts w:eastAsia="等线" w:asciiTheme="minorHAnsi" w:hAnsiTheme="minorHAnsi" w:cstheme="minorBidi"/>
                <w:kern w:val="2"/>
                <w:sz w:val="18"/>
                <w:szCs w:val="18"/>
              </w:rPr>
              <w:fldChar w:fldCharType="separate"/>
            </w:r>
            <w:r>
              <w:rPr>
                <w:rFonts w:ascii="Times New Roman" w:hAnsi="Times New Roman" w:eastAsia="等线" w:cs="Times New Roman"/>
                <w:kern w:val="2"/>
                <w:sz w:val="18"/>
                <w:szCs w:val="18"/>
              </w:rPr>
              <w:t>[17]</w:t>
            </w:r>
            <w:r>
              <w:rPr>
                <w:rFonts w:eastAsia="等线" w:asciiTheme="minorHAnsi" w:hAnsiTheme="minorHAnsi" w:cstheme="minorBidi"/>
                <w:kern w:val="2"/>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3"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Yalong River</w:t>
            </w:r>
          </w:p>
        </w:tc>
        <w:tc>
          <w:tcPr>
            <w:tcW w:w="1201"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2</w:t>
            </w:r>
          </w:p>
        </w:tc>
        <w:tc>
          <w:tcPr>
            <w:tcW w:w="1194"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21</w:t>
            </w:r>
          </w:p>
        </w:tc>
        <w:tc>
          <w:tcPr>
            <w:tcW w:w="812" w:type="pct"/>
            <w:vAlign w:val="center"/>
          </w:tcPr>
          <w:p>
            <w:pPr>
              <w:widowControl w:val="0"/>
              <w:adjustRightInd w:val="0"/>
              <w:snapToGrid w:val="0"/>
              <w:rPr>
                <w:rFonts w:ascii="Times New Roman" w:hAnsi="Times New Roman" w:eastAsia="等线" w:cs="Times New Roman"/>
                <w:kern w:val="0"/>
                <w:sz w:val="18"/>
                <w:szCs w:val="18"/>
              </w:rPr>
            </w:pPr>
            <w:r>
              <w:rPr>
                <w:rFonts w:eastAsia="等线" w:asciiTheme="minorHAnsi" w:hAnsiTheme="minorHAnsi" w:cstheme="minorBidi"/>
                <w:kern w:val="2"/>
                <w:sz w:val="18"/>
                <w:szCs w:val="18"/>
              </w:rPr>
              <w:fldChar w:fldCharType="begin"/>
            </w:r>
            <w:r>
              <w:rPr>
                <w:rFonts w:ascii="Times New Roman" w:hAnsi="Times New Roman" w:eastAsia="等线" w:cs="Times New Roman"/>
                <w:kern w:val="2"/>
                <w:sz w:val="18"/>
                <w:szCs w:val="18"/>
              </w:rPr>
              <w:instrText xml:space="preserve"> ADDIN EN.CITE &lt;EndNote&gt;&lt;Cite&gt;&lt;Author&gt;Liu&lt;/Author&gt;&lt;Year&gt;2019&lt;/Year&gt;&lt;RecNum&gt;389&lt;/RecNum&gt;&lt;DisplayText&gt;[15]&lt;/DisplayText&gt;&lt;record&gt;&lt;rec-number&gt;389&lt;/rec-number&gt;&lt;foreign-keys&gt;&lt;key app="EN" db-id="xs0d5swp49tasae5twvpwvdaazzfw0st09xd" timestamp="1663171734"&gt;389&lt;/key&gt;&lt;/foreign-keys&gt;&lt;ref-type name="Journal Article"&gt;17&lt;/ref-type&gt;&lt;contributors&gt;&lt;authors&gt;&lt;author&gt;Liu, Weiming&lt;/author&gt;&lt;author&gt;Carling, Paul A&lt;/author&gt;&lt;author&gt;Hu, Kaiheng&lt;/author&gt;&lt;author&gt;Wang, Hao&lt;/author&gt;&lt;author&gt;Zhou, Zhen&lt;/author&gt;&lt;author&gt;Zhou, Liqin&lt;/author&gt;&lt;author&gt;Liu, Dingzhu&lt;/author&gt;&lt;author&gt;Lai, Zhongping&lt;/author&gt;&lt;author&gt;Zhang, Xinbao&lt;/author&gt;&lt;/authors&gt;&lt;/contributors&gt;&lt;titles&gt;&lt;title&gt;Outburst floods in China: A review&lt;/title&gt;&lt;secondary-title&gt;Earth-Science Reviews&lt;/secondary-title&gt;&lt;/titles&gt;&lt;periodical&gt;&lt;full-title&gt;Earth-Science Reviews&lt;/full-title&gt;&lt;abbr-1&gt;Earth Sci. Rev.&lt;/abbr-1&gt;&lt;/periodical&gt;&lt;pages&gt;102895&lt;/pages&gt;&lt;volume&gt;197&lt;/volume&gt;&lt;dates&gt;&lt;year&gt;2019&lt;/year&gt;&lt;/dates&gt;&lt;isbn&gt;0012-8252&lt;/isbn&gt;&lt;urls&gt;&lt;/urls&gt;&lt;/record&gt;&lt;/Cite&gt;&lt;/EndNote&gt;</w:instrText>
            </w:r>
            <w:r>
              <w:rPr>
                <w:rFonts w:eastAsia="等线" w:asciiTheme="minorHAnsi" w:hAnsiTheme="minorHAnsi" w:cstheme="minorBidi"/>
                <w:kern w:val="2"/>
                <w:sz w:val="18"/>
                <w:szCs w:val="18"/>
              </w:rPr>
              <w:fldChar w:fldCharType="separate"/>
            </w:r>
            <w:r>
              <w:rPr>
                <w:rFonts w:ascii="Times New Roman" w:hAnsi="Times New Roman" w:eastAsia="等线" w:cs="Times New Roman"/>
                <w:kern w:val="2"/>
                <w:sz w:val="18"/>
                <w:szCs w:val="18"/>
              </w:rPr>
              <w:t>[15]</w:t>
            </w:r>
            <w:r>
              <w:rPr>
                <w:rFonts w:eastAsia="等线" w:asciiTheme="minorHAnsi" w:hAnsiTheme="minorHAnsi" w:cstheme="minorBidi"/>
                <w:kern w:val="2"/>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3"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Dadu River</w:t>
            </w:r>
          </w:p>
        </w:tc>
        <w:tc>
          <w:tcPr>
            <w:tcW w:w="1201"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5</w:t>
            </w:r>
          </w:p>
        </w:tc>
        <w:tc>
          <w:tcPr>
            <w:tcW w:w="1194"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25</w:t>
            </w:r>
          </w:p>
        </w:tc>
        <w:tc>
          <w:tcPr>
            <w:tcW w:w="812" w:type="pct"/>
            <w:vAlign w:val="center"/>
          </w:tcPr>
          <w:p>
            <w:pPr>
              <w:widowControl w:val="0"/>
              <w:adjustRightInd w:val="0"/>
              <w:snapToGrid w:val="0"/>
              <w:rPr>
                <w:rFonts w:ascii="Times New Roman" w:hAnsi="Times New Roman" w:eastAsia="等线" w:cs="Times New Roman"/>
                <w:kern w:val="0"/>
                <w:sz w:val="18"/>
                <w:szCs w:val="18"/>
              </w:rPr>
            </w:pPr>
            <w:r>
              <w:rPr>
                <w:rFonts w:eastAsia="等线" w:asciiTheme="minorHAnsi" w:hAnsiTheme="minorHAnsi" w:cstheme="minorBidi"/>
                <w:kern w:val="2"/>
                <w:sz w:val="18"/>
                <w:szCs w:val="18"/>
              </w:rPr>
              <w:fldChar w:fldCharType="begin"/>
            </w:r>
            <w:r>
              <w:rPr>
                <w:rFonts w:ascii="Times New Roman" w:hAnsi="Times New Roman" w:eastAsia="等线" w:cs="Times New Roman"/>
                <w:kern w:val="2"/>
                <w:sz w:val="18"/>
                <w:szCs w:val="18"/>
              </w:rPr>
              <w:instrText xml:space="preserve"> ADDIN EN.CITE &lt;EndNote&gt;&lt;Cite&gt;&lt;Author&gt;Liu&lt;/Author&gt;&lt;Year&gt;2019&lt;/Year&gt;&lt;RecNum&gt;389&lt;/RecNum&gt;&lt;DisplayText&gt;[15]&lt;/DisplayText&gt;&lt;record&gt;&lt;rec-number&gt;389&lt;/rec-number&gt;&lt;foreign-keys&gt;&lt;key app="EN" db-id="xs0d5swp49tasae5twvpwvdaazzfw0st09xd" timestamp="1663171734"&gt;389&lt;/key&gt;&lt;/foreign-keys&gt;&lt;ref-type name="Journal Article"&gt;17&lt;/ref-type&gt;&lt;contributors&gt;&lt;authors&gt;&lt;author&gt;Liu, Weiming&lt;/author&gt;&lt;author&gt;Carling, Paul A&lt;/author&gt;&lt;author&gt;Hu, Kaiheng&lt;/author&gt;&lt;author&gt;Wang, Hao&lt;/author&gt;&lt;author&gt;Zhou, Zhen&lt;/author&gt;&lt;author&gt;Zhou, Liqin&lt;/author&gt;&lt;author&gt;Liu, Dingzhu&lt;/author&gt;&lt;author&gt;Lai, Zhongping&lt;/author&gt;&lt;author&gt;Zhang, Xinbao&lt;/author&gt;&lt;/authors&gt;&lt;/contributors&gt;&lt;titles&gt;&lt;title&gt;Outburst floods in China: A review&lt;/title&gt;&lt;secondary-title&gt;Earth-Science Reviews&lt;/secondary-title&gt;&lt;/titles&gt;&lt;periodical&gt;&lt;full-title&gt;Earth-Science Reviews&lt;/full-title&gt;&lt;abbr-1&gt;Earth Sci. Rev.&lt;/abbr-1&gt;&lt;/periodical&gt;&lt;pages&gt;102895&lt;/pages&gt;&lt;volume&gt;197&lt;/volume&gt;&lt;dates&gt;&lt;year&gt;2019&lt;/year&gt;&lt;/dates&gt;&lt;isbn&gt;0012-8252&lt;/isbn&gt;&lt;urls&gt;&lt;/urls&gt;&lt;/record&gt;&lt;/Cite&gt;&lt;/EndNote&gt;</w:instrText>
            </w:r>
            <w:r>
              <w:rPr>
                <w:rFonts w:eastAsia="等线" w:asciiTheme="minorHAnsi" w:hAnsiTheme="minorHAnsi" w:cstheme="minorBidi"/>
                <w:kern w:val="2"/>
                <w:sz w:val="18"/>
                <w:szCs w:val="18"/>
              </w:rPr>
              <w:fldChar w:fldCharType="separate"/>
            </w:r>
            <w:r>
              <w:rPr>
                <w:rFonts w:ascii="Times New Roman" w:hAnsi="Times New Roman" w:eastAsia="等线" w:cs="Times New Roman"/>
                <w:kern w:val="2"/>
                <w:sz w:val="18"/>
                <w:szCs w:val="18"/>
              </w:rPr>
              <w:t>[15]</w:t>
            </w:r>
            <w:r>
              <w:rPr>
                <w:rFonts w:eastAsia="等线" w:asciiTheme="minorHAnsi" w:hAnsiTheme="minorHAnsi" w:cstheme="minorBidi"/>
                <w:kern w:val="2"/>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3"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Bailong River Basin</w:t>
            </w:r>
          </w:p>
        </w:tc>
        <w:tc>
          <w:tcPr>
            <w:tcW w:w="1201"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35</w:t>
            </w:r>
          </w:p>
        </w:tc>
        <w:tc>
          <w:tcPr>
            <w:tcW w:w="1194"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52</w:t>
            </w:r>
          </w:p>
        </w:tc>
        <w:tc>
          <w:tcPr>
            <w:tcW w:w="812" w:type="pct"/>
            <w:vAlign w:val="center"/>
          </w:tcPr>
          <w:p>
            <w:pPr>
              <w:widowControl w:val="0"/>
              <w:adjustRightInd w:val="0"/>
              <w:snapToGrid w:val="0"/>
              <w:rPr>
                <w:rFonts w:ascii="Times New Roman" w:hAnsi="Times New Roman" w:eastAsia="等线" w:cs="Times New Roman"/>
                <w:kern w:val="0"/>
                <w:sz w:val="18"/>
                <w:szCs w:val="18"/>
              </w:rPr>
            </w:pPr>
            <w:r>
              <w:rPr>
                <w:rFonts w:eastAsia="等线" w:asciiTheme="minorHAnsi" w:hAnsiTheme="minorHAnsi" w:cstheme="minorBidi"/>
                <w:kern w:val="2"/>
                <w:sz w:val="18"/>
                <w:szCs w:val="18"/>
              </w:rPr>
              <w:fldChar w:fldCharType="begin"/>
            </w:r>
            <w:r>
              <w:rPr>
                <w:rFonts w:ascii="Times New Roman" w:hAnsi="Times New Roman" w:eastAsia="等线" w:cs="Times New Roman"/>
                <w:kern w:val="2"/>
                <w:sz w:val="18"/>
                <w:szCs w:val="18"/>
              </w:rPr>
              <w:instrText xml:space="preserve"> ADDIN EN.CITE &lt;EndNote&gt;&lt;Cite&gt;&lt;Author&gt;Jin&lt;/Author&gt;&lt;Year&gt;2022&lt;/Year&gt;&lt;RecNum&gt;392&lt;/RecNum&gt;&lt;DisplayText&gt;[43]&lt;/DisplayText&gt;&lt;record&gt;&lt;rec-number&gt;392&lt;/rec-number&gt;&lt;foreign-keys&gt;&lt;key app="EN" db-id="xs0d5swp49tasae5twvpwvdaazzfw0st09xd" timestamp="1663171863"&gt;392&lt;/key&gt;&lt;/foreign-keys&gt;&lt;ref-type name="Journal Article"&gt;17&lt;/ref-type&gt;&lt;contributors&gt;&lt;authors&gt;&lt;author&gt;Jin, Jiacheng&lt;/author&gt;&lt;author&gt;Chen, Guan&lt;/author&gt;&lt;author&gt;Meng, Xingmin&lt;/author&gt;&lt;author&gt;Zhang, Yi&lt;/author&gt;&lt;author&gt;Shi, Wei&lt;/author&gt;&lt;author&gt;Li, Yuanxi&lt;/author&gt;&lt;author&gt;Yang, Yunpeng&lt;/author&gt;&lt;author&gt;Jiang, Wanyu&lt;/author&gt;&lt;/authors&gt;&lt;/contributors&gt;&lt;titles&gt;&lt;title&gt;Prediction of river damming susceptibility by landslides based on a logistic regression model and InSAR techniques: A case study of the Bailong River Basin, China&lt;/title&gt;&lt;secondary-title&gt;Engineering Geology&lt;/secondary-title&gt;&lt;/titles&gt;&lt;periodical&gt;&lt;full-title&gt;Engineering Geology&lt;/full-title&gt;&lt;abbr-1&gt;Eng. Geol.&lt;/abbr-1&gt;&lt;/periodical&gt;&lt;pages&gt;106562&lt;/pages&gt;&lt;volume&gt;299&lt;/volume&gt;&lt;dates&gt;&lt;year&gt;2022&lt;/year&gt;&lt;/dates&gt;&lt;isbn&gt;0013-7952&lt;/isbn&gt;&lt;urls&gt;&lt;/urls&gt;&lt;/record&gt;&lt;/Cite&gt;&lt;/EndNote&gt;</w:instrText>
            </w:r>
            <w:r>
              <w:rPr>
                <w:rFonts w:eastAsia="等线" w:asciiTheme="minorHAnsi" w:hAnsiTheme="minorHAnsi" w:cstheme="minorBidi"/>
                <w:kern w:val="2"/>
                <w:sz w:val="18"/>
                <w:szCs w:val="18"/>
              </w:rPr>
              <w:fldChar w:fldCharType="separate"/>
            </w:r>
            <w:r>
              <w:rPr>
                <w:rFonts w:ascii="Times New Roman" w:hAnsi="Times New Roman" w:eastAsia="等线" w:cs="Times New Roman"/>
                <w:kern w:val="2"/>
                <w:sz w:val="18"/>
                <w:szCs w:val="18"/>
              </w:rPr>
              <w:t>[43]</w:t>
            </w:r>
            <w:r>
              <w:rPr>
                <w:rFonts w:eastAsia="等线" w:asciiTheme="minorHAnsi" w:hAnsiTheme="minorHAnsi" w:cstheme="minorBidi"/>
                <w:kern w:val="2"/>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3"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Distributed scarcely in the study area</w:t>
            </w:r>
          </w:p>
        </w:tc>
        <w:tc>
          <w:tcPr>
            <w:tcW w:w="1201"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9</w:t>
            </w:r>
          </w:p>
        </w:tc>
        <w:tc>
          <w:tcPr>
            <w:tcW w:w="1194"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3</w:t>
            </w:r>
          </w:p>
        </w:tc>
        <w:tc>
          <w:tcPr>
            <w:tcW w:w="812" w:type="pct"/>
            <w:vAlign w:val="center"/>
          </w:tcPr>
          <w:p>
            <w:pPr>
              <w:widowControl w:val="0"/>
              <w:adjustRightInd w:val="0"/>
              <w:snapToGrid w:val="0"/>
              <w:rPr>
                <w:rFonts w:ascii="Times New Roman" w:hAnsi="Times New Roman" w:eastAsia="等线" w:cs="Times New Roman"/>
                <w:kern w:val="0"/>
                <w:sz w:val="18"/>
                <w:szCs w:val="18"/>
              </w:rPr>
            </w:pPr>
            <w:r>
              <w:rPr>
                <w:rFonts w:eastAsia="等线" w:asciiTheme="minorHAnsi" w:hAnsiTheme="minorHAnsi" w:cstheme="minorBidi"/>
                <w:kern w:val="2"/>
                <w:sz w:val="18"/>
                <w:szCs w:val="18"/>
              </w:rPr>
              <w:fldChar w:fldCharType="begin"/>
            </w:r>
            <w:r>
              <w:rPr>
                <w:rFonts w:ascii="Times New Roman" w:hAnsi="Times New Roman" w:eastAsia="等线" w:cs="Times New Roman"/>
                <w:kern w:val="2"/>
                <w:sz w:val="18"/>
                <w:szCs w:val="18"/>
              </w:rPr>
              <w:instrText xml:space="preserve"> ADDIN EN.CITE &lt;EndNote&gt;&lt;Cite&gt;&lt;Author&gt;Liu&lt;/Author&gt;&lt;Year&gt;2019&lt;/Year&gt;&lt;RecNum&gt;389&lt;/RecNum&gt;&lt;DisplayText&gt;[15]&lt;/DisplayText&gt;&lt;record&gt;&lt;rec-number&gt;389&lt;/rec-number&gt;&lt;foreign-keys&gt;&lt;key app="EN" db-id="xs0d5swp49tasae5twvpwvdaazzfw0st09xd" timestamp="1663171734"&gt;389&lt;/key&gt;&lt;/foreign-keys&gt;&lt;ref-type name="Journal Article"&gt;17&lt;/ref-type&gt;&lt;contributors&gt;&lt;authors&gt;&lt;author&gt;Liu, Weiming&lt;/author&gt;&lt;author&gt;Carling, Paul A&lt;/author&gt;&lt;author&gt;Hu, Kaiheng&lt;/author&gt;&lt;author&gt;Wang, Hao&lt;/author&gt;&lt;author&gt;Zhou, Zhen&lt;/author&gt;&lt;author&gt;Zhou, Liqin&lt;/author&gt;&lt;author&gt;Liu, Dingzhu&lt;/author&gt;&lt;author&gt;Lai, Zhongping&lt;/author&gt;&lt;author&gt;Zhang, Xinbao&lt;/author&gt;&lt;/authors&gt;&lt;/contributors&gt;&lt;titles&gt;&lt;title&gt;Outburst floods in China: A review&lt;/title&gt;&lt;secondary-title&gt;Earth-Science Reviews&lt;/secondary-title&gt;&lt;/titles&gt;&lt;periodical&gt;&lt;full-title&gt;Earth-Science Reviews&lt;/full-title&gt;&lt;abbr-1&gt;Earth Sci. Rev.&lt;/abbr-1&gt;&lt;/periodical&gt;&lt;pages&gt;102895&lt;/pages&gt;&lt;volume&gt;197&lt;/volume&gt;&lt;dates&gt;&lt;year&gt;2019&lt;/year&gt;&lt;/dates&gt;&lt;isbn&gt;0012-8252&lt;/isbn&gt;&lt;urls&gt;&lt;/urls&gt;&lt;/record&gt;&lt;/Cite&gt;&lt;/EndNote&gt;</w:instrText>
            </w:r>
            <w:r>
              <w:rPr>
                <w:rFonts w:eastAsia="等线" w:asciiTheme="minorHAnsi" w:hAnsiTheme="minorHAnsi" w:cstheme="minorBidi"/>
                <w:kern w:val="2"/>
                <w:sz w:val="18"/>
                <w:szCs w:val="18"/>
              </w:rPr>
              <w:fldChar w:fldCharType="separate"/>
            </w:r>
            <w:r>
              <w:rPr>
                <w:rFonts w:ascii="Times New Roman" w:hAnsi="Times New Roman" w:eastAsia="等线" w:cs="Times New Roman"/>
                <w:kern w:val="2"/>
                <w:sz w:val="18"/>
                <w:szCs w:val="18"/>
              </w:rPr>
              <w:t>[15]</w:t>
            </w:r>
            <w:r>
              <w:rPr>
                <w:rFonts w:eastAsia="等线" w:asciiTheme="minorHAnsi" w:hAnsiTheme="minorHAnsi" w:cstheme="minorBidi"/>
                <w:kern w:val="2"/>
                <w:sz w:val="18"/>
                <w:szCs w:val="18"/>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3"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Total</w:t>
            </w:r>
          </w:p>
        </w:tc>
        <w:tc>
          <w:tcPr>
            <w:tcW w:w="1201"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157</w:t>
            </w:r>
          </w:p>
        </w:tc>
        <w:tc>
          <w:tcPr>
            <w:tcW w:w="1194" w:type="pct"/>
            <w:vAlign w:val="center"/>
          </w:tcPr>
          <w:p>
            <w:pPr>
              <w:widowControl w:val="0"/>
              <w:adjustRightInd w:val="0"/>
              <w:snapToGrid w:val="0"/>
              <w:rPr>
                <w:rFonts w:ascii="Times New Roman" w:hAnsi="Times New Roman" w:eastAsia="等线" w:cs="Times New Roman"/>
                <w:kern w:val="0"/>
                <w:sz w:val="18"/>
                <w:szCs w:val="18"/>
              </w:rPr>
            </w:pPr>
            <w:r>
              <w:rPr>
                <w:rFonts w:ascii="Times New Roman" w:hAnsi="Times New Roman" w:eastAsia="等线" w:cs="Times New Roman"/>
                <w:kern w:val="2"/>
                <w:sz w:val="18"/>
                <w:szCs w:val="18"/>
              </w:rPr>
              <w:t>433</w:t>
            </w:r>
          </w:p>
        </w:tc>
        <w:tc>
          <w:tcPr>
            <w:tcW w:w="812" w:type="pct"/>
            <w:vAlign w:val="center"/>
          </w:tcPr>
          <w:p>
            <w:pPr>
              <w:widowControl w:val="0"/>
              <w:adjustRightInd w:val="0"/>
              <w:snapToGrid w:val="0"/>
              <w:rPr>
                <w:rFonts w:ascii="Times New Roman" w:hAnsi="Times New Roman" w:eastAsia="等线" w:cs="Times New Roman"/>
                <w:kern w:val="0"/>
                <w:sz w:val="18"/>
                <w:szCs w:val="18"/>
              </w:rPr>
            </w:pPr>
            <w:r>
              <w:rPr>
                <w:rFonts w:eastAsia="等线" w:asciiTheme="minorHAnsi" w:hAnsiTheme="minorHAnsi" w:cstheme="minorBidi"/>
                <w:kern w:val="2"/>
                <w:sz w:val="18"/>
                <w:szCs w:val="18"/>
              </w:rPr>
              <w:fldChar w:fldCharType="begin">
                <w:fldData xml:space="preserve">PEVuZE5vdGU+PENpdGU+PEF1dGhvcj5DaGFpPC9BdXRob3I+PFllYXI+MTk5NTwvWWVhcj48UmVj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</w:fldData>
              </w:fldChar>
            </w:r>
            <w:r>
              <w:rPr>
                <w:rFonts w:ascii="Times New Roman" w:hAnsi="Times New Roman" w:eastAsia="等线" w:cs="Times New Roman"/>
                <w:kern w:val="2"/>
                <w:sz w:val="18"/>
                <w:szCs w:val="18"/>
              </w:rPr>
              <w:instrText xml:space="preserve"> ADDIN EN.CITE </w:instrText>
            </w:r>
            <w:r>
              <w:rPr>
                <w:rFonts w:eastAsia="等线" w:asciiTheme="minorHAnsi" w:hAnsiTheme="minorHAnsi" w:cstheme="minorBidi"/>
                <w:kern w:val="2"/>
                <w:sz w:val="18"/>
                <w:szCs w:val="18"/>
              </w:rPr>
              <w:fldChar w:fldCharType="begin">
                <w:fldData xml:space="preserve">PEVuZE5vdGU+PENpdGU+PEF1dGhvcj5DaGFpPC9BdXRob3I+PFllYXI+MTk5NTwvWWVhcj48UmVj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</w:fldData>
              </w:fldChar>
            </w:r>
            <w:r>
              <w:rPr>
                <w:rFonts w:ascii="Times New Roman" w:hAnsi="Times New Roman" w:eastAsia="等线" w:cs="Times New Roman"/>
                <w:kern w:val="2"/>
                <w:sz w:val="18"/>
                <w:szCs w:val="18"/>
              </w:rPr>
              <w:instrText xml:space="preserve"> ADDIN EN.CITE.DATA </w:instrText>
            </w:r>
            <w:r>
              <w:rPr>
                <w:rFonts w:eastAsia="等线" w:asciiTheme="minorHAnsi" w:hAnsiTheme="minorHAnsi" w:cstheme="minorBidi"/>
                <w:kern w:val="2"/>
                <w:sz w:val="18"/>
                <w:szCs w:val="18"/>
              </w:rPr>
              <w:fldChar w:fldCharType="end"/>
            </w:r>
            <w:r>
              <w:rPr>
                <w:rFonts w:eastAsia="等线" w:asciiTheme="minorHAnsi" w:hAnsiTheme="minorHAnsi" w:cstheme="minorBidi"/>
                <w:kern w:val="2"/>
                <w:sz w:val="18"/>
                <w:szCs w:val="18"/>
              </w:rPr>
              <w:fldChar w:fldCharType="separate"/>
            </w:r>
            <w:r>
              <w:rPr>
                <w:rFonts w:ascii="Times New Roman" w:hAnsi="Times New Roman" w:eastAsia="等线" w:cs="Times New Roman"/>
                <w:kern w:val="2"/>
                <w:sz w:val="18"/>
                <w:szCs w:val="18"/>
              </w:rPr>
              <w:t>[14,15,37]</w:t>
            </w:r>
            <w:r>
              <w:rPr>
                <w:rFonts w:eastAsia="等线" w:asciiTheme="minorHAnsi" w:hAnsiTheme="minorHAnsi" w:cstheme="minorBidi"/>
                <w:kern w:val="2"/>
                <w:sz w:val="18"/>
                <w:szCs w:val="18"/>
              </w:rPr>
              <w:fldChar w:fldCharType="end"/>
            </w:r>
          </w:p>
        </w:tc>
      </w:tr>
    </w:tbl>
    <w:p>
      <w:pPr>
        <w:rPr>
          <w:lang w:val="en-AU"/>
        </w:rPr>
        <w:sectPr>
          <w:pgSz w:w="11906" w:h="16838"/>
          <w:pgMar w:top="720" w:right="896" w:bottom="1038" w:left="1038" w:header="454" w:footer="709" w:gutter="0"/>
          <w:cols w:space="708" w:num="1"/>
          <w:docGrid w:linePitch="360" w:charSpace="0"/>
        </w:sectPr>
      </w:pPr>
    </w:p>
    <w:p>
      <w:pPr>
        <w:keepNext/>
        <w:overflowPunct w:val="0"/>
        <w:autoSpaceDE w:val="0"/>
        <w:autoSpaceDN w:val="0"/>
        <w:adjustRightInd w:val="0"/>
        <w:spacing w:before="60" w:after="60"/>
        <w:textAlignment w:val="baseline"/>
        <w:rPr>
          <w:b/>
          <w:sz w:val="18"/>
          <w:szCs w:val="18"/>
          <w:lang w:val="en-AU" w:eastAsia="zh-CN"/>
        </w:rPr>
      </w:pPr>
      <w:r>
        <w:rPr>
          <w:b/>
          <w:sz w:val="18"/>
          <w:szCs w:val="18"/>
          <w:lang w:val="en-AU" w:eastAsia="zh-CN"/>
        </w:rPr>
        <w:t>Table S3</w:t>
      </w:r>
    </w:p>
    <w:p>
      <w:pPr>
        <w:keepNext/>
        <w:overflowPunct w:val="0"/>
        <w:autoSpaceDE w:val="0"/>
        <w:autoSpaceDN w:val="0"/>
        <w:adjustRightInd w:val="0"/>
        <w:spacing w:before="60" w:after="60"/>
        <w:textAlignment w:val="baseline"/>
        <w:rPr>
          <w:bCs/>
          <w:sz w:val="18"/>
          <w:szCs w:val="18"/>
          <w:lang w:val="en-AU" w:eastAsia="zh-CN"/>
        </w:rPr>
      </w:pPr>
      <w:r>
        <w:rPr>
          <w:bCs/>
          <w:sz w:val="18"/>
          <w:szCs w:val="18"/>
          <w:lang w:val="en-AU" w:eastAsia="zh-CN"/>
        </w:rPr>
        <w:t xml:space="preserve">Top five candidate models ranked by BIC values. </w:t>
      </w:r>
    </w:p>
    <w:tbl>
      <w:tblPr>
        <w:tblStyle w:val="88"/>
        <w:tblW w:w="48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8"/>
        <w:gridCol w:w="1108"/>
        <w:gridCol w:w="780"/>
        <w:gridCol w:w="738"/>
        <w:gridCol w:w="774"/>
        <w:gridCol w:w="744"/>
        <w:gridCol w:w="857"/>
        <w:gridCol w:w="546"/>
        <w:gridCol w:w="423"/>
        <w:gridCol w:w="441"/>
        <w:gridCol w:w="479"/>
        <w:gridCol w:w="677"/>
        <w:gridCol w:w="1018"/>
        <w:gridCol w:w="852"/>
        <w:gridCol w:w="1245"/>
        <w:gridCol w:w="926"/>
        <w:gridCol w:w="864"/>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511" w:type="pct"/>
            <w:shd w:val="clear" w:color="auto" w:fill="auto"/>
            <w:vAlign w:val="center"/>
          </w:tcPr>
          <w:p>
            <w:pPr>
              <w:widowControl w:val="0"/>
              <w:jc w:val="both"/>
              <w:rPr>
                <w:rFonts w:eastAsia="等线"/>
                <w:iCs/>
                <w:kern w:val="2"/>
                <w:sz w:val="18"/>
                <w:szCs w:val="18"/>
              </w:rPr>
            </w:pPr>
          </w:p>
        </w:tc>
        <w:tc>
          <w:tcPr>
            <w:tcW w:w="376" w:type="pct"/>
            <w:shd w:val="clear" w:color="auto" w:fill="auto"/>
            <w:vAlign w:val="center"/>
          </w:tcPr>
          <w:p>
            <w:pPr>
              <w:widowControl w:val="0"/>
              <w:jc w:val="both"/>
              <w:rPr>
                <w:rFonts w:eastAsia="等线"/>
                <w:b/>
                <w:bCs/>
                <w:iCs/>
                <w:kern w:val="2"/>
                <w:sz w:val="18"/>
                <w:szCs w:val="18"/>
              </w:rPr>
            </w:pPr>
          </w:p>
        </w:tc>
        <w:tc>
          <w:tcPr>
            <w:tcW w:w="1032" w:type="pct"/>
            <w:gridSpan w:val="4"/>
            <w:shd w:val="clear" w:color="auto" w:fill="auto"/>
            <w:vAlign w:val="center"/>
          </w:tcPr>
          <w:p>
            <w:pPr>
              <w:widowControl w:val="0"/>
              <w:jc w:val="both"/>
              <w:rPr>
                <w:rFonts w:eastAsia="等线"/>
                <w:iCs/>
                <w:kern w:val="2"/>
                <w:sz w:val="18"/>
                <w:szCs w:val="18"/>
              </w:rPr>
            </w:pPr>
            <w:r>
              <w:rPr>
                <w:rFonts w:eastAsia="等线"/>
                <w:iCs/>
                <w:kern w:val="2"/>
                <w:sz w:val="18"/>
                <w:szCs w:val="18"/>
              </w:rPr>
              <w:t>Landslide factors</w:t>
            </w:r>
          </w:p>
        </w:tc>
        <w:tc>
          <w:tcPr>
            <w:tcW w:w="771" w:type="pct"/>
            <w:gridSpan w:val="4"/>
            <w:shd w:val="clear" w:color="auto" w:fill="auto"/>
            <w:vAlign w:val="center"/>
          </w:tcPr>
          <w:p>
            <w:pPr>
              <w:widowControl w:val="0"/>
              <w:jc w:val="both"/>
              <w:rPr>
                <w:rFonts w:eastAsia="等线"/>
                <w:iCs/>
                <w:kern w:val="2"/>
                <w:sz w:val="18"/>
                <w:szCs w:val="18"/>
              </w:rPr>
            </w:pPr>
            <w:r>
              <w:rPr>
                <w:rFonts w:eastAsia="等线"/>
                <w:iCs/>
                <w:kern w:val="2"/>
                <w:sz w:val="18"/>
                <w:szCs w:val="18"/>
              </w:rPr>
              <w:t>Valley topographic factors</w:t>
            </w:r>
          </w:p>
        </w:tc>
        <w:tc>
          <w:tcPr>
            <w:tcW w:w="1026" w:type="pct"/>
            <w:gridSpan w:val="4"/>
            <w:shd w:val="clear" w:color="auto" w:fill="auto"/>
            <w:vAlign w:val="center"/>
          </w:tcPr>
          <w:p>
            <w:pPr>
              <w:widowControl w:val="0"/>
              <w:jc w:val="both"/>
              <w:rPr>
                <w:rFonts w:eastAsia="等线"/>
                <w:iCs/>
                <w:kern w:val="2"/>
                <w:sz w:val="18"/>
                <w:szCs w:val="18"/>
              </w:rPr>
            </w:pPr>
            <w:r>
              <w:rPr>
                <w:rFonts w:eastAsia="等线"/>
                <w:iCs/>
                <w:kern w:val="2"/>
                <w:sz w:val="18"/>
                <w:szCs w:val="18"/>
              </w:rPr>
              <w:t>Trigger factors</w:t>
            </w:r>
          </w:p>
        </w:tc>
        <w:tc>
          <w:tcPr>
            <w:tcW w:w="422" w:type="pct"/>
            <w:vAlign w:val="center"/>
          </w:tcPr>
          <w:p>
            <w:pPr>
              <w:widowControl w:val="0"/>
              <w:jc w:val="both"/>
              <w:rPr>
                <w:rFonts w:eastAsia="等线"/>
                <w:iCs/>
                <w:kern w:val="2"/>
                <w:sz w:val="18"/>
                <w:szCs w:val="18"/>
              </w:rPr>
            </w:pPr>
            <w:r>
              <w:rPr>
                <w:rFonts w:eastAsia="等线"/>
                <w:iCs/>
                <w:kern w:val="2"/>
                <w:sz w:val="18"/>
                <w:szCs w:val="18"/>
              </w:rPr>
              <w:t>Hydrologic factor</w:t>
            </w:r>
          </w:p>
        </w:tc>
        <w:tc>
          <w:tcPr>
            <w:tcW w:w="293" w:type="pct"/>
            <w:vAlign w:val="center"/>
          </w:tcPr>
          <w:p>
            <w:pPr>
              <w:widowControl w:val="0"/>
              <w:jc w:val="both"/>
              <w:rPr>
                <w:rFonts w:eastAsia="等线"/>
                <w:iCs/>
                <w:kern w:val="2"/>
                <w:sz w:val="18"/>
                <w:szCs w:val="18"/>
                <w:lang w:eastAsia="zh-CN"/>
              </w:rPr>
            </w:pPr>
            <w:r>
              <w:rPr>
                <w:rFonts w:eastAsia="等线"/>
                <w:iCs/>
                <w:kern w:val="2"/>
                <w:sz w:val="18"/>
                <w:szCs w:val="18"/>
                <w:lang w:eastAsia="zh-CN"/>
              </w:rPr>
              <w:t>Geology</w:t>
            </w:r>
          </w:p>
        </w:tc>
        <w:tc>
          <w:tcPr>
            <w:tcW w:w="293" w:type="pct"/>
            <w:vAlign w:val="center"/>
          </w:tcPr>
          <w:p>
            <w:pPr>
              <w:widowControl w:val="0"/>
              <w:jc w:val="both"/>
              <w:rPr>
                <w:rFonts w:eastAsia="等线"/>
                <w:b/>
                <w:bCs/>
                <w:iCs/>
                <w:kern w:val="2"/>
                <w:sz w:val="18"/>
                <w:szCs w:val="18"/>
              </w:rPr>
            </w:pPr>
          </w:p>
        </w:tc>
        <w:tc>
          <w:tcPr>
            <w:tcW w:w="277" w:type="pct"/>
            <w:vAlign w:val="center"/>
          </w:tcPr>
          <w:p>
            <w:pPr>
              <w:widowControl w:val="0"/>
              <w:jc w:val="both"/>
              <w:rPr>
                <w:rFonts w:eastAsia="等线"/>
                <w:b/>
                <w:bCs/>
                <w:iCs/>
                <w:kern w:val="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511" w:type="pct"/>
            <w:shd w:val="clear" w:color="auto" w:fill="auto"/>
            <w:vAlign w:val="center"/>
          </w:tcPr>
          <w:p>
            <w:pPr>
              <w:widowControl w:val="0"/>
              <w:jc w:val="both"/>
              <w:rPr>
                <w:rFonts w:eastAsia="等线"/>
                <w:iCs/>
                <w:kern w:val="2"/>
                <w:sz w:val="18"/>
                <w:szCs w:val="18"/>
              </w:rPr>
            </w:pPr>
          </w:p>
        </w:tc>
        <w:tc>
          <w:tcPr>
            <w:tcW w:w="376" w:type="pct"/>
            <w:shd w:val="clear" w:color="auto" w:fill="auto"/>
            <w:vAlign w:val="center"/>
          </w:tcPr>
          <w:p>
            <w:pPr>
              <w:widowControl w:val="0"/>
              <w:jc w:val="both"/>
              <w:rPr>
                <w:rFonts w:eastAsia="等线"/>
                <w:iCs/>
                <w:kern w:val="2"/>
                <w:sz w:val="18"/>
                <w:szCs w:val="18"/>
              </w:rPr>
            </w:pPr>
            <w:r>
              <w:rPr>
                <w:rFonts w:eastAsia="等线"/>
                <w:iCs/>
                <w:kern w:val="2"/>
                <w:sz w:val="18"/>
                <w:szCs w:val="18"/>
              </w:rPr>
              <w:t>Intercept</w:t>
            </w:r>
          </w:p>
        </w:tc>
        <w:tc>
          <w:tcPr>
            <w:tcW w:w="265" w:type="pct"/>
            <w:shd w:val="clear" w:color="auto" w:fill="auto"/>
            <w:vAlign w:val="center"/>
          </w:tcPr>
          <w:p>
            <w:pPr>
              <w:widowControl w:val="0"/>
              <w:jc w:val="both"/>
              <w:rPr>
                <w:rFonts w:eastAsia="等线"/>
                <w:iCs/>
                <w:kern w:val="2"/>
                <w:sz w:val="18"/>
                <w:szCs w:val="18"/>
              </w:rPr>
            </w:pPr>
            <w:r>
              <w:rPr>
                <w:rFonts w:eastAsia="等线"/>
                <w:iCs/>
                <w:kern w:val="2"/>
                <w:sz w:val="18"/>
                <w:szCs w:val="18"/>
              </w:rPr>
              <w:t>ln(</w:t>
            </w:r>
            <w:r>
              <w:rPr>
                <w:rFonts w:eastAsia="等线"/>
                <w:i/>
                <w:kern w:val="2"/>
                <w:sz w:val="18"/>
                <w:szCs w:val="18"/>
              </w:rPr>
              <w:t>A</w:t>
            </w:r>
            <w:r>
              <w:rPr>
                <w:rFonts w:eastAsia="等线"/>
                <w:i/>
                <w:kern w:val="2"/>
                <w:sz w:val="18"/>
                <w:szCs w:val="18"/>
                <w:vertAlign w:val="subscript"/>
              </w:rPr>
              <w:t>L</w:t>
            </w:r>
            <w:r>
              <w:rPr>
                <w:rFonts w:eastAsia="等线"/>
                <w:iCs/>
                <w:kern w:val="2"/>
                <w:sz w:val="18"/>
                <w:szCs w:val="18"/>
              </w:rPr>
              <w:t>)</w:t>
            </w:r>
          </w:p>
        </w:tc>
        <w:tc>
          <w:tcPr>
            <w:tcW w:w="251" w:type="pct"/>
            <w:shd w:val="clear" w:color="auto" w:fill="auto"/>
            <w:vAlign w:val="center"/>
          </w:tcPr>
          <w:p>
            <w:pPr>
              <w:widowControl w:val="0"/>
              <w:jc w:val="both"/>
              <w:rPr>
                <w:rFonts w:eastAsia="等线"/>
                <w:iCs/>
                <w:kern w:val="2"/>
                <w:sz w:val="18"/>
                <w:szCs w:val="18"/>
              </w:rPr>
            </w:pPr>
            <w:r>
              <w:rPr>
                <w:rFonts w:eastAsia="等线"/>
                <w:iCs/>
                <w:kern w:val="2"/>
                <w:sz w:val="18"/>
                <w:szCs w:val="18"/>
              </w:rPr>
              <w:t>ln(</w:t>
            </w:r>
            <w:r>
              <w:rPr>
                <w:rFonts w:eastAsia="等线"/>
                <w:i/>
                <w:kern w:val="2"/>
                <w:sz w:val="18"/>
                <w:szCs w:val="18"/>
              </w:rPr>
              <w:t>H</w:t>
            </w:r>
            <w:r>
              <w:rPr>
                <w:rFonts w:eastAsia="等线"/>
                <w:iCs/>
                <w:kern w:val="2"/>
                <w:sz w:val="18"/>
                <w:szCs w:val="18"/>
              </w:rPr>
              <w:t>)</w:t>
            </w:r>
          </w:p>
        </w:tc>
        <w:tc>
          <w:tcPr>
            <w:tcW w:w="263" w:type="pct"/>
            <w:shd w:val="clear" w:color="auto" w:fill="auto"/>
            <w:vAlign w:val="center"/>
          </w:tcPr>
          <w:p>
            <w:pPr>
              <w:widowControl w:val="0"/>
              <w:jc w:val="both"/>
              <w:rPr>
                <w:rFonts w:eastAsia="等线"/>
                <w:iCs/>
                <w:kern w:val="2"/>
                <w:sz w:val="18"/>
                <w:szCs w:val="18"/>
              </w:rPr>
            </w:pPr>
            <w:r>
              <w:rPr>
                <w:rFonts w:eastAsia="等线"/>
                <w:iCs/>
                <w:kern w:val="2"/>
                <w:sz w:val="18"/>
                <w:szCs w:val="18"/>
              </w:rPr>
              <w:t>ln(</w:t>
            </w:r>
            <w:r>
              <w:rPr>
                <w:rFonts w:eastAsia="等线"/>
                <w:i/>
                <w:kern w:val="2"/>
                <w:sz w:val="18"/>
                <w:szCs w:val="18"/>
              </w:rPr>
              <w:t>L</w:t>
            </w:r>
            <w:r>
              <w:rPr>
                <w:rFonts w:eastAsia="等线"/>
                <w:iCs/>
                <w:kern w:val="2"/>
                <w:sz w:val="18"/>
                <w:szCs w:val="18"/>
              </w:rPr>
              <w:t>)</w:t>
            </w:r>
          </w:p>
        </w:tc>
        <w:tc>
          <w:tcPr>
            <w:tcW w:w="253" w:type="pct"/>
            <w:shd w:val="clear" w:color="auto" w:fill="auto"/>
            <w:vAlign w:val="center"/>
          </w:tcPr>
          <w:p>
            <w:pPr>
              <w:widowControl w:val="0"/>
              <w:jc w:val="both"/>
              <w:rPr>
                <w:rFonts w:eastAsia="等线"/>
                <w:i/>
                <w:kern w:val="2"/>
                <w:sz w:val="18"/>
                <w:szCs w:val="18"/>
              </w:rPr>
            </w:pPr>
            <w:r>
              <w:rPr>
                <w:rFonts w:eastAsia="等线"/>
                <w:i/>
                <w:kern w:val="2"/>
                <w:sz w:val="18"/>
                <w:szCs w:val="18"/>
              </w:rPr>
              <w:t xml:space="preserve">S </w:t>
            </w:r>
          </w:p>
        </w:tc>
        <w:tc>
          <w:tcPr>
            <w:tcW w:w="291" w:type="pct"/>
            <w:shd w:val="clear" w:color="auto" w:fill="auto"/>
            <w:vAlign w:val="center"/>
          </w:tcPr>
          <w:p>
            <w:pPr>
              <w:widowControl w:val="0"/>
              <w:jc w:val="both"/>
              <w:rPr>
                <w:rFonts w:eastAsia="等线"/>
                <w:iCs/>
                <w:kern w:val="2"/>
                <w:sz w:val="18"/>
                <w:szCs w:val="18"/>
              </w:rPr>
            </w:pPr>
            <w:r>
              <w:rPr>
                <w:rFonts w:eastAsia="等线"/>
                <w:iCs/>
                <w:kern w:val="2"/>
                <w:sz w:val="18"/>
                <w:szCs w:val="18"/>
              </w:rPr>
              <w:t>ln(</w:t>
            </w:r>
            <w:r>
              <w:rPr>
                <w:rFonts w:eastAsia="等线"/>
                <w:i/>
                <w:kern w:val="2"/>
                <w:sz w:val="18"/>
                <w:szCs w:val="18"/>
              </w:rPr>
              <w:t>W</w:t>
            </w:r>
            <w:r>
              <w:rPr>
                <w:rFonts w:eastAsia="等线"/>
                <w:iCs/>
                <w:kern w:val="2"/>
                <w:sz w:val="18"/>
                <w:szCs w:val="18"/>
              </w:rPr>
              <w:t>)</w:t>
            </w:r>
          </w:p>
        </w:tc>
        <w:tc>
          <w:tcPr>
            <w:tcW w:w="186" w:type="pct"/>
            <w:shd w:val="clear" w:color="auto" w:fill="auto"/>
            <w:vAlign w:val="center"/>
          </w:tcPr>
          <w:p>
            <w:pPr>
              <w:widowControl w:val="0"/>
              <w:jc w:val="both"/>
              <w:rPr>
                <w:rFonts w:eastAsia="等线"/>
                <w:iCs/>
                <w:kern w:val="2"/>
                <w:sz w:val="18"/>
                <w:szCs w:val="18"/>
              </w:rPr>
            </w:pPr>
            <w:r>
              <w:rPr>
                <w:rFonts w:eastAsia="等线"/>
                <w:i/>
                <w:kern w:val="2"/>
                <w:sz w:val="18"/>
                <w:szCs w:val="18"/>
              </w:rPr>
              <w:t>H</w:t>
            </w:r>
            <w:r>
              <w:rPr>
                <w:rFonts w:eastAsia="等线"/>
                <w:i/>
                <w:kern w:val="2"/>
                <w:sz w:val="18"/>
                <w:szCs w:val="18"/>
                <w:vertAlign w:val="subscript"/>
              </w:rPr>
              <w:t>V</w:t>
            </w:r>
          </w:p>
        </w:tc>
        <w:tc>
          <w:tcPr>
            <w:tcW w:w="144" w:type="pct"/>
            <w:shd w:val="clear" w:color="auto" w:fill="auto"/>
            <w:vAlign w:val="center"/>
          </w:tcPr>
          <w:p>
            <w:pPr>
              <w:widowControl w:val="0"/>
              <w:jc w:val="both"/>
              <w:rPr>
                <w:rFonts w:eastAsia="等线"/>
                <w:iCs/>
                <w:kern w:val="2"/>
                <w:sz w:val="18"/>
                <w:szCs w:val="18"/>
              </w:rPr>
            </w:pPr>
            <w:r>
              <w:rPr>
                <w:rFonts w:eastAsia="等线"/>
                <w:i/>
                <w:kern w:val="2"/>
                <w:sz w:val="18"/>
                <w:szCs w:val="18"/>
              </w:rPr>
              <w:t>R</w:t>
            </w:r>
          </w:p>
        </w:tc>
        <w:tc>
          <w:tcPr>
            <w:tcW w:w="150" w:type="pct"/>
            <w:shd w:val="clear" w:color="auto" w:fill="auto"/>
            <w:vAlign w:val="center"/>
          </w:tcPr>
          <w:p>
            <w:pPr>
              <w:widowControl w:val="0"/>
              <w:jc w:val="both"/>
              <w:rPr>
                <w:rFonts w:eastAsia="等线"/>
                <w:iCs/>
                <w:kern w:val="2"/>
                <w:sz w:val="18"/>
                <w:szCs w:val="18"/>
              </w:rPr>
            </w:pPr>
            <w:r>
              <w:rPr>
                <w:rFonts w:eastAsia="等线"/>
                <w:i/>
                <w:kern w:val="2"/>
                <w:sz w:val="18"/>
                <w:szCs w:val="18"/>
              </w:rPr>
              <w:t>C</w:t>
            </w:r>
          </w:p>
        </w:tc>
        <w:tc>
          <w:tcPr>
            <w:tcW w:w="163" w:type="pct"/>
            <w:shd w:val="clear" w:color="auto" w:fill="auto"/>
            <w:vAlign w:val="center"/>
          </w:tcPr>
          <w:p>
            <w:pPr>
              <w:widowControl w:val="0"/>
              <w:jc w:val="both"/>
              <w:rPr>
                <w:rFonts w:eastAsia="等线"/>
                <w:iCs/>
                <w:kern w:val="2"/>
                <w:sz w:val="18"/>
                <w:szCs w:val="18"/>
              </w:rPr>
            </w:pPr>
            <w:r>
              <w:rPr>
                <w:rFonts w:eastAsia="等线"/>
                <w:i/>
                <w:kern w:val="2"/>
                <w:sz w:val="18"/>
                <w:szCs w:val="18"/>
              </w:rPr>
              <w:t>P</w:t>
            </w:r>
            <w:r>
              <w:rPr>
                <w:rFonts w:eastAsia="等线"/>
                <w:i/>
                <w:kern w:val="2"/>
                <w:sz w:val="18"/>
                <w:szCs w:val="18"/>
                <w:vertAlign w:val="subscript"/>
              </w:rPr>
              <w:t>A</w:t>
            </w:r>
          </w:p>
        </w:tc>
        <w:tc>
          <w:tcPr>
            <w:tcW w:w="230" w:type="pct"/>
            <w:shd w:val="clear" w:color="auto" w:fill="auto"/>
            <w:vAlign w:val="center"/>
          </w:tcPr>
          <w:p>
            <w:pPr>
              <w:widowControl w:val="0"/>
              <w:jc w:val="both"/>
              <w:rPr>
                <w:rFonts w:eastAsia="等线"/>
                <w:i/>
                <w:kern w:val="2"/>
                <w:sz w:val="18"/>
                <w:szCs w:val="18"/>
              </w:rPr>
            </w:pPr>
            <w:r>
              <w:rPr>
                <w:rFonts w:eastAsia="等线"/>
                <w:i/>
                <w:kern w:val="2"/>
                <w:sz w:val="18"/>
                <w:szCs w:val="18"/>
              </w:rPr>
              <w:t>PGA</w:t>
            </w:r>
          </w:p>
        </w:tc>
        <w:tc>
          <w:tcPr>
            <w:tcW w:w="345" w:type="pct"/>
            <w:shd w:val="clear" w:color="auto" w:fill="auto"/>
            <w:vAlign w:val="center"/>
          </w:tcPr>
          <w:p>
            <w:pPr>
              <w:widowControl w:val="0"/>
              <w:jc w:val="both"/>
              <w:rPr>
                <w:rFonts w:eastAsia="等线"/>
                <w:iCs/>
                <w:kern w:val="2"/>
                <w:sz w:val="18"/>
                <w:szCs w:val="18"/>
              </w:rPr>
            </w:pPr>
            <w:r>
              <w:rPr>
                <w:rFonts w:eastAsia="等线"/>
                <w:iCs/>
                <w:kern w:val="2"/>
                <w:sz w:val="18"/>
                <w:szCs w:val="18"/>
              </w:rPr>
              <w:t>ln(</w:t>
            </w:r>
            <w:r>
              <w:rPr>
                <w:rFonts w:eastAsia="等线"/>
                <w:i/>
                <w:kern w:val="2"/>
                <w:sz w:val="18"/>
                <w:szCs w:val="18"/>
              </w:rPr>
              <w:t>Dist</w:t>
            </w:r>
            <w:r>
              <w:rPr>
                <w:rFonts w:eastAsia="等线"/>
                <w:i/>
                <w:kern w:val="2"/>
                <w:sz w:val="18"/>
                <w:szCs w:val="18"/>
                <w:vertAlign w:val="subscript"/>
              </w:rPr>
              <w:t>F</w:t>
            </w:r>
            <w:r>
              <w:rPr>
                <w:rFonts w:eastAsia="等线"/>
                <w:iCs/>
                <w:kern w:val="2"/>
                <w:sz w:val="18"/>
                <w:szCs w:val="18"/>
              </w:rPr>
              <w:t>)</w:t>
            </w:r>
          </w:p>
        </w:tc>
        <w:tc>
          <w:tcPr>
            <w:tcW w:w="289" w:type="pct"/>
            <w:shd w:val="clear" w:color="auto" w:fill="auto"/>
            <w:vAlign w:val="center"/>
          </w:tcPr>
          <w:p>
            <w:pPr>
              <w:widowControl w:val="0"/>
              <w:jc w:val="both"/>
              <w:rPr>
                <w:rFonts w:eastAsia="等线"/>
                <w:iCs/>
                <w:kern w:val="2"/>
                <w:sz w:val="18"/>
                <w:szCs w:val="18"/>
              </w:rPr>
            </w:pPr>
            <w:r>
              <w:rPr>
                <w:rFonts w:eastAsia="等线"/>
                <w:i/>
                <w:kern w:val="2"/>
                <w:sz w:val="18"/>
                <w:szCs w:val="18"/>
              </w:rPr>
              <w:t>Dens</w:t>
            </w:r>
            <w:r>
              <w:rPr>
                <w:rFonts w:eastAsia="等线"/>
                <w:i/>
                <w:kern w:val="2"/>
                <w:sz w:val="18"/>
                <w:szCs w:val="18"/>
                <w:vertAlign w:val="subscript"/>
              </w:rPr>
              <w:t>F</w:t>
            </w:r>
          </w:p>
        </w:tc>
        <w:tc>
          <w:tcPr>
            <w:tcW w:w="422" w:type="pct"/>
            <w:vAlign w:val="center"/>
          </w:tcPr>
          <w:p>
            <w:pPr>
              <w:widowControl w:val="0"/>
              <w:jc w:val="both"/>
              <w:rPr>
                <w:rFonts w:eastAsia="等线"/>
                <w:i/>
                <w:kern w:val="2"/>
                <w:sz w:val="18"/>
                <w:szCs w:val="18"/>
              </w:rPr>
            </w:pPr>
            <w:r>
              <w:rPr>
                <w:rFonts w:eastAsia="等线"/>
                <w:iCs/>
                <w:kern w:val="2"/>
                <w:sz w:val="18"/>
                <w:szCs w:val="18"/>
              </w:rPr>
              <w:t>ln(</w:t>
            </w:r>
            <w:r>
              <w:rPr>
                <w:rFonts w:eastAsia="等线"/>
                <w:i/>
                <w:kern w:val="2"/>
                <w:sz w:val="18"/>
                <w:szCs w:val="18"/>
              </w:rPr>
              <w:t>A</w:t>
            </w:r>
            <w:r>
              <w:rPr>
                <w:rFonts w:eastAsia="等线"/>
                <w:i/>
                <w:kern w:val="2"/>
                <w:sz w:val="18"/>
                <w:szCs w:val="18"/>
                <w:vertAlign w:val="subscript"/>
              </w:rPr>
              <w:t>W</w:t>
            </w:r>
            <w:r>
              <w:rPr>
                <w:rFonts w:eastAsia="等线"/>
                <w:iCs/>
                <w:kern w:val="2"/>
                <w:sz w:val="18"/>
                <w:szCs w:val="18"/>
              </w:rPr>
              <w:t>)</w:t>
            </w:r>
          </w:p>
        </w:tc>
        <w:tc>
          <w:tcPr>
            <w:tcW w:w="293" w:type="pct"/>
            <w:vAlign w:val="center"/>
          </w:tcPr>
          <w:p>
            <w:pPr>
              <w:widowControl w:val="0"/>
              <w:jc w:val="both"/>
              <w:rPr>
                <w:rFonts w:eastAsia="等线"/>
                <w:iCs/>
                <w:kern w:val="2"/>
                <w:sz w:val="18"/>
                <w:szCs w:val="18"/>
                <w:lang w:eastAsia="zh-CN"/>
              </w:rPr>
            </w:pPr>
            <w:r>
              <w:rPr>
                <w:rFonts w:eastAsia="等线"/>
                <w:iCs/>
                <w:kern w:val="2"/>
                <w:sz w:val="18"/>
                <w:szCs w:val="18"/>
                <w:lang w:eastAsia="zh-CN"/>
              </w:rPr>
              <w:t>Lithology</w:t>
            </w:r>
          </w:p>
        </w:tc>
        <w:tc>
          <w:tcPr>
            <w:tcW w:w="293" w:type="pct"/>
            <w:vAlign w:val="center"/>
          </w:tcPr>
          <w:p>
            <w:pPr>
              <w:widowControl w:val="0"/>
              <w:jc w:val="both"/>
              <w:rPr>
                <w:rFonts w:eastAsia="等线"/>
                <w:iCs/>
                <w:kern w:val="2"/>
                <w:sz w:val="18"/>
                <w:szCs w:val="18"/>
              </w:rPr>
            </w:pPr>
            <w:r>
              <w:rPr>
                <w:rFonts w:eastAsia="等线"/>
                <w:iCs/>
                <w:kern w:val="2"/>
                <w:sz w:val="18"/>
                <w:szCs w:val="18"/>
              </w:rPr>
              <w:t>nVar</w:t>
            </w:r>
          </w:p>
        </w:tc>
        <w:tc>
          <w:tcPr>
            <w:tcW w:w="277" w:type="pct"/>
            <w:vAlign w:val="center"/>
          </w:tcPr>
          <w:p>
            <w:pPr>
              <w:widowControl w:val="0"/>
              <w:jc w:val="both"/>
              <w:rPr>
                <w:rFonts w:eastAsia="等线"/>
                <w:iCs/>
                <w:kern w:val="2"/>
                <w:sz w:val="18"/>
                <w:szCs w:val="18"/>
              </w:rPr>
            </w:pPr>
            <w:r>
              <w:rPr>
                <w:rFonts w:eastAsia="等线"/>
                <w:iCs/>
                <w:kern w:val="2"/>
                <w:sz w:val="18"/>
                <w:szCs w:val="18"/>
              </w:rPr>
              <w:t>BIC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11" w:type="pct"/>
            <w:shd w:val="clear" w:color="auto" w:fill="auto"/>
            <w:vAlign w:val="center"/>
          </w:tcPr>
          <w:p>
            <w:pPr>
              <w:widowControl w:val="0"/>
              <w:rPr>
                <w:rFonts w:eastAsia="等线"/>
                <w:b/>
                <w:bCs/>
                <w:iCs/>
                <w:kern w:val="2"/>
                <w:sz w:val="18"/>
                <w:szCs w:val="18"/>
              </w:rPr>
            </w:pPr>
            <w:r>
              <w:rPr>
                <w:rFonts w:eastAsia="等线"/>
                <w:b/>
                <w:bCs/>
                <w:iCs/>
                <w:kern w:val="2"/>
                <w:sz w:val="18"/>
                <w:szCs w:val="18"/>
              </w:rPr>
              <w:t>M1 (optimal model)</w:t>
            </w:r>
          </w:p>
        </w:tc>
        <w:tc>
          <w:tcPr>
            <w:tcW w:w="376"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-16.219 </w:t>
            </w:r>
          </w:p>
        </w:tc>
        <w:tc>
          <w:tcPr>
            <w:tcW w:w="265"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5.653 </w:t>
            </w:r>
          </w:p>
        </w:tc>
        <w:tc>
          <w:tcPr>
            <w:tcW w:w="251"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6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-5.863 </w:t>
            </w:r>
          </w:p>
        </w:tc>
        <w:tc>
          <w:tcPr>
            <w:tcW w:w="25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91"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-1.223 </w:t>
            </w:r>
          </w:p>
        </w:tc>
        <w:tc>
          <w:tcPr>
            <w:tcW w:w="186"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44"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50"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6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30"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345"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89"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38.196 </w:t>
            </w:r>
          </w:p>
        </w:tc>
        <w:tc>
          <w:tcPr>
            <w:tcW w:w="422" w:type="pct"/>
            <w:vAlign w:val="center"/>
          </w:tcPr>
          <w:p>
            <w:pPr>
              <w:widowControl w:val="0"/>
              <w:jc w:val="both"/>
              <w:rPr>
                <w:rFonts w:eastAsia="等线"/>
                <w:iCs/>
                <w:kern w:val="2"/>
                <w:sz w:val="18"/>
                <w:szCs w:val="18"/>
              </w:rPr>
            </w:pPr>
            <w:r>
              <w:rPr>
                <w:rFonts w:eastAsia="等线"/>
                <w:color w:val="000000"/>
                <w:kern w:val="2"/>
                <w:sz w:val="18"/>
                <w:szCs w:val="18"/>
              </w:rPr>
              <w:t xml:space="preserve">-1.185 </w:t>
            </w:r>
          </w:p>
        </w:tc>
        <w:tc>
          <w:tcPr>
            <w:tcW w:w="293" w:type="pct"/>
            <w:vAlign w:val="center"/>
          </w:tcPr>
          <w:p>
            <w:pPr>
              <w:widowControl w:val="0"/>
              <w:jc w:val="both"/>
              <w:rPr>
                <w:rFonts w:eastAsia="等线"/>
                <w:iCs/>
                <w:kern w:val="2"/>
                <w:sz w:val="18"/>
                <w:szCs w:val="18"/>
              </w:rPr>
            </w:pPr>
            <w:r>
              <w:rPr>
                <w:rFonts w:eastAsia="等线"/>
                <w:color w:val="000000"/>
                <w:kern w:val="2"/>
                <w:sz w:val="18"/>
                <w:szCs w:val="18"/>
              </w:rPr>
              <w:t>/</w:t>
            </w:r>
          </w:p>
        </w:tc>
        <w:tc>
          <w:tcPr>
            <w:tcW w:w="293" w:type="pct"/>
            <w:vAlign w:val="center"/>
          </w:tcPr>
          <w:p>
            <w:pPr>
              <w:widowControl w:val="0"/>
              <w:jc w:val="both"/>
              <w:rPr>
                <w:rFonts w:eastAsia="等线"/>
                <w:iCs/>
                <w:kern w:val="2"/>
                <w:sz w:val="18"/>
                <w:szCs w:val="18"/>
              </w:rPr>
            </w:pPr>
            <w:r>
              <w:rPr>
                <w:rFonts w:eastAsia="等线"/>
                <w:iCs/>
                <w:kern w:val="2"/>
                <w:sz w:val="18"/>
                <w:szCs w:val="18"/>
              </w:rPr>
              <w:t>5</w:t>
            </w:r>
          </w:p>
        </w:tc>
        <w:tc>
          <w:tcPr>
            <w:tcW w:w="277" w:type="pct"/>
            <w:vAlign w:val="center"/>
          </w:tcPr>
          <w:p>
            <w:pPr>
              <w:widowControl w:val="0"/>
              <w:jc w:val="both"/>
              <w:rPr>
                <w:rFonts w:eastAsia="等线"/>
                <w:iCs/>
                <w:kern w:val="2"/>
                <w:sz w:val="18"/>
                <w:szCs w:val="18"/>
              </w:rPr>
            </w:pPr>
            <w:r>
              <w:rPr>
                <w:kern w:val="2"/>
                <w:sz w:val="18"/>
                <w:szCs w:val="18"/>
              </w:rPr>
              <w:t xml:space="preserve">-3459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511" w:type="pct"/>
            <w:shd w:val="clear" w:color="auto" w:fill="auto"/>
            <w:vAlign w:val="center"/>
          </w:tcPr>
          <w:p>
            <w:pPr>
              <w:widowControl w:val="0"/>
              <w:jc w:val="both"/>
              <w:rPr>
                <w:rFonts w:eastAsia="等线"/>
                <w:iCs/>
                <w:kern w:val="2"/>
                <w:sz w:val="18"/>
                <w:szCs w:val="18"/>
              </w:rPr>
            </w:pPr>
            <w:r>
              <w:rPr>
                <w:rFonts w:eastAsia="等线"/>
                <w:iCs/>
                <w:kern w:val="2"/>
                <w:sz w:val="18"/>
                <w:szCs w:val="18"/>
              </w:rPr>
              <w:t>M2</w:t>
            </w:r>
          </w:p>
        </w:tc>
        <w:tc>
          <w:tcPr>
            <w:tcW w:w="376"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-13.997 </w:t>
            </w:r>
          </w:p>
        </w:tc>
        <w:tc>
          <w:tcPr>
            <w:tcW w:w="265"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5.649 </w:t>
            </w:r>
          </w:p>
        </w:tc>
        <w:tc>
          <w:tcPr>
            <w:tcW w:w="251"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6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-5.741 </w:t>
            </w:r>
          </w:p>
        </w:tc>
        <w:tc>
          <w:tcPr>
            <w:tcW w:w="25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91"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-1.280 </w:t>
            </w:r>
          </w:p>
        </w:tc>
        <w:tc>
          <w:tcPr>
            <w:tcW w:w="186"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44"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50"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6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30"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345"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-0.316 </w:t>
            </w:r>
          </w:p>
        </w:tc>
        <w:tc>
          <w:tcPr>
            <w:tcW w:w="289"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33.381 </w:t>
            </w:r>
          </w:p>
        </w:tc>
        <w:tc>
          <w:tcPr>
            <w:tcW w:w="422" w:type="pct"/>
            <w:vAlign w:val="center"/>
          </w:tcPr>
          <w:p>
            <w:pPr>
              <w:widowControl w:val="0"/>
              <w:jc w:val="both"/>
              <w:rPr>
                <w:rFonts w:eastAsia="等线"/>
                <w:iCs/>
                <w:kern w:val="2"/>
                <w:sz w:val="18"/>
                <w:szCs w:val="18"/>
              </w:rPr>
            </w:pPr>
            <w:r>
              <w:rPr>
                <w:rFonts w:eastAsia="等线"/>
                <w:color w:val="000000"/>
                <w:kern w:val="2"/>
                <w:sz w:val="18"/>
                <w:szCs w:val="18"/>
              </w:rPr>
              <w:t xml:space="preserve">-1.168 </w:t>
            </w:r>
          </w:p>
        </w:tc>
        <w:tc>
          <w:tcPr>
            <w:tcW w:w="293" w:type="pct"/>
            <w:vAlign w:val="center"/>
          </w:tcPr>
          <w:p>
            <w:pPr>
              <w:widowControl w:val="0"/>
              <w:jc w:val="both"/>
              <w:rPr>
                <w:rFonts w:eastAsia="等线"/>
                <w:iCs/>
                <w:kern w:val="2"/>
                <w:sz w:val="18"/>
                <w:szCs w:val="18"/>
              </w:rPr>
            </w:pPr>
            <w:r>
              <w:rPr>
                <w:rFonts w:eastAsia="等线"/>
                <w:color w:val="000000"/>
                <w:kern w:val="2"/>
                <w:sz w:val="18"/>
                <w:szCs w:val="18"/>
              </w:rPr>
              <w:t>/</w:t>
            </w:r>
          </w:p>
        </w:tc>
        <w:tc>
          <w:tcPr>
            <w:tcW w:w="293" w:type="pct"/>
            <w:vAlign w:val="center"/>
          </w:tcPr>
          <w:p>
            <w:pPr>
              <w:widowControl w:val="0"/>
              <w:jc w:val="both"/>
              <w:rPr>
                <w:rFonts w:eastAsia="等线"/>
                <w:iCs/>
                <w:kern w:val="2"/>
                <w:sz w:val="18"/>
                <w:szCs w:val="18"/>
              </w:rPr>
            </w:pPr>
            <w:r>
              <w:rPr>
                <w:rFonts w:eastAsia="等线"/>
                <w:iCs/>
                <w:kern w:val="2"/>
                <w:sz w:val="18"/>
                <w:szCs w:val="18"/>
              </w:rPr>
              <w:t>6</w:t>
            </w:r>
          </w:p>
        </w:tc>
        <w:tc>
          <w:tcPr>
            <w:tcW w:w="277" w:type="pct"/>
            <w:vAlign w:val="center"/>
          </w:tcPr>
          <w:p>
            <w:pPr>
              <w:widowControl w:val="0"/>
              <w:jc w:val="both"/>
              <w:rPr>
                <w:rFonts w:eastAsia="等线"/>
                <w:iCs/>
                <w:kern w:val="2"/>
                <w:sz w:val="18"/>
                <w:szCs w:val="18"/>
              </w:rPr>
            </w:pPr>
            <w:r>
              <w:rPr>
                <w:kern w:val="2"/>
                <w:sz w:val="18"/>
                <w:szCs w:val="18"/>
              </w:rPr>
              <w:t xml:space="preserve">-3458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511" w:type="pct"/>
            <w:shd w:val="clear" w:color="auto" w:fill="auto"/>
            <w:vAlign w:val="center"/>
          </w:tcPr>
          <w:p>
            <w:pPr>
              <w:widowControl w:val="0"/>
              <w:jc w:val="both"/>
              <w:rPr>
                <w:rFonts w:eastAsia="等线"/>
                <w:iCs/>
                <w:kern w:val="2"/>
                <w:sz w:val="18"/>
                <w:szCs w:val="18"/>
              </w:rPr>
            </w:pPr>
            <w:r>
              <w:rPr>
                <w:rFonts w:eastAsia="等线"/>
                <w:iCs/>
                <w:kern w:val="2"/>
                <w:sz w:val="18"/>
                <w:szCs w:val="18"/>
              </w:rPr>
              <w:t>M3</w:t>
            </w:r>
          </w:p>
        </w:tc>
        <w:tc>
          <w:tcPr>
            <w:tcW w:w="376"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-18.498 </w:t>
            </w:r>
          </w:p>
        </w:tc>
        <w:tc>
          <w:tcPr>
            <w:tcW w:w="265"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5.806 </w:t>
            </w:r>
          </w:p>
        </w:tc>
        <w:tc>
          <w:tcPr>
            <w:tcW w:w="251"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1.440 </w:t>
            </w:r>
          </w:p>
        </w:tc>
        <w:tc>
          <w:tcPr>
            <w:tcW w:w="26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-7.194 </w:t>
            </w:r>
          </w:p>
        </w:tc>
        <w:tc>
          <w:tcPr>
            <w:tcW w:w="25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91"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-1.062 </w:t>
            </w:r>
          </w:p>
        </w:tc>
        <w:tc>
          <w:tcPr>
            <w:tcW w:w="186"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44"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50"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6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30"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345"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89"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37.189 </w:t>
            </w:r>
          </w:p>
        </w:tc>
        <w:tc>
          <w:tcPr>
            <w:tcW w:w="422" w:type="pct"/>
            <w:vAlign w:val="center"/>
          </w:tcPr>
          <w:p>
            <w:pPr>
              <w:widowControl w:val="0"/>
              <w:jc w:val="both"/>
              <w:rPr>
                <w:rFonts w:eastAsia="等线"/>
                <w:iCs/>
                <w:kern w:val="2"/>
                <w:sz w:val="18"/>
                <w:szCs w:val="18"/>
              </w:rPr>
            </w:pPr>
            <w:r>
              <w:rPr>
                <w:rFonts w:eastAsia="等线"/>
                <w:color w:val="000000"/>
                <w:kern w:val="2"/>
                <w:sz w:val="18"/>
                <w:szCs w:val="18"/>
              </w:rPr>
              <w:t xml:space="preserve">-1.242 </w:t>
            </w:r>
          </w:p>
        </w:tc>
        <w:tc>
          <w:tcPr>
            <w:tcW w:w="293" w:type="pct"/>
            <w:vAlign w:val="center"/>
          </w:tcPr>
          <w:p>
            <w:pPr>
              <w:widowControl w:val="0"/>
              <w:jc w:val="both"/>
              <w:rPr>
                <w:rFonts w:eastAsia="等线"/>
                <w:iCs/>
                <w:kern w:val="2"/>
                <w:sz w:val="18"/>
                <w:szCs w:val="18"/>
              </w:rPr>
            </w:pPr>
            <w:r>
              <w:rPr>
                <w:rFonts w:eastAsia="等线"/>
                <w:color w:val="000000"/>
                <w:kern w:val="2"/>
                <w:sz w:val="18"/>
                <w:szCs w:val="18"/>
              </w:rPr>
              <w:t>/</w:t>
            </w:r>
          </w:p>
        </w:tc>
        <w:tc>
          <w:tcPr>
            <w:tcW w:w="293" w:type="pct"/>
            <w:vAlign w:val="center"/>
          </w:tcPr>
          <w:p>
            <w:pPr>
              <w:widowControl w:val="0"/>
              <w:jc w:val="both"/>
              <w:rPr>
                <w:rFonts w:eastAsia="等线"/>
                <w:iCs/>
                <w:kern w:val="2"/>
                <w:sz w:val="18"/>
                <w:szCs w:val="18"/>
              </w:rPr>
            </w:pPr>
            <w:r>
              <w:rPr>
                <w:rFonts w:eastAsia="等线"/>
                <w:iCs/>
                <w:kern w:val="2"/>
                <w:sz w:val="18"/>
                <w:szCs w:val="18"/>
              </w:rPr>
              <w:t>6</w:t>
            </w:r>
          </w:p>
        </w:tc>
        <w:tc>
          <w:tcPr>
            <w:tcW w:w="277" w:type="pct"/>
            <w:vAlign w:val="center"/>
          </w:tcPr>
          <w:p>
            <w:pPr>
              <w:widowControl w:val="0"/>
              <w:jc w:val="both"/>
              <w:rPr>
                <w:rFonts w:eastAsia="等线"/>
                <w:iCs/>
                <w:kern w:val="2"/>
                <w:sz w:val="18"/>
                <w:szCs w:val="18"/>
              </w:rPr>
            </w:pPr>
            <w:r>
              <w:rPr>
                <w:kern w:val="2"/>
                <w:sz w:val="18"/>
                <w:szCs w:val="18"/>
              </w:rPr>
              <w:t xml:space="preserve">-3457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511" w:type="pct"/>
            <w:shd w:val="clear" w:color="auto" w:fill="auto"/>
            <w:vAlign w:val="center"/>
          </w:tcPr>
          <w:p>
            <w:pPr>
              <w:widowControl w:val="0"/>
              <w:jc w:val="both"/>
              <w:rPr>
                <w:rFonts w:eastAsia="等线"/>
                <w:iCs/>
                <w:kern w:val="2"/>
                <w:sz w:val="18"/>
                <w:szCs w:val="18"/>
              </w:rPr>
            </w:pPr>
            <w:r>
              <w:rPr>
                <w:rFonts w:eastAsia="等线"/>
                <w:iCs/>
                <w:kern w:val="2"/>
                <w:sz w:val="18"/>
                <w:szCs w:val="18"/>
              </w:rPr>
              <w:t>M4</w:t>
            </w:r>
          </w:p>
        </w:tc>
        <w:tc>
          <w:tcPr>
            <w:tcW w:w="376"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-20.079 </w:t>
            </w:r>
          </w:p>
        </w:tc>
        <w:tc>
          <w:tcPr>
            <w:tcW w:w="265"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5.770 </w:t>
            </w:r>
          </w:p>
        </w:tc>
        <w:tc>
          <w:tcPr>
            <w:tcW w:w="251"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6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-5.737 </w:t>
            </w:r>
          </w:p>
        </w:tc>
        <w:tc>
          <w:tcPr>
            <w:tcW w:w="25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1.929 </w:t>
            </w:r>
          </w:p>
        </w:tc>
        <w:tc>
          <w:tcPr>
            <w:tcW w:w="291"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-1.106 </w:t>
            </w:r>
          </w:p>
        </w:tc>
        <w:tc>
          <w:tcPr>
            <w:tcW w:w="186"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44"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50"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6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30"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345"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89"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37.723 </w:t>
            </w:r>
          </w:p>
        </w:tc>
        <w:tc>
          <w:tcPr>
            <w:tcW w:w="422" w:type="pct"/>
            <w:vAlign w:val="center"/>
          </w:tcPr>
          <w:p>
            <w:pPr>
              <w:widowControl w:val="0"/>
              <w:jc w:val="both"/>
              <w:rPr>
                <w:rFonts w:eastAsia="等线"/>
                <w:iCs/>
                <w:kern w:val="2"/>
                <w:sz w:val="18"/>
                <w:szCs w:val="18"/>
              </w:rPr>
            </w:pPr>
            <w:r>
              <w:rPr>
                <w:rFonts w:eastAsia="等线"/>
                <w:color w:val="000000"/>
                <w:kern w:val="2"/>
                <w:sz w:val="18"/>
                <w:szCs w:val="18"/>
              </w:rPr>
              <w:t xml:space="preserve">-1.225 </w:t>
            </w:r>
          </w:p>
        </w:tc>
        <w:tc>
          <w:tcPr>
            <w:tcW w:w="293" w:type="pct"/>
            <w:vAlign w:val="center"/>
          </w:tcPr>
          <w:p>
            <w:pPr>
              <w:widowControl w:val="0"/>
              <w:jc w:val="both"/>
              <w:rPr>
                <w:rFonts w:eastAsia="等线"/>
                <w:iCs/>
                <w:kern w:val="2"/>
                <w:sz w:val="18"/>
                <w:szCs w:val="18"/>
              </w:rPr>
            </w:pPr>
            <w:r>
              <w:rPr>
                <w:rFonts w:eastAsia="等线"/>
                <w:color w:val="000000"/>
                <w:kern w:val="2"/>
                <w:sz w:val="18"/>
                <w:szCs w:val="18"/>
              </w:rPr>
              <w:t>/</w:t>
            </w:r>
          </w:p>
        </w:tc>
        <w:tc>
          <w:tcPr>
            <w:tcW w:w="293" w:type="pct"/>
            <w:vAlign w:val="center"/>
          </w:tcPr>
          <w:p>
            <w:pPr>
              <w:widowControl w:val="0"/>
              <w:jc w:val="both"/>
              <w:rPr>
                <w:rFonts w:eastAsia="等线"/>
                <w:iCs/>
                <w:kern w:val="2"/>
                <w:sz w:val="18"/>
                <w:szCs w:val="18"/>
              </w:rPr>
            </w:pPr>
            <w:r>
              <w:rPr>
                <w:rFonts w:eastAsia="等线"/>
                <w:iCs/>
                <w:kern w:val="2"/>
                <w:sz w:val="18"/>
                <w:szCs w:val="18"/>
              </w:rPr>
              <w:t>6</w:t>
            </w:r>
          </w:p>
        </w:tc>
        <w:tc>
          <w:tcPr>
            <w:tcW w:w="277" w:type="pct"/>
            <w:vAlign w:val="center"/>
          </w:tcPr>
          <w:p>
            <w:pPr>
              <w:widowControl w:val="0"/>
              <w:jc w:val="both"/>
              <w:rPr>
                <w:rFonts w:eastAsia="等线"/>
                <w:iCs/>
                <w:kern w:val="2"/>
                <w:sz w:val="18"/>
                <w:szCs w:val="18"/>
              </w:rPr>
            </w:pPr>
            <w:r>
              <w:rPr>
                <w:kern w:val="2"/>
                <w:sz w:val="18"/>
                <w:szCs w:val="18"/>
              </w:rPr>
              <w:t xml:space="preserve">-3456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511" w:type="pct"/>
            <w:shd w:val="clear" w:color="auto" w:fill="auto"/>
            <w:vAlign w:val="center"/>
          </w:tcPr>
          <w:p>
            <w:pPr>
              <w:widowControl w:val="0"/>
              <w:jc w:val="both"/>
              <w:rPr>
                <w:rFonts w:eastAsia="等线"/>
                <w:iCs/>
                <w:kern w:val="2"/>
                <w:sz w:val="18"/>
                <w:szCs w:val="18"/>
              </w:rPr>
            </w:pPr>
            <w:r>
              <w:rPr>
                <w:rFonts w:eastAsia="等线"/>
                <w:iCs/>
                <w:kern w:val="2"/>
                <w:sz w:val="18"/>
                <w:szCs w:val="18"/>
              </w:rPr>
              <w:t>M5</w:t>
            </w:r>
          </w:p>
        </w:tc>
        <w:tc>
          <w:tcPr>
            <w:tcW w:w="376"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-16.281 </w:t>
            </w:r>
          </w:p>
        </w:tc>
        <w:tc>
          <w:tcPr>
            <w:tcW w:w="265"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5.810 </w:t>
            </w:r>
          </w:p>
        </w:tc>
        <w:tc>
          <w:tcPr>
            <w:tcW w:w="251"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1.484 </w:t>
            </w:r>
          </w:p>
        </w:tc>
        <w:tc>
          <w:tcPr>
            <w:tcW w:w="26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-7.117 </w:t>
            </w:r>
          </w:p>
        </w:tc>
        <w:tc>
          <w:tcPr>
            <w:tcW w:w="25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91"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-1.115 </w:t>
            </w:r>
          </w:p>
        </w:tc>
        <w:tc>
          <w:tcPr>
            <w:tcW w:w="186"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44"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50"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163"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230"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w:t>
            </w:r>
          </w:p>
        </w:tc>
        <w:tc>
          <w:tcPr>
            <w:tcW w:w="345"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-0.325 </w:t>
            </w:r>
          </w:p>
        </w:tc>
        <w:tc>
          <w:tcPr>
            <w:tcW w:w="289" w:type="pct"/>
            <w:shd w:val="clear" w:color="auto" w:fill="auto"/>
            <w:vAlign w:val="center"/>
          </w:tcPr>
          <w:p>
            <w:pPr>
              <w:widowControl w:val="0"/>
              <w:jc w:val="both"/>
              <w:rPr>
                <w:rFonts w:eastAsia="等线"/>
                <w:iCs/>
                <w:kern w:val="2"/>
                <w:sz w:val="18"/>
                <w:szCs w:val="18"/>
              </w:rPr>
            </w:pPr>
            <w:r>
              <w:rPr>
                <w:rFonts w:eastAsia="等线"/>
                <w:color w:val="000000"/>
                <w:kern w:val="2"/>
                <w:sz w:val="18"/>
                <w:szCs w:val="18"/>
              </w:rPr>
              <w:t xml:space="preserve">31.820 </w:t>
            </w:r>
          </w:p>
        </w:tc>
        <w:tc>
          <w:tcPr>
            <w:tcW w:w="422" w:type="pct"/>
            <w:vAlign w:val="center"/>
          </w:tcPr>
          <w:p>
            <w:pPr>
              <w:widowControl w:val="0"/>
              <w:jc w:val="both"/>
              <w:rPr>
                <w:rFonts w:eastAsia="等线"/>
                <w:iCs/>
                <w:kern w:val="2"/>
                <w:sz w:val="18"/>
                <w:szCs w:val="18"/>
              </w:rPr>
            </w:pPr>
            <w:r>
              <w:rPr>
                <w:rFonts w:eastAsia="等线"/>
                <w:color w:val="000000"/>
                <w:kern w:val="2"/>
                <w:sz w:val="18"/>
                <w:szCs w:val="18"/>
              </w:rPr>
              <w:t xml:space="preserve">-1.225 </w:t>
            </w:r>
          </w:p>
        </w:tc>
        <w:tc>
          <w:tcPr>
            <w:tcW w:w="293" w:type="pct"/>
            <w:vAlign w:val="center"/>
          </w:tcPr>
          <w:p>
            <w:pPr>
              <w:widowControl w:val="0"/>
              <w:jc w:val="both"/>
              <w:rPr>
                <w:rFonts w:eastAsia="等线"/>
                <w:iCs/>
                <w:kern w:val="2"/>
                <w:sz w:val="18"/>
                <w:szCs w:val="18"/>
              </w:rPr>
            </w:pPr>
            <w:r>
              <w:rPr>
                <w:rFonts w:eastAsia="等线"/>
                <w:color w:val="000000"/>
                <w:kern w:val="2"/>
                <w:sz w:val="18"/>
                <w:szCs w:val="18"/>
              </w:rPr>
              <w:t>/</w:t>
            </w:r>
          </w:p>
        </w:tc>
        <w:tc>
          <w:tcPr>
            <w:tcW w:w="293" w:type="pct"/>
            <w:vAlign w:val="center"/>
          </w:tcPr>
          <w:p>
            <w:pPr>
              <w:widowControl w:val="0"/>
              <w:jc w:val="both"/>
              <w:rPr>
                <w:rFonts w:eastAsia="等线"/>
                <w:iCs/>
                <w:kern w:val="2"/>
                <w:sz w:val="18"/>
                <w:szCs w:val="18"/>
              </w:rPr>
            </w:pPr>
            <w:r>
              <w:rPr>
                <w:rFonts w:eastAsia="等线"/>
                <w:iCs/>
                <w:kern w:val="2"/>
                <w:sz w:val="18"/>
                <w:szCs w:val="18"/>
              </w:rPr>
              <w:t>7</w:t>
            </w:r>
          </w:p>
        </w:tc>
        <w:tc>
          <w:tcPr>
            <w:tcW w:w="277" w:type="pct"/>
            <w:vAlign w:val="center"/>
          </w:tcPr>
          <w:p>
            <w:pPr>
              <w:widowControl w:val="0"/>
              <w:jc w:val="both"/>
              <w:rPr>
                <w:rFonts w:eastAsia="等线"/>
                <w:iCs/>
                <w:kern w:val="2"/>
                <w:sz w:val="18"/>
                <w:szCs w:val="18"/>
              </w:rPr>
            </w:pPr>
            <w:r>
              <w:rPr>
                <w:kern w:val="2"/>
                <w:sz w:val="18"/>
                <w:szCs w:val="18"/>
              </w:rPr>
              <w:t xml:space="preserve">-3456 </w:t>
            </w:r>
          </w:p>
        </w:tc>
      </w:tr>
    </w:tbl>
    <w:p>
      <w:pPr>
        <w:rPr>
          <w:sz w:val="18"/>
          <w:szCs w:val="18"/>
          <w:lang w:val="en-AU"/>
        </w:rPr>
      </w:pPr>
      <w:r>
        <w:rPr>
          <w:sz w:val="18"/>
          <w:szCs w:val="18"/>
          <w:lang w:val="en-AU"/>
        </w:rPr>
        <w:t>nVar: number of selected variables; “/” denotes the variable is not selected in the model; The definitions of the features are summarized in Table 2.</w:t>
      </w:r>
    </w:p>
    <w:p>
      <w:pPr>
        <w:autoSpaceDE w:val="0"/>
        <w:autoSpaceDN w:val="0"/>
        <w:adjustRightInd w:val="0"/>
        <w:snapToGrid w:val="0"/>
        <w:spacing w:before="120"/>
        <w:jc w:val="both"/>
        <w:rPr>
          <w:sz w:val="18"/>
          <w:szCs w:val="18"/>
          <w:lang w:val="en-AU"/>
        </w:rPr>
        <w:sectPr>
          <w:pgSz w:w="16838" w:h="11906" w:orient="landscape"/>
          <w:pgMar w:top="720" w:right="896" w:bottom="1038" w:left="1038" w:header="709" w:footer="709" w:gutter="0"/>
          <w:cols w:space="708" w:num="1"/>
          <w:docGrid w:linePitch="360" w:charSpace="0"/>
        </w:sectPr>
      </w:pPr>
    </w:p>
    <w:p>
      <w:pPr>
        <w:autoSpaceDE w:val="0"/>
        <w:autoSpaceDN w:val="0"/>
        <w:adjustRightInd w:val="0"/>
        <w:snapToGrid w:val="0"/>
        <w:spacing w:before="120" w:after="120" w:afterLines="50"/>
        <w:rPr>
          <w:rFonts w:eastAsia="黑体"/>
          <w:b/>
          <w:sz w:val="21"/>
          <w:szCs w:val="21"/>
        </w:rPr>
      </w:pPr>
      <w:r>
        <w:rPr>
          <w:rFonts w:eastAsia="黑体"/>
          <w:b/>
          <w:sz w:val="21"/>
          <w:szCs w:val="21"/>
        </w:rPr>
        <w:t>References</w:t>
      </w:r>
    </w:p>
    <w:p>
      <w:pPr>
        <w:jc w:val="both"/>
        <w:rPr>
          <w:sz w:val="21"/>
        </w:rPr>
      </w:pPr>
      <w:r>
        <w:rPr>
          <w:sz w:val="15"/>
          <w:szCs w:val="15"/>
        </w:rPr>
        <w:fldChar w:fldCharType="begin"/>
      </w:r>
      <w:r>
        <w:rPr>
          <w:sz w:val="15"/>
          <w:szCs w:val="15"/>
        </w:rPr>
        <w:instrText xml:space="preserve"> ADDIN EN.REFLIST </w:instrText>
      </w:r>
      <w:r>
        <w:rPr>
          <w:sz w:val="15"/>
          <w:szCs w:val="15"/>
        </w:rPr>
        <w:fldChar w:fldCharType="separate"/>
      </w:r>
      <w:r>
        <w:rPr>
          <w:sz w:val="21"/>
        </w:rPr>
        <w:t xml:space="preserve">[1] Zhang Y, Chen J, Zhou F, Bao Y, Yan J, Zhang Y, et al. Combined numerical investigation of the Gangda paleolandslide runout and associated dam breach flood propagation in the upper Jinsha River, SE Tibetan Plateau. Landslides 2022;19(4):941-962. </w:t>
      </w:r>
    </w:p>
    <w:p>
      <w:pPr>
        <w:jc w:val="both"/>
        <w:rPr>
          <w:sz w:val="21"/>
        </w:rPr>
      </w:pPr>
      <w:r>
        <w:rPr>
          <w:sz w:val="21"/>
        </w:rPr>
        <w:t xml:space="preserve">[2] Chen J, Dai F, Lv T, Cui Z. Holocene landslide-dammed lake deposits in the Upper Jinsha River, SE Tibetan Plateau and their ages. Quatern Int 2013;298:107-113. </w:t>
      </w:r>
    </w:p>
    <w:p>
      <w:pPr>
        <w:jc w:val="both"/>
        <w:rPr>
          <w:sz w:val="21"/>
        </w:rPr>
      </w:pPr>
      <w:r>
        <w:rPr>
          <w:sz w:val="21"/>
        </w:rPr>
        <w:t xml:space="preserve">[3] Sun X, Chen J, Han X, Bao Y, Zhan J, Peng W. Application of a GIS-based slope unit method for landslide susceptibility mapping along the rapidly uplifting section of the upper Jinsha River, South-Western China. Bull Eng Geol Environ 2020;79(1):533-549. </w:t>
      </w:r>
    </w:p>
    <w:p>
      <w:pPr>
        <w:jc w:val="both"/>
        <w:rPr>
          <w:sz w:val="21"/>
        </w:rPr>
      </w:pPr>
      <w:r>
        <w:rPr>
          <w:sz w:val="21"/>
        </w:rPr>
        <w:t xml:space="preserve">[4] Guzzetti F, Mondini AC, Cardinali M, Fiorucci F, Santangelo M, Chang K-T. Landslide inventory maps: New tools for an old problem. Earth Sci Rev 2012;112(1-2):42-66. </w:t>
      </w:r>
    </w:p>
    <w:p>
      <w:pPr>
        <w:jc w:val="both"/>
        <w:rPr>
          <w:sz w:val="21"/>
        </w:rPr>
      </w:pPr>
      <w:r>
        <w:rPr>
          <w:sz w:val="21"/>
        </w:rPr>
        <w:t xml:space="preserve">[5] Gallant JC, Dowling TI. A multiresolution index of valley bottom flatness for mapping depositional areas. Water Resour Res 2003;39(12). </w:t>
      </w:r>
    </w:p>
    <w:p>
      <w:pPr>
        <w:jc w:val="both"/>
        <w:rPr>
          <w:sz w:val="21"/>
        </w:rPr>
      </w:pPr>
      <w:r>
        <w:rPr>
          <w:sz w:val="21"/>
        </w:rPr>
        <w:t xml:space="preserve">[6] Fryirs KA, Wheaton JM, Brierley GJ. An approach for measuring confinement and assessing the influence of valley setting on river forms and processes. Earth Surf Process Landf 2016;41(5):701-710. </w:t>
      </w:r>
    </w:p>
    <w:p>
      <w:pPr>
        <w:jc w:val="both"/>
        <w:rPr>
          <w:sz w:val="21"/>
        </w:rPr>
      </w:pPr>
      <w:r>
        <w:rPr>
          <w:sz w:val="21"/>
        </w:rPr>
        <w:t xml:space="preserve">[7] Zhao Y, Wu P, Li J, Lin Q, Lu Y. A new algorithm for the automatic extraction of valley floor width. Geomorphology 2019;335:37-47. </w:t>
      </w:r>
    </w:p>
    <w:p>
      <w:pPr>
        <w:jc w:val="both"/>
        <w:rPr>
          <w:sz w:val="21"/>
        </w:rPr>
      </w:pPr>
      <w:r>
        <w:rPr>
          <w:sz w:val="21"/>
        </w:rPr>
        <w:t xml:space="preserve">[8] Zhang LM, Xiao T, He J, Chen C. Erosion-based analysis of breaching of Baige landslide dams on the Jinsha River, China, in 2018. Landslides 2019;16(10):1965-1979. </w:t>
      </w:r>
    </w:p>
    <w:p>
      <w:pPr>
        <w:jc w:val="both"/>
        <w:rPr>
          <w:sz w:val="21"/>
        </w:rPr>
      </w:pPr>
      <w:r>
        <w:rPr>
          <w:sz w:val="21"/>
        </w:rPr>
        <w:t>[9] Cai Y, Luan Y, Yang Q, Xu F, Zhang S, Shi Y, et al. Study on structural morphology and dam-break characteristics of Baige barrier dam on Jinsha River. Yangtze River 2019;50(3):15-22. Chinese.</w:t>
      </w:r>
    </w:p>
    <w:p>
      <w:pPr>
        <w:jc w:val="both"/>
        <w:rPr>
          <w:sz w:val="21"/>
        </w:rPr>
      </w:pPr>
      <w:r>
        <w:rPr>
          <w:sz w:val="21"/>
        </w:rPr>
        <w:t xml:space="preserve">[10] Chen J, Cui Z, Chen R, Zheng X. The origin and evolution of the Temi paleolandslide-dammed lake in the upper Jinsha River. Earth Sci Front 2021;28(2):85. </w:t>
      </w:r>
    </w:p>
    <w:p>
      <w:pPr>
        <w:jc w:val="both"/>
        <w:rPr>
          <w:sz w:val="21"/>
        </w:rPr>
      </w:pPr>
      <w:r>
        <w:rPr>
          <w:sz w:val="21"/>
        </w:rPr>
        <w:t>[11] Chen J, Cui Z. Discovery of outburst deposits induced by the Xuelongnang Paleolandslide-dammed lake in the upper Jinsha River, China and its environmental and hazard significance. Acta Sedimentol Sin 2015;33(2):275-284. Chinese.</w:t>
      </w:r>
    </w:p>
    <w:p>
      <w:pPr>
        <w:jc w:val="both"/>
        <w:rPr>
          <w:sz w:val="21"/>
        </w:rPr>
      </w:pPr>
      <w:r>
        <w:rPr>
          <w:sz w:val="21"/>
        </w:rPr>
        <w:t xml:space="preserve">[12] Li Y, Chen J, Zhou F, Song S, Zhang Y, Gu F, et al. Identification of ancient river-blocking events and analysis of the mechanisms for the formation of landslide dams in the Suwalong section of the upper Jinsha River, SE Tibetan Plateau. Geomorphology 2020;368:107351. </w:t>
      </w:r>
    </w:p>
    <w:p>
      <w:pPr>
        <w:jc w:val="both"/>
        <w:rPr>
          <w:sz w:val="21"/>
        </w:rPr>
      </w:pPr>
      <w:r>
        <w:rPr>
          <w:sz w:val="21"/>
        </w:rPr>
        <w:t>[13] Li Y. Identification and evolution of the paleo-landslide dam events in the Suwalong reach of the upper Jinsha River. PhD dissertation, Jilin University; 2021. Chinese.</w:t>
      </w:r>
    </w:p>
    <w:p>
      <w:pPr>
        <w:jc w:val="both"/>
        <w:rPr>
          <w:sz w:val="21"/>
        </w:rPr>
      </w:pPr>
      <w:r>
        <w:rPr>
          <w:sz w:val="21"/>
        </w:rPr>
        <w:t>[14] Cai Y, Luan Y, Peng W, Li J, Xu Y. Analysis on typical cases of barrier lake: causes, disaster and emergency response. Wuhan:Changjiang Press; 2021. Chinese.</w:t>
      </w:r>
    </w:p>
    <w:p>
      <w:pPr>
        <w:jc w:val="both"/>
        <w:rPr>
          <w:sz w:val="21"/>
        </w:rPr>
      </w:pPr>
      <w:r>
        <w:rPr>
          <w:sz w:val="21"/>
        </w:rPr>
        <w:t xml:space="preserve">[15] Liu W, Carling PA, Hu K, Wang H, Zhou Z, Zhou L, et al. Outburst floods in China: A review. Earth Sci Rev 2019;197:102895. </w:t>
      </w:r>
    </w:p>
    <w:p>
      <w:pPr>
        <w:jc w:val="both"/>
        <w:rPr>
          <w:sz w:val="21"/>
        </w:rPr>
      </w:pPr>
      <w:r>
        <w:rPr>
          <w:sz w:val="21"/>
        </w:rPr>
        <w:t xml:space="preserve">[16] Wang P, Chen J, Dai F, Long W, Xu C, Sun J, et al. Chronology of relict lake deposits around the Suwalong paleolandslide in the upper Jinsha River, SE Tibetan Plateau: Implications to Holocene tectonic perturbations. Geomorphology 2014;217:193-203. </w:t>
      </w:r>
    </w:p>
    <w:p>
      <w:pPr>
        <w:jc w:val="both"/>
        <w:rPr>
          <w:sz w:val="21"/>
        </w:rPr>
      </w:pPr>
      <w:r>
        <w:rPr>
          <w:sz w:val="21"/>
        </w:rPr>
        <w:t>[17] Gao Y, Zhao S, Deng J. Developing law of damming landslide and challenges for disaster prevention and mitigation in the Three-river-parallel Territory in the Tibetan Plateau. Adv Eng Sci 2020;52(5):50-61. Chinese.</w:t>
      </w:r>
    </w:p>
    <w:p>
      <w:pPr>
        <w:jc w:val="both"/>
        <w:rPr>
          <w:sz w:val="21"/>
        </w:rPr>
      </w:pPr>
      <w:r>
        <w:rPr>
          <w:sz w:val="21"/>
        </w:rPr>
        <w:t>[18] Wen B, Zeng Q, Yan T. Preliminary analysis on initial failure modes of large rock avalanches' source slopes in the southeastern Qinghai-Tiber Plateau. Adv Eng Sci 2020;52(5):38-49. Chinese.</w:t>
      </w:r>
    </w:p>
    <w:p>
      <w:pPr>
        <w:jc w:val="both"/>
        <w:rPr>
          <w:sz w:val="21"/>
        </w:rPr>
      </w:pPr>
      <w:r>
        <w:rPr>
          <w:sz w:val="21"/>
        </w:rPr>
        <w:t xml:space="preserve">[19] Bao Y, Zhai S, Chen J, Xu P, Sun X, Zhan J, et al. The evolution of the Samaoding paleolandslide river blocking event at the upstream reaches of the Jinsha River, Tibetan Plateau. Geomorphology 2020;351:106970. </w:t>
      </w:r>
    </w:p>
    <w:p>
      <w:pPr>
        <w:jc w:val="both"/>
        <w:rPr>
          <w:sz w:val="21"/>
        </w:rPr>
      </w:pPr>
      <w:r>
        <w:rPr>
          <w:sz w:val="21"/>
        </w:rPr>
        <w:t>[20] Chen J, Li H. Genetic mechanism and disasters features of complicated structural rock mass along the rapidly uplift section at the upstream of Jinsha River. J Jilin Univ (Earth Sci Ed) 2016;46(4):1153-1167. Chinese.</w:t>
      </w:r>
    </w:p>
    <w:p>
      <w:pPr>
        <w:jc w:val="both"/>
        <w:rPr>
          <w:sz w:val="21"/>
        </w:rPr>
      </w:pPr>
      <w:r>
        <w:rPr>
          <w:sz w:val="21"/>
        </w:rPr>
        <w:t>[21] Chang H, Chang Z, Liu C. The relationship between activity of Jinsha River fault zone and large-scale landslides: a case study of the section between Narong and Rongxue along the Jinsha River. Seismol Geol 2021;43(6):1435. Chinese.</w:t>
      </w:r>
    </w:p>
    <w:p>
      <w:pPr>
        <w:jc w:val="both"/>
        <w:rPr>
          <w:sz w:val="21"/>
        </w:rPr>
      </w:pPr>
      <w:r>
        <w:rPr>
          <w:sz w:val="21"/>
        </w:rPr>
        <w:t>[22] Sun X. Study on Landslide Susceptibility and Risk Mapping Along the Rapidly Uplifting Section of the Upper Jinsha River: A Case of Xulong to Benzilan Reach. PhD dissertation, Jilin University; 2020. Chinese.</w:t>
      </w:r>
    </w:p>
    <w:p>
      <w:pPr>
        <w:jc w:val="both"/>
        <w:rPr>
          <w:sz w:val="21"/>
        </w:rPr>
      </w:pPr>
      <w:r>
        <w:rPr>
          <w:sz w:val="21"/>
        </w:rPr>
        <w:t xml:space="preserve">[23] Zhang Y, Zhao X, Lan H, Xiong T. A Pleistocene landslide-dammed lake, Jinsha River, Yunnan, China. Quatern Int 2011;233(1):72-80. </w:t>
      </w:r>
    </w:p>
    <w:p>
      <w:pPr>
        <w:jc w:val="both"/>
        <w:rPr>
          <w:sz w:val="21"/>
        </w:rPr>
      </w:pPr>
      <w:r>
        <w:rPr>
          <w:sz w:val="21"/>
        </w:rPr>
        <w:t xml:space="preserve">[24] Li Y, Chen J, Yan J, Zhou F, Wang Q, Li Z, et al. Formation and evolution of a giant old deposit in the First Bend of the Yangtze River on the southeastern margin of the Qinghai-Tibet Plateau. Catena 2022;213:106138. </w:t>
      </w:r>
    </w:p>
    <w:p>
      <w:pPr>
        <w:jc w:val="both"/>
        <w:rPr>
          <w:sz w:val="21"/>
        </w:rPr>
      </w:pPr>
      <w:r>
        <w:rPr>
          <w:sz w:val="21"/>
        </w:rPr>
        <w:t xml:space="preserve">[25] Liu HQ, Hu R, Tan R, Chen J. Huashiban loose deposit landslide, Tiger-Leaping-Gorge, China: analysis and prediction. Bull Eng Geol Environ 2007;66(2):197-202. </w:t>
      </w:r>
    </w:p>
    <w:p>
      <w:pPr>
        <w:jc w:val="both"/>
        <w:rPr>
          <w:sz w:val="21"/>
        </w:rPr>
      </w:pPr>
      <w:r>
        <w:rPr>
          <w:sz w:val="21"/>
        </w:rPr>
        <w:t xml:space="preserve">[26] Zhou JW, Xu WY, Yang XG, Shi C, Yang ZH. The 28 October 1996 landslide and analysis of the stability of the current Huashiban slope at the Liangjiaren Hydropower Station, Southwest China. Eng Geol 2010;114(1-2):45-56. </w:t>
      </w:r>
    </w:p>
    <w:p>
      <w:pPr>
        <w:jc w:val="both"/>
        <w:rPr>
          <w:sz w:val="21"/>
        </w:rPr>
      </w:pPr>
      <w:r>
        <w:rPr>
          <w:sz w:val="21"/>
        </w:rPr>
        <w:t>[27] Xu Z, Liu W, Huang R. Geomorphological effects of landslide damming. Quat Sci 2013;33(3):490-500. Chinese.</w:t>
      </w:r>
    </w:p>
    <w:p>
      <w:pPr>
        <w:jc w:val="both"/>
        <w:rPr>
          <w:sz w:val="21"/>
        </w:rPr>
      </w:pPr>
      <w:r>
        <w:rPr>
          <w:sz w:val="21"/>
        </w:rPr>
        <w:t>[28] Li Q. The Zhaizicun Landslide in Jinsha River and its deposits of landslide-dammed lake. Master’s thesis, Kunming University of Science and Technology; 2009. Chinese.</w:t>
      </w:r>
    </w:p>
    <w:p>
      <w:pPr>
        <w:jc w:val="both"/>
        <w:rPr>
          <w:sz w:val="21"/>
        </w:rPr>
      </w:pPr>
      <w:r>
        <w:rPr>
          <w:sz w:val="21"/>
        </w:rPr>
        <w:t xml:space="preserve">[29] Liu W, Hu K, Carling PA, Lai Z, Cheng T, Xu Y. The establishment and influence of Baimakou paleo-dam in an upstream reach of the Yangtze River, southeastern margin of the Tibetan Plateau. Geomorphology 2018;321:167-173. </w:t>
      </w:r>
    </w:p>
    <w:p>
      <w:pPr>
        <w:jc w:val="both"/>
        <w:rPr>
          <w:sz w:val="21"/>
        </w:rPr>
      </w:pPr>
      <w:r>
        <w:rPr>
          <w:sz w:val="21"/>
        </w:rPr>
        <w:t>[30] Feng Z, Wu ZH, Cao JW, Hu MM, Ha GH, Kang HX. Engineering geological characteristics of gigantic pre-historic landslide along Qiaojia section of the Xiaojiang Fault. Acta Geosci Sin 2019;(4):629-636. Chinese.</w:t>
      </w:r>
    </w:p>
    <w:p>
      <w:pPr>
        <w:jc w:val="both"/>
        <w:rPr>
          <w:sz w:val="21"/>
        </w:rPr>
      </w:pPr>
      <w:r>
        <w:rPr>
          <w:sz w:val="21"/>
        </w:rPr>
        <w:t>[31] Liu X, Qiao J, Li N. Landfall-landslide disaster in Yunnan Province and the preventive measures against them. Bull Soil Water Conserv 1987;7(6):38-44. Chinese.</w:t>
      </w:r>
    </w:p>
    <w:p>
      <w:pPr>
        <w:jc w:val="both"/>
        <w:rPr>
          <w:sz w:val="21"/>
        </w:rPr>
      </w:pPr>
      <w:r>
        <w:rPr>
          <w:sz w:val="21"/>
        </w:rPr>
        <w:t>[32] Cui J, Wang L, Xu J, Wang X, Yao Q. Stability analysis of old landslide for a possible ancient landslide event blocking middle of Jinsha river. J Eng Geol 2008;16(1):6-10. Chinese.</w:t>
      </w:r>
    </w:p>
    <w:p>
      <w:pPr>
        <w:jc w:val="both"/>
        <w:rPr>
          <w:sz w:val="21"/>
        </w:rPr>
      </w:pPr>
      <w:r>
        <w:rPr>
          <w:sz w:val="21"/>
        </w:rPr>
        <w:t>[33] Cheng X, Zhu C, Qi W, Xu J, Yuaqn J. Formation conditions, development tendency and preventive measures of Pufu landslide in Luquan of Yunnan. Miner Resour Geol 2015;29:395-401. Chinese.</w:t>
      </w:r>
    </w:p>
    <w:p>
      <w:pPr>
        <w:jc w:val="both"/>
        <w:rPr>
          <w:sz w:val="21"/>
        </w:rPr>
      </w:pPr>
      <w:r>
        <w:rPr>
          <w:sz w:val="21"/>
        </w:rPr>
        <w:t>[34] Wen B, Wang F. Precursors and motion characteristics of the 1965 Lannigou rockslides and the subsequent evolution. Hydrogeol Eng Geol 2021;48(6):72-80. Chinese.</w:t>
      </w:r>
    </w:p>
    <w:p>
      <w:pPr>
        <w:jc w:val="both"/>
        <w:rPr>
          <w:sz w:val="21"/>
        </w:rPr>
      </w:pPr>
      <w:r>
        <w:rPr>
          <w:sz w:val="21"/>
        </w:rPr>
        <w:t>[35] Wang Y. Landslide-dammed lake deposits and landslide hazards in Qiaojia-Dongchuan section of Jinsha River. Master’s thesis, Institute of Geology, China Earthquake Administrator; 2019. Chinese.</w:t>
      </w:r>
    </w:p>
    <w:p>
      <w:pPr>
        <w:jc w:val="both"/>
        <w:rPr>
          <w:sz w:val="21"/>
        </w:rPr>
      </w:pPr>
      <w:r>
        <w:rPr>
          <w:sz w:val="21"/>
        </w:rPr>
        <w:t>[36] Zhang X, Higgitt D, Liu W, Tang Q. Terraces of ancient giant Jintang landslide-dammed lake in Jinsha River. J Mt Sci 2013;31(1):127. Chinese.</w:t>
      </w:r>
    </w:p>
    <w:p>
      <w:pPr>
        <w:jc w:val="both"/>
        <w:rPr>
          <w:sz w:val="21"/>
        </w:rPr>
      </w:pPr>
      <w:r>
        <w:rPr>
          <w:sz w:val="21"/>
        </w:rPr>
        <w:t>[37] Chai H, Liu H, Zhang Z. The catalog of Chinese landslide dam events. J Geol Hazards Environ Preserv 1995;6(4):1-9. Chinese.</w:t>
      </w:r>
    </w:p>
    <w:p>
      <w:pPr>
        <w:jc w:val="both"/>
        <w:rPr>
          <w:sz w:val="21"/>
        </w:rPr>
      </w:pPr>
      <w:r>
        <w:rPr>
          <w:sz w:val="21"/>
        </w:rPr>
        <w:t>[38] Li H, Yang J, Xiong J, Zeng X, Zhong H. Genetic analysis and stability assessment of a landslide in a reservoir area of Jinshajiang River. Chin J Geol Hazards Control 2007;18(2):13-16. Chinese.</w:t>
      </w:r>
    </w:p>
    <w:p>
      <w:pPr>
        <w:jc w:val="both"/>
        <w:rPr>
          <w:sz w:val="21"/>
        </w:rPr>
      </w:pPr>
      <w:r>
        <w:rPr>
          <w:sz w:val="21"/>
        </w:rPr>
        <w:t xml:space="preserve">[39] Fan R. Long-Term Evolution of Post-earthquake Landslides and Debris Flows in The Epicentral Area of the 2008 Wenchuan Earthquake. PhD dissertation, Hong Kong University of Science and Technology; 2021. </w:t>
      </w:r>
    </w:p>
    <w:p>
      <w:pPr>
        <w:jc w:val="both"/>
        <w:rPr>
          <w:sz w:val="21"/>
        </w:rPr>
      </w:pPr>
      <w:r>
        <w:rPr>
          <w:sz w:val="21"/>
        </w:rPr>
        <w:t xml:space="preserve">[40] Cui P, Zhu Y, Han Y, Chen X, Zhuang J. The 12 May Wenchuan earthquake-induced landslide lakes: distribution and preliminary risk evaluation. Landslides 2009;6(3):209-223. </w:t>
      </w:r>
    </w:p>
    <w:p>
      <w:pPr>
        <w:jc w:val="both"/>
        <w:rPr>
          <w:sz w:val="21"/>
        </w:rPr>
      </w:pPr>
      <w:r>
        <w:rPr>
          <w:sz w:val="21"/>
        </w:rPr>
        <w:t xml:space="preserve">[41] Fan R, Zhang LM, Wang H, Fan X. Evolution of debris flow activities in Gaojiagou Ravine during 2008–2016 after the Wenchuan earthquake. Eng Geol 2018;235:1-10. </w:t>
      </w:r>
    </w:p>
    <w:p>
      <w:pPr>
        <w:jc w:val="both"/>
        <w:rPr>
          <w:sz w:val="21"/>
        </w:rPr>
      </w:pPr>
      <w:r>
        <w:rPr>
          <w:sz w:val="21"/>
        </w:rPr>
        <w:t xml:space="preserve">[42] Wang H, Cui P, Zhou L, Liu W, Yang A, Yao S, et al. Spatial and temporal distribution of landslide-dammed lakes in Purlung Tsangpo. Eng Geol 2022;308:106802. </w:t>
      </w:r>
    </w:p>
    <w:p>
      <w:pPr>
        <w:jc w:val="both"/>
        <w:rPr>
          <w:sz w:val="21"/>
        </w:rPr>
      </w:pPr>
      <w:r>
        <w:rPr>
          <w:sz w:val="21"/>
        </w:rPr>
        <w:t xml:space="preserve">[43] Jin J, Chen G, Meng X, Zhang Y, Shi W, Li Y, et al. Prediction of river damming susceptibility by landslides based on a logistic regression model and InSAR techniques: A case study of the Bailong River Basin, China. Eng Geol 2022;299:106562. </w:t>
      </w:r>
    </w:p>
    <w:p>
      <w:pPr>
        <w:autoSpaceDE w:val="0"/>
        <w:autoSpaceDN w:val="0"/>
        <w:adjustRightInd w:val="0"/>
        <w:snapToGrid w:val="0"/>
        <w:spacing w:before="120"/>
        <w:jc w:val="both"/>
        <w:rPr>
          <w:sz w:val="15"/>
          <w:szCs w:val="15"/>
        </w:rPr>
      </w:pPr>
      <w:r>
        <w:rPr>
          <w:sz w:val="15"/>
          <w:szCs w:val="15"/>
        </w:rPr>
        <w:fldChar w:fldCharType="end"/>
      </w:r>
    </w:p>
    <w:p>
      <w:pPr>
        <w:autoSpaceDE w:val="0"/>
        <w:autoSpaceDN w:val="0"/>
        <w:adjustRightInd w:val="0"/>
        <w:snapToGrid w:val="0"/>
        <w:spacing w:before="120"/>
        <w:jc w:val="both"/>
        <w:rPr>
          <w:sz w:val="15"/>
          <w:szCs w:val="15"/>
        </w:rPr>
      </w:pPr>
    </w:p>
    <w:sectPr>
      <w:pgSz w:w="11906" w:h="16838"/>
      <w:pgMar w:top="720" w:right="896" w:bottom="1038" w:left="1038"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ngsana New">
    <w:altName w:val="Microsoft Sans Serif"/>
    <w:panose1 w:val="02020603050405020304"/>
    <w:charset w:val="DE"/>
    <w:family w:val="roman"/>
    <w:pitch w:val="default"/>
    <w:sig w:usb0="00000000" w:usb1="00000000" w:usb2="00000000" w:usb3="00000000" w:csb0="00010001" w:csb1="00000000"/>
  </w:font>
  <w:font w:name="Arial">
    <w:panose1 w:val="020B0604020202020204"/>
    <w:charset w:val="00"/>
    <w:family w:val="swiss"/>
    <w:pitch w:val="default"/>
    <w:sig w:usb0="E0002EFF" w:usb1="C000785B" w:usb2="00000009" w:usb3="00000000" w:csb0="400001FF" w:csb1="FFFF0000"/>
  </w:font>
  <w:font w:name="Times">
    <w:altName w:val="Sylfaen"/>
    <w:panose1 w:val="02020603050405020304"/>
    <w:charset w:val="00"/>
    <w:family w:val="roman"/>
    <w:pitch w:val="default"/>
    <w:sig w:usb0="00000000" w:usb1="00000000" w:usb2="00000009" w:usb3="00000000" w:csb0="000001FF" w:csb1="00000000"/>
  </w:font>
  <w:font w:name="Cordia New">
    <w:altName w:val="Microsoft Sans Serif"/>
    <w:panose1 w:val="020B0304020202020204"/>
    <w:charset w:val="DE"/>
    <w:family w:val="swiss"/>
    <w:pitch w:val="default"/>
    <w:sig w:usb0="00000000" w:usb1="00000000" w:usb2="00000000" w:usb3="00000000" w:csb0="00010001"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onsolas">
    <w:panose1 w:val="020B0609020204030204"/>
    <w:charset w:val="00"/>
    <w:family w:val="modern"/>
    <w:pitch w:val="default"/>
    <w:sig w:usb0="E00006FF" w:usb1="0000FCFF" w:usb2="00000001" w:usb3="00000000" w:csb0="6000019F" w:csb1="DFD7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Microsoft Sans Serif">
    <w:panose1 w:val="020B0604020202020204"/>
    <w:charset w:val="00"/>
    <w:family w:val="auto"/>
    <w:pitch w:val="default"/>
    <w:sig w:usb0="E5002EFF" w:usb1="C000605B" w:usb2="00000029" w:usb3="00000000" w:csb0="200101FF" w:csb1="20280000"/>
  </w:font>
  <w:font w:name="Sylfaen">
    <w:panose1 w:val="010A0502050306030303"/>
    <w:charset w:val="00"/>
    <w:family w:val="auto"/>
    <w:pitch w:val="default"/>
    <w:sig w:usb0="04000687" w:usb1="00000000" w:usb2="00000000" w:usb3="00000000" w:csb0="2000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wordWrap w:val="0"/>
      <w:jc w:val="right"/>
    </w:pPr>
    <w:r>
      <w:rPr>
        <w:rFonts w:hint="eastAsia"/>
      </w:rPr>
      <w:t>S</w:t>
    </w:r>
    <w:r>
      <w:fldChar w:fldCharType="begin"/>
    </w:r>
    <w:r>
      <w:instrText xml:space="preserve"> PAGE   \* MERGEFORMAT </w:instrText>
    </w:r>
    <w:r>
      <w:fldChar w:fldCharType="separate"/>
    </w:r>
    <w:r>
      <w:t>15</w:t>
    </w:r>
    <w:r>
      <w:fldChar w:fldCharType="end"/>
    </w:r>
  </w:p>
  <w:p>
    <w:pPr>
      <w:pStyle w:val="5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sdt>
      <w:sdtPr>
        <w:id w:val="1865470261"/>
        <w:docPartObj>
          <w:docPartGallery w:val="AutoText"/>
        </w:docPartObj>
      </w:sdtPr>
      <w:sdtContent>
        <w:r>
          <w:rPr>
            <w:rFonts w:hint="eastAsia"/>
          </w:rPr>
          <w:t>S</w:t>
        </w:r>
        <w:r>
          <w:fldChar w:fldCharType="begin"/>
        </w:r>
        <w:r>
          <w:instrText xml:space="preserve"> PAGE   \* MERGEFORMAT </w:instrText>
        </w:r>
        <w:r>
          <w:fldChar w:fldCharType="separate"/>
        </w:r>
        <w:r>
          <w:t>14</w:t>
        </w:r>
        <w:r>
          <w:fldChar w:fldCharType="end"/>
        </w:r>
      </w:sdtContent>
    </w:sdt>
  </w:p>
  <w:p>
    <w:pPr>
      <w:pStyle w:val="5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w:rPr>
        <w:bCs/>
      </w:rPr>
      <w:t>2095-8099/© 2024 THE AUTHORS. Published by Elsevier LTD on behalf of Chinese Academy of Engineering and Higher Education Press Limited Company. This is an open access article under the CC BY-NC-ND license (http://creativecommons.org/licenses/by-nc-nd/4.0/).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sdt>
      <w:sdtPr>
        <w:id w:val="1259403131"/>
        <w:docPartObj>
          <w:docPartGallery w:val="AutoText"/>
        </w:docPartObj>
      </w:sdtPr>
      <w:sdtContent>
        <w:r>
          <w:rPr>
            <w:rFonts w:hint="eastAsia"/>
          </w:rPr>
          <w:t>S</w:t>
        </w:r>
        <w:r>
          <w:fldChar w:fldCharType="begin"/>
        </w:r>
        <w:r>
          <w:instrText xml:space="preserve"> PAGE   \* MERGEFORMAT </w:instrText>
        </w:r>
        <w:r>
          <w:fldChar w:fldCharType="separate"/>
        </w:r>
        <w:r>
          <w:t>14</w:t>
        </w:r>
        <w:r>
          <w:fldChar w:fldCharType="end"/>
        </w:r>
      </w:sdtContent>
    </w:sdt>
  </w:p>
  <w:p>
    <w:pPr>
      <w:pStyle w:val="5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sdt>
      <w:sdtPr>
        <w:id w:val="519356759"/>
        <w:docPartObj>
          <w:docPartGallery w:val="AutoText"/>
        </w:docPartObj>
      </w:sdtPr>
      <w:sdtContent>
        <w:r>
          <w:rPr>
            <w:rFonts w:hint="eastAsia"/>
          </w:rPr>
          <w:t>S</w:t>
        </w:r>
        <w:r>
          <w:fldChar w:fldCharType="begin"/>
        </w:r>
        <w:r>
          <w:instrText xml:space="preserve"> PAGE   \* MERGEFORMAT </w:instrText>
        </w:r>
        <w:r>
          <w:fldChar w:fldCharType="separate"/>
        </w:r>
        <w:r>
          <w:t>14</w:t>
        </w:r>
        <w:r>
          <w:fldChar w:fldCharType="end"/>
        </w:r>
      </w:sdtContent>
    </w:sdt>
  </w:p>
  <w:p>
    <w:pPr>
      <w:pStyle w:val="5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rPr>
        <w:bCs/>
      </w:rPr>
    </w:pPr>
    <w:r>
      <w:rPr>
        <w:bCs/>
      </w:rPr>
      <w:t>2095-8099/© 2024 THE AUTHORS. Published by Elsevier LTD on behalf of Chinese Academy of Engineering and Higher Education Press Limited Company. This is an open access article under the CC BY-NC-ND license (http://creativecommons.org/licenses/by-nc-nd/4.0/).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tabs>
        <w:tab w:val="center" w:pos="4153"/>
        <w:tab w:val="right" w:pos="8306"/>
      </w:tabs>
      <w:jc w:val="center"/>
      <w:rPr>
        <w:sz w:val="18"/>
        <w:szCs w:val="18"/>
      </w:rPr>
    </w:pPr>
    <w:r>
      <w:rPr>
        <w:bCs/>
        <w:i/>
        <w:iCs/>
        <w:sz w:val="18"/>
        <w:szCs w:val="18"/>
      </w:rPr>
      <w:t>S. Xiao, L. Zhang, T. Xiao et al./Engineering x (2024)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r>
      <w:t>Engineering X(2024)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rPr>
        <w:bCs/>
        <w:i/>
        <w:iCs/>
      </w:rPr>
    </w:pPr>
    <w:r>
      <w:rPr>
        <w:bCs/>
        <w:i/>
        <w:iCs/>
      </w:rPr>
      <w:t>S</w:t>
    </w:r>
    <w:r>
      <w:rPr>
        <w:rFonts w:hint="eastAsia"/>
        <w:bCs/>
        <w:i/>
        <w:iCs/>
      </w:rPr>
      <w:t>.</w:t>
    </w:r>
    <w:r>
      <w:rPr>
        <w:bCs/>
        <w:i/>
        <w:iCs/>
      </w:rPr>
      <w:t xml:space="preserve"> Xiao, L. Zhang, T. Xiao et.al/Engineering x(2024)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tabs>
        <w:tab w:val="center" w:pos="4153"/>
        <w:tab w:val="right" w:pos="8306"/>
      </w:tabs>
      <w:jc w:val="center"/>
      <w:rPr>
        <w:sz w:val="18"/>
        <w:szCs w:val="18"/>
      </w:rPr>
    </w:pPr>
    <w:r>
      <w:rPr>
        <w:bCs/>
        <w:i/>
        <w:iCs/>
        <w:sz w:val="18"/>
        <w:szCs w:val="18"/>
      </w:rPr>
      <w:t>S. Xiao, L. Zhang, T. Xiao et al./Engineering x (2024)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rPr>
        <w:bCs/>
        <w:i/>
        <w:iCs/>
      </w:rPr>
    </w:pPr>
    <w:r>
      <w:rPr>
        <w:bCs/>
        <w:i/>
        <w:iCs/>
      </w:rPr>
      <w:t>S</w:t>
    </w:r>
    <w:r>
      <w:rPr>
        <w:rFonts w:hint="eastAsia"/>
        <w:bCs/>
        <w:i/>
        <w:iCs/>
      </w:rPr>
      <w:t>.</w:t>
    </w:r>
    <w:r>
      <w:rPr>
        <w:bCs/>
        <w:i/>
        <w:iCs/>
      </w:rPr>
      <w:t xml:space="preserve"> Xiao, L. Zhang, T. Xiao et.al/Engineering x(2024)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r>
      <w:t>Engineering X(2024)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5"/>
      <w:lvlText w:val="%1."/>
      <w:lvlJc w:val="left"/>
      <w:pPr>
        <w:tabs>
          <w:tab w:val="left" w:pos="1800"/>
        </w:tabs>
        <w:ind w:left="1800" w:hanging="360"/>
      </w:pPr>
    </w:lvl>
  </w:abstractNum>
  <w:abstractNum w:abstractNumId="1">
    <w:nsid w:val="FFFFFF7D"/>
    <w:multiLevelType w:val="singleLevel"/>
    <w:tmpl w:val="FFFFFF7D"/>
    <w:lvl w:ilvl="0" w:tentative="0">
      <w:start w:val="1"/>
      <w:numFmt w:val="decimal"/>
      <w:pStyle w:val="47"/>
      <w:lvlText w:val="%1."/>
      <w:lvlJc w:val="left"/>
      <w:pPr>
        <w:tabs>
          <w:tab w:val="left" w:pos="1440"/>
        </w:tabs>
        <w:ind w:left="1440" w:hanging="360"/>
      </w:pPr>
    </w:lvl>
  </w:abstractNum>
  <w:abstractNum w:abstractNumId="2">
    <w:nsid w:val="FFFFFF7E"/>
    <w:multiLevelType w:val="singleLevel"/>
    <w:tmpl w:val="FFFFFF7E"/>
    <w:lvl w:ilvl="0" w:tentative="0">
      <w:start w:val="1"/>
      <w:numFmt w:val="decimal"/>
      <w:pStyle w:val="36"/>
      <w:lvlText w:val="%1."/>
      <w:lvlJc w:val="left"/>
      <w:pPr>
        <w:tabs>
          <w:tab w:val="left" w:pos="1080"/>
        </w:tabs>
        <w:ind w:left="1080" w:hanging="360"/>
      </w:pPr>
    </w:lvl>
  </w:abstractNum>
  <w:abstractNum w:abstractNumId="3">
    <w:nsid w:val="FFFFFF7F"/>
    <w:multiLevelType w:val="singleLevel"/>
    <w:tmpl w:val="FFFFFF7F"/>
    <w:lvl w:ilvl="0" w:tentative="0">
      <w:start w:val="1"/>
      <w:numFmt w:val="decimal"/>
      <w:pStyle w:val="14"/>
      <w:lvlText w:val="%1."/>
      <w:lvlJc w:val="left"/>
      <w:pPr>
        <w:tabs>
          <w:tab w:val="left" w:pos="720"/>
        </w:tabs>
        <w:ind w:left="720" w:hanging="360"/>
      </w:pPr>
    </w:lvl>
  </w:abstractNum>
  <w:abstractNum w:abstractNumId="4">
    <w:nsid w:val="FFFFFF80"/>
    <w:multiLevelType w:val="singleLevel"/>
    <w:tmpl w:val="FFFFFF80"/>
    <w:lvl w:ilvl="0" w:tentative="0">
      <w:start w:val="1"/>
      <w:numFmt w:val="bullet"/>
      <w:pStyle w:val="46"/>
      <w:lvlText w:val=""/>
      <w:lvlJc w:val="left"/>
      <w:pPr>
        <w:tabs>
          <w:tab w:val="left" w:pos="1800"/>
        </w:tabs>
        <w:ind w:left="1800" w:hanging="360"/>
      </w:pPr>
      <w:rPr>
        <w:rFonts w:hint="default" w:ascii="Symbol" w:hAnsi="Symbol"/>
      </w:rPr>
    </w:lvl>
  </w:abstractNum>
  <w:abstractNum w:abstractNumId="5">
    <w:nsid w:val="FFFFFF81"/>
    <w:multiLevelType w:val="singleLevel"/>
    <w:tmpl w:val="FFFFFF81"/>
    <w:lvl w:ilvl="0" w:tentative="0">
      <w:start w:val="1"/>
      <w:numFmt w:val="bullet"/>
      <w:pStyle w:val="17"/>
      <w:lvlText w:val=""/>
      <w:lvlJc w:val="left"/>
      <w:pPr>
        <w:tabs>
          <w:tab w:val="left" w:pos="1440"/>
        </w:tabs>
        <w:ind w:left="1440" w:hanging="360"/>
      </w:pPr>
      <w:rPr>
        <w:rFonts w:hint="default" w:ascii="Symbol" w:hAnsi="Symbol"/>
      </w:rPr>
    </w:lvl>
  </w:abstractNum>
  <w:abstractNum w:abstractNumId="6">
    <w:nsid w:val="FFFFFF82"/>
    <w:multiLevelType w:val="singleLevel"/>
    <w:tmpl w:val="FFFFFF82"/>
    <w:lvl w:ilvl="0" w:tentative="0">
      <w:start w:val="1"/>
      <w:numFmt w:val="bullet"/>
      <w:pStyle w:val="33"/>
      <w:lvlText w:val=""/>
      <w:lvlJc w:val="left"/>
      <w:pPr>
        <w:tabs>
          <w:tab w:val="left" w:pos="1080"/>
        </w:tabs>
        <w:ind w:left="1080" w:hanging="360"/>
      </w:pPr>
      <w:rPr>
        <w:rFonts w:hint="default" w:ascii="Symbol" w:hAnsi="Symbol"/>
      </w:rPr>
    </w:lvl>
  </w:abstractNum>
  <w:abstractNum w:abstractNumId="7">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8">
    <w:nsid w:val="FFFFFF89"/>
    <w:multiLevelType w:val="singleLevel"/>
    <w:tmpl w:val="FFFFFF89"/>
    <w:lvl w:ilvl="0" w:tentative="0">
      <w:start w:val="1"/>
      <w:numFmt w:val="bullet"/>
      <w:pStyle w:val="24"/>
      <w:lvlText w:val=""/>
      <w:lvlJc w:val="left"/>
      <w:pPr>
        <w:tabs>
          <w:tab w:val="left" w:pos="360"/>
        </w:tabs>
        <w:ind w:left="360" w:hanging="360"/>
      </w:pPr>
      <w:rPr>
        <w:rFonts w:hint="default" w:ascii="Symbol" w:hAnsi="Symbol"/>
      </w:rPr>
    </w:lvl>
  </w:abstractNum>
  <w:abstractNum w:abstractNumId="9">
    <w:nsid w:val="0FF85103"/>
    <w:multiLevelType w:val="multilevel"/>
    <w:tmpl w:val="0FF85103"/>
    <w:lvl w:ilvl="0" w:tentative="0">
      <w:start w:val="1"/>
      <w:numFmt w:val="bullet"/>
      <w:pStyle w:val="473"/>
      <w:lvlText w:val=""/>
      <w:lvlJc w:val="left"/>
      <w:pPr>
        <w:tabs>
          <w:tab w:val="left" w:pos="720"/>
        </w:tabs>
        <w:ind w:left="720" w:hanging="216"/>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0">
    <w:nsid w:val="10CD3F48"/>
    <w:multiLevelType w:val="multilevel"/>
    <w:tmpl w:val="10CD3F48"/>
    <w:lvl w:ilvl="0" w:tentative="0">
      <w:start w:val="1"/>
      <w:numFmt w:val="bullet"/>
      <w:pStyle w:val="40"/>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1">
    <w:nsid w:val="26606E71"/>
    <w:multiLevelType w:val="multilevel"/>
    <w:tmpl w:val="26606E71"/>
    <w:lvl w:ilvl="0" w:tentative="0">
      <w:start w:val="1"/>
      <w:numFmt w:val="decimal"/>
      <w:pStyle w:val="489"/>
      <w:lvlText w:val="%1."/>
      <w:lvlJc w:val="left"/>
      <w:pPr>
        <w:ind w:left="380" w:hanging="38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D6A4DF8"/>
    <w:multiLevelType w:val="multilevel"/>
    <w:tmpl w:val="3D6A4DF8"/>
    <w:lvl w:ilvl="0" w:tentative="0">
      <w:start w:val="1"/>
      <w:numFmt w:val="decimal"/>
      <w:pStyle w:val="466"/>
      <w:lvlText w:val="[%1]"/>
      <w:lvlJc w:val="left"/>
      <w:pPr>
        <w:tabs>
          <w:tab w:val="left" w:pos="360"/>
        </w:tabs>
        <w:ind w:left="360" w:hanging="360"/>
      </w:pPr>
      <w:rPr>
        <w:rFonts w:hint="default"/>
        <w:vertAlign w:val="superscrip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3">
    <w:nsid w:val="42EE6CC6"/>
    <w:multiLevelType w:val="singleLevel"/>
    <w:tmpl w:val="42EE6CC6"/>
    <w:lvl w:ilvl="0" w:tentative="0">
      <w:start w:val="1"/>
      <w:numFmt w:val="decimal"/>
      <w:pStyle w:val="470"/>
      <w:lvlText w:val="%1."/>
      <w:lvlJc w:val="left"/>
      <w:pPr>
        <w:tabs>
          <w:tab w:val="left" w:pos="360"/>
        </w:tabs>
        <w:ind w:left="360" w:hanging="360"/>
      </w:pPr>
    </w:lvl>
  </w:abstractNum>
  <w:abstractNum w:abstractNumId="14">
    <w:nsid w:val="61EF47D2"/>
    <w:multiLevelType w:val="multilevel"/>
    <w:tmpl w:val="61EF47D2"/>
    <w:lvl w:ilvl="0" w:tentative="0">
      <w:start w:val="1"/>
      <w:numFmt w:val="decimal"/>
      <w:pStyle w:val="382"/>
      <w:lvlText w:val="%1."/>
      <w:lvlJc w:val="left"/>
      <w:pPr>
        <w:ind w:left="1710" w:hanging="360"/>
      </w:pPr>
      <w:rPr>
        <w:rFonts w:hint="default"/>
      </w:rPr>
    </w:lvl>
    <w:lvl w:ilvl="1" w:tentative="0">
      <w:start w:val="1"/>
      <w:numFmt w:val="lowerLetter"/>
      <w:lvlText w:val="%2)"/>
      <w:lvlJc w:val="left"/>
      <w:pPr>
        <w:ind w:left="2190" w:hanging="420"/>
      </w:pPr>
    </w:lvl>
    <w:lvl w:ilvl="2" w:tentative="0">
      <w:start w:val="1"/>
      <w:numFmt w:val="lowerRoman"/>
      <w:lvlText w:val="%3."/>
      <w:lvlJc w:val="right"/>
      <w:pPr>
        <w:ind w:left="2610" w:hanging="420"/>
      </w:pPr>
    </w:lvl>
    <w:lvl w:ilvl="3" w:tentative="0">
      <w:start w:val="1"/>
      <w:numFmt w:val="decimal"/>
      <w:lvlText w:val="%4."/>
      <w:lvlJc w:val="left"/>
      <w:pPr>
        <w:ind w:left="3030" w:hanging="420"/>
      </w:pPr>
    </w:lvl>
    <w:lvl w:ilvl="4" w:tentative="0">
      <w:start w:val="1"/>
      <w:numFmt w:val="lowerLetter"/>
      <w:lvlText w:val="%5)"/>
      <w:lvlJc w:val="left"/>
      <w:pPr>
        <w:ind w:left="3450" w:hanging="420"/>
      </w:pPr>
    </w:lvl>
    <w:lvl w:ilvl="5" w:tentative="0">
      <w:start w:val="1"/>
      <w:numFmt w:val="lowerRoman"/>
      <w:lvlText w:val="%6."/>
      <w:lvlJc w:val="right"/>
      <w:pPr>
        <w:ind w:left="3870" w:hanging="420"/>
      </w:pPr>
    </w:lvl>
    <w:lvl w:ilvl="6" w:tentative="0">
      <w:start w:val="1"/>
      <w:numFmt w:val="decimal"/>
      <w:lvlText w:val="%7."/>
      <w:lvlJc w:val="left"/>
      <w:pPr>
        <w:ind w:left="4290" w:hanging="420"/>
      </w:pPr>
    </w:lvl>
    <w:lvl w:ilvl="7" w:tentative="0">
      <w:start w:val="1"/>
      <w:numFmt w:val="lowerLetter"/>
      <w:lvlText w:val="%8)"/>
      <w:lvlJc w:val="left"/>
      <w:pPr>
        <w:ind w:left="4710" w:hanging="420"/>
      </w:pPr>
    </w:lvl>
    <w:lvl w:ilvl="8" w:tentative="0">
      <w:start w:val="1"/>
      <w:numFmt w:val="lowerRoman"/>
      <w:lvlText w:val="%9."/>
      <w:lvlJc w:val="right"/>
      <w:pPr>
        <w:ind w:left="5130" w:hanging="420"/>
      </w:pPr>
    </w:lvl>
  </w:abstractNum>
  <w:abstractNum w:abstractNumId="15">
    <w:nsid w:val="62D72635"/>
    <w:multiLevelType w:val="singleLevel"/>
    <w:tmpl w:val="62D72635"/>
    <w:lvl w:ilvl="0" w:tentative="0">
      <w:start w:val="1"/>
      <w:numFmt w:val="decimal"/>
      <w:pStyle w:val="381"/>
      <w:lvlText w:val="[%1]"/>
      <w:lvlJc w:val="left"/>
      <w:pPr>
        <w:tabs>
          <w:tab w:val="left" w:pos="567"/>
        </w:tabs>
        <w:ind w:left="567" w:hanging="567"/>
      </w:pPr>
    </w:lvl>
  </w:abstractNum>
  <w:abstractNum w:abstractNumId="16">
    <w:nsid w:val="69B168EC"/>
    <w:multiLevelType w:val="singleLevel"/>
    <w:tmpl w:val="69B168EC"/>
    <w:lvl w:ilvl="0" w:tentative="0">
      <w:start w:val="1"/>
      <w:numFmt w:val="decimal"/>
      <w:pStyle w:val="491"/>
      <w:lvlText w:val="%1."/>
      <w:lvlJc w:val="left"/>
      <w:pPr>
        <w:tabs>
          <w:tab w:val="left" w:pos="360"/>
        </w:tabs>
        <w:ind w:left="360" w:hanging="360"/>
      </w:pPr>
    </w:lvl>
  </w:abstractNum>
  <w:num w:numId="1">
    <w:abstractNumId w:val="3"/>
  </w:num>
  <w:num w:numId="2">
    <w:abstractNumId w:val="5"/>
  </w:num>
  <w:num w:numId="3">
    <w:abstractNumId w:val="7"/>
  </w:num>
  <w:num w:numId="4">
    <w:abstractNumId w:val="8"/>
  </w:num>
  <w:num w:numId="5">
    <w:abstractNumId w:val="6"/>
  </w:num>
  <w:num w:numId="6">
    <w:abstractNumId w:val="2"/>
  </w:num>
  <w:num w:numId="7">
    <w:abstractNumId w:val="10"/>
  </w:num>
  <w:num w:numId="8">
    <w:abstractNumId w:val="4"/>
  </w:num>
  <w:num w:numId="9">
    <w:abstractNumId w:val="1"/>
  </w:num>
  <w:num w:numId="10">
    <w:abstractNumId w:val="0"/>
  </w:num>
  <w:num w:numId="11">
    <w:abstractNumId w:val="15"/>
  </w:num>
  <w:num w:numId="12">
    <w:abstractNumId w:val="14"/>
  </w:num>
  <w:num w:numId="13">
    <w:abstractNumId w:val="12"/>
  </w:num>
  <w:num w:numId="14">
    <w:abstractNumId w:val="13"/>
  </w:num>
  <w:num w:numId="15">
    <w:abstractNumId w:val="9"/>
  </w:num>
  <w:num w:numId="16">
    <w:abstractNumId w:val="11"/>
  </w:num>
  <w:num w:numId="17">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isplayBackgroundShape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bbrJrnName" w:val="Front. Archit. Civ. Eng. China"/>
    <w:docVar w:name="Accepted" w:val="MM-DD-YYYY"/>
    <w:docVar w:name="ArticleID" w:val="FAC-11141-PJW"/>
    <w:docVar w:name="AutoRedact State" w:val="ready"/>
    <w:docVar w:name="CheckHeader" w:val="F"/>
    <w:docVar w:name="commondata" w:val="eyJoZGlkIjoiY2Q1M2QwODc2ZTU2NGYyYzk2M2JmNTM5MWVhOWZlODAifQ=="/>
    <w:docVar w:name="Copyright" w:val="(c) Higher Education Press and Springer-Verlag"/>
    <w:docVar w:name="CpyYr" w:val="2012"/>
    <w:docVar w:name="DOI" w:val="DOI 10.1007/s?????-???-????-?"/>
    <w:docVar w:name="EN.InstantFormat" w:val="&lt;ENInstantFormat&gt;&lt;Enabled&gt;0&lt;/Enabled&gt;&lt;ScanUnformatted&gt;1&lt;/ScanUnformatted&gt;&lt;ScanChanges&gt;1&lt;/ScanChanges&gt;&lt;Suspended&gt;0&lt;/Suspended&gt;&lt;/ENInstantFormat&gt;"/>
    <w:docVar w:name="EN.Layout" w:val="&lt;ENLayout&gt;&lt;Style&gt;Engineering-20230101&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s0d5swp49tasae5twvpwvdaazzfw0st09xd&quot;&gt;My EndNote Library-Converted&lt;record-ids&gt;&lt;item&gt;83&lt;/item&gt;&lt;item&gt;146&lt;/item&gt;&lt;item&gt;385&lt;/item&gt;&lt;item&gt;386&lt;/item&gt;&lt;item&gt;388&lt;/item&gt;&lt;item&gt;389&lt;/item&gt;&lt;item&gt;390&lt;/item&gt;&lt;item&gt;391&lt;/item&gt;&lt;item&gt;392&lt;/item&gt;&lt;item&gt;393&lt;/item&gt;&lt;item&gt;398&lt;/item&gt;&lt;item&gt;399&lt;/item&gt;&lt;item&gt;400&lt;/item&gt;&lt;item&gt;405&lt;/item&gt;&lt;item&gt;406&lt;/item&gt;&lt;item&gt;407&lt;/item&gt;&lt;item&gt;409&lt;/item&gt;&lt;item&gt;411&lt;/item&gt;&lt;item&gt;413&lt;/item&gt;&lt;item&gt;418&lt;/item&gt;&lt;item&gt;419&lt;/item&gt;&lt;item&gt;420&lt;/item&gt;&lt;item&gt;431&lt;/item&gt;&lt;item&gt;434&lt;/item&gt;&lt;item&gt;436&lt;/item&gt;&lt;item&gt;437&lt;/item&gt;&lt;item&gt;439&lt;/item&gt;&lt;item&gt;440&lt;/item&gt;&lt;item&gt;443&lt;/item&gt;&lt;item&gt;444&lt;/item&gt;&lt;item&gt;445&lt;/item&gt;&lt;item&gt;446&lt;/item&gt;&lt;item&gt;447&lt;/item&gt;&lt;item&gt;448&lt;/item&gt;&lt;item&gt;450&lt;/item&gt;&lt;item&gt;451&lt;/item&gt;&lt;item&gt;452&lt;/item&gt;&lt;item&gt;453&lt;/item&gt;&lt;item&gt;454&lt;/item&gt;&lt;item&gt;455&lt;/item&gt;&lt;item&gt;456&lt;/item&gt;&lt;item&gt;459&lt;/item&gt;&lt;item&gt;466&lt;/item&gt;&lt;item&gt;478&lt;/item&gt;&lt;item&gt;480&lt;/item&gt;&lt;item&gt;482&lt;/item&gt;&lt;item&gt;484&lt;/item&gt;&lt;item&gt;485&lt;/item&gt;&lt;item&gt;486&lt;/item&gt;&lt;item&gt;487&lt;/item&gt;&lt;item&gt;488&lt;/item&gt;&lt;item&gt;489&lt;/item&gt;&lt;item&gt;490&lt;/item&gt;&lt;item&gt;491&lt;/item&gt;&lt;item&gt;496&lt;/item&gt;&lt;item&gt;499&lt;/item&gt;&lt;item&gt;500&lt;/item&gt;&lt;item&gt;501&lt;/item&gt;&lt;item&gt;502&lt;/item&gt;&lt;item&gt;524&lt;/item&gt;&lt;item&gt;543&lt;/item&gt;&lt;item&gt;551&lt;/item&gt;&lt;item&gt;554&lt;/item&gt;&lt;item&gt;650&lt;/item&gt;&lt;item&gt;652&lt;/item&gt;&lt;item&gt;653&lt;/item&gt;&lt;item&gt;654&lt;/item&gt;&lt;item&gt;655&lt;/item&gt;&lt;item&gt;656&lt;/item&gt;&lt;item&gt;670&lt;/item&gt;&lt;item&gt;677&lt;/item&gt;&lt;item&gt;678&lt;/item&gt;&lt;/record-ids&gt;&lt;/item&gt;&lt;/Libraries&gt;"/>
    <w:docVar w:name="ex _eXtylesBuild" w:val="2171"/>
    <w:docVar w:name="ex_AutoRedact" w:val="APComplete"/>
    <w:docVar w:name="ex_Citations" w:val="APComplete"/>
    <w:docVar w:name="ex_CitConv" w:val="APComplete"/>
    <w:docVar w:name="ex_CitOrder" w:val="APComplete"/>
    <w:docVar w:name="ex_CleanUp" w:val="CleanUpComplete"/>
    <w:docVar w:name="ex_CrossRef" w:val="APComplete"/>
    <w:docVar w:name="ex_FontAudit" w:val="APComplete"/>
    <w:docVar w:name="EX_LAST_PALETTE_TAB" w:val="0"/>
    <w:docVar w:name="ex_ParseBib" w:val="APComplete"/>
    <w:docVar w:name="ex_PPCleanUp" w:val="PPCleanUpComplete"/>
    <w:docVar w:name="ex_Pubmedap" w:val="APComplete"/>
    <w:docVar w:name="ex_StyleRefs" w:val="APComplete"/>
    <w:docVar w:name="ex_WordVersion" w:val="11.0"/>
    <w:docVar w:name="eXtyles" w:val="active"/>
    <w:docVar w:name="ExtylesTagDescriptors" w:val="Book Reference|bok|Conference Reference|conf|Edited Book Reference|edb|Electronic Reference|eref|Journal Reference|jrn|Legal Reference|lgl|Other Reference|other|Thesis Reference|ths|Unknown Reference|unknown|"/>
    <w:docVar w:name="iceFileName" w:val="FAC-11112-ND.doc"/>
    <w:docVar w:name="iceJABR" w:val="FAC"/>
    <w:docVar w:name="iceJournal" w:val="FAC:Frontiers of Architecture and Civil Engineering in China"/>
    <w:docVar w:name="iceJournalName" w:val="Frontiers of Architecture and Civil Engineering in China"/>
    <w:docVar w:name="icePublisher" w:val="HEP"/>
    <w:docVar w:name="iceType" w:val="Review"/>
    <w:docVar w:name="MachineID" w:val="188|203|197|189|187|197|186|202|197|189|205|197|187|187|197|203|205|"/>
    <w:docVar w:name="PreEdit Baseline Path" w:val="F:\FSC\6(2)\FSC-11151-YL$base.doc"/>
    <w:docVar w:name="PreEdit Baseline Timestamp" w:val="2012/3/31 11:04:14"/>
    <w:docVar w:name="PreEdit Up-Front Loss" w:val="complete"/>
    <w:docVar w:name="Received" w:val="MM-DD-YYYY"/>
    <w:docVar w:name="Username" w:val="Editor"/>
  </w:docVars>
  <w:rsids>
    <w:rsidRoot w:val="00AE2FA1"/>
    <w:rsid w:val="000003D0"/>
    <w:rsid w:val="00000529"/>
    <w:rsid w:val="0000106C"/>
    <w:rsid w:val="000019B4"/>
    <w:rsid w:val="00001C3F"/>
    <w:rsid w:val="00002429"/>
    <w:rsid w:val="00002AB4"/>
    <w:rsid w:val="0000328C"/>
    <w:rsid w:val="00004146"/>
    <w:rsid w:val="000071AF"/>
    <w:rsid w:val="00010AE0"/>
    <w:rsid w:val="00010ED7"/>
    <w:rsid w:val="000111B1"/>
    <w:rsid w:val="0001229C"/>
    <w:rsid w:val="0001256F"/>
    <w:rsid w:val="000131D9"/>
    <w:rsid w:val="0001340B"/>
    <w:rsid w:val="00014443"/>
    <w:rsid w:val="000148E3"/>
    <w:rsid w:val="00015223"/>
    <w:rsid w:val="000159EE"/>
    <w:rsid w:val="000163F6"/>
    <w:rsid w:val="000164E0"/>
    <w:rsid w:val="00016985"/>
    <w:rsid w:val="00016AEF"/>
    <w:rsid w:val="00020043"/>
    <w:rsid w:val="00020229"/>
    <w:rsid w:val="0002033B"/>
    <w:rsid w:val="00020A04"/>
    <w:rsid w:val="00020D45"/>
    <w:rsid w:val="00020D88"/>
    <w:rsid w:val="00020DB7"/>
    <w:rsid w:val="00022098"/>
    <w:rsid w:val="0002288E"/>
    <w:rsid w:val="00023249"/>
    <w:rsid w:val="00023CF4"/>
    <w:rsid w:val="000240A2"/>
    <w:rsid w:val="00024198"/>
    <w:rsid w:val="000243BF"/>
    <w:rsid w:val="00024EBC"/>
    <w:rsid w:val="000250CD"/>
    <w:rsid w:val="0002558B"/>
    <w:rsid w:val="000259BF"/>
    <w:rsid w:val="00025D8C"/>
    <w:rsid w:val="000261AB"/>
    <w:rsid w:val="00026C89"/>
    <w:rsid w:val="000300E9"/>
    <w:rsid w:val="000310B9"/>
    <w:rsid w:val="00031578"/>
    <w:rsid w:val="0003176B"/>
    <w:rsid w:val="0003281A"/>
    <w:rsid w:val="00032C1F"/>
    <w:rsid w:val="0003401D"/>
    <w:rsid w:val="00034581"/>
    <w:rsid w:val="00034686"/>
    <w:rsid w:val="000407F2"/>
    <w:rsid w:val="00040E43"/>
    <w:rsid w:val="00041B12"/>
    <w:rsid w:val="00041DB9"/>
    <w:rsid w:val="0004310D"/>
    <w:rsid w:val="00043F26"/>
    <w:rsid w:val="00044572"/>
    <w:rsid w:val="00044AF5"/>
    <w:rsid w:val="00044C6F"/>
    <w:rsid w:val="00044EE3"/>
    <w:rsid w:val="000452FF"/>
    <w:rsid w:val="00045A10"/>
    <w:rsid w:val="00046121"/>
    <w:rsid w:val="00046813"/>
    <w:rsid w:val="00046BD0"/>
    <w:rsid w:val="00047080"/>
    <w:rsid w:val="00047763"/>
    <w:rsid w:val="00047DCD"/>
    <w:rsid w:val="00050C95"/>
    <w:rsid w:val="00051A3C"/>
    <w:rsid w:val="00053078"/>
    <w:rsid w:val="00053192"/>
    <w:rsid w:val="0005364B"/>
    <w:rsid w:val="000536CC"/>
    <w:rsid w:val="000538F6"/>
    <w:rsid w:val="00054166"/>
    <w:rsid w:val="0005496B"/>
    <w:rsid w:val="00054ADC"/>
    <w:rsid w:val="0005556A"/>
    <w:rsid w:val="00055D37"/>
    <w:rsid w:val="00055D9B"/>
    <w:rsid w:val="00056800"/>
    <w:rsid w:val="000600ED"/>
    <w:rsid w:val="000610FB"/>
    <w:rsid w:val="000614AC"/>
    <w:rsid w:val="0006151D"/>
    <w:rsid w:val="00061C36"/>
    <w:rsid w:val="0006238A"/>
    <w:rsid w:val="00062593"/>
    <w:rsid w:val="00062663"/>
    <w:rsid w:val="000633B3"/>
    <w:rsid w:val="00063519"/>
    <w:rsid w:val="0006370F"/>
    <w:rsid w:val="00064007"/>
    <w:rsid w:val="00064AD7"/>
    <w:rsid w:val="0006553A"/>
    <w:rsid w:val="000655A7"/>
    <w:rsid w:val="000658C5"/>
    <w:rsid w:val="00066249"/>
    <w:rsid w:val="00066387"/>
    <w:rsid w:val="00066FEA"/>
    <w:rsid w:val="00067063"/>
    <w:rsid w:val="0006746D"/>
    <w:rsid w:val="00067C59"/>
    <w:rsid w:val="00070108"/>
    <w:rsid w:val="00070EDD"/>
    <w:rsid w:val="00070F74"/>
    <w:rsid w:val="00071064"/>
    <w:rsid w:val="000717D3"/>
    <w:rsid w:val="000718C7"/>
    <w:rsid w:val="00071D31"/>
    <w:rsid w:val="00071E57"/>
    <w:rsid w:val="00071EF9"/>
    <w:rsid w:val="00072366"/>
    <w:rsid w:val="00072763"/>
    <w:rsid w:val="00073492"/>
    <w:rsid w:val="00073588"/>
    <w:rsid w:val="000738B4"/>
    <w:rsid w:val="00073ADF"/>
    <w:rsid w:val="000750B1"/>
    <w:rsid w:val="00075439"/>
    <w:rsid w:val="00076AC9"/>
    <w:rsid w:val="00077C56"/>
    <w:rsid w:val="000801C3"/>
    <w:rsid w:val="000801D6"/>
    <w:rsid w:val="0008032F"/>
    <w:rsid w:val="00080BAF"/>
    <w:rsid w:val="000813C5"/>
    <w:rsid w:val="000817FE"/>
    <w:rsid w:val="00081939"/>
    <w:rsid w:val="00081A42"/>
    <w:rsid w:val="00081C68"/>
    <w:rsid w:val="00081C70"/>
    <w:rsid w:val="00082CF6"/>
    <w:rsid w:val="00082D86"/>
    <w:rsid w:val="00083745"/>
    <w:rsid w:val="00083BD8"/>
    <w:rsid w:val="000848AC"/>
    <w:rsid w:val="00084B2B"/>
    <w:rsid w:val="00084D80"/>
    <w:rsid w:val="00085085"/>
    <w:rsid w:val="00085BCE"/>
    <w:rsid w:val="00085DB3"/>
    <w:rsid w:val="00086871"/>
    <w:rsid w:val="00087700"/>
    <w:rsid w:val="00087B37"/>
    <w:rsid w:val="00087E14"/>
    <w:rsid w:val="00091436"/>
    <w:rsid w:val="00091ADB"/>
    <w:rsid w:val="00092FA8"/>
    <w:rsid w:val="000930BA"/>
    <w:rsid w:val="00093408"/>
    <w:rsid w:val="0009415A"/>
    <w:rsid w:val="00094200"/>
    <w:rsid w:val="000943C9"/>
    <w:rsid w:val="000943CE"/>
    <w:rsid w:val="000951F4"/>
    <w:rsid w:val="000952E6"/>
    <w:rsid w:val="0009569D"/>
    <w:rsid w:val="0009590F"/>
    <w:rsid w:val="00096946"/>
    <w:rsid w:val="0009721D"/>
    <w:rsid w:val="00097F23"/>
    <w:rsid w:val="000A05BA"/>
    <w:rsid w:val="000A0748"/>
    <w:rsid w:val="000A134C"/>
    <w:rsid w:val="000A211A"/>
    <w:rsid w:val="000A253F"/>
    <w:rsid w:val="000A2592"/>
    <w:rsid w:val="000A2ADF"/>
    <w:rsid w:val="000A2AE5"/>
    <w:rsid w:val="000A355E"/>
    <w:rsid w:val="000A3C32"/>
    <w:rsid w:val="000A550D"/>
    <w:rsid w:val="000A66E6"/>
    <w:rsid w:val="000A6D6B"/>
    <w:rsid w:val="000A7DFF"/>
    <w:rsid w:val="000B0BA0"/>
    <w:rsid w:val="000B0ED4"/>
    <w:rsid w:val="000B2176"/>
    <w:rsid w:val="000B2C87"/>
    <w:rsid w:val="000B4D07"/>
    <w:rsid w:val="000B5138"/>
    <w:rsid w:val="000B6062"/>
    <w:rsid w:val="000B661E"/>
    <w:rsid w:val="000B71EE"/>
    <w:rsid w:val="000B7308"/>
    <w:rsid w:val="000B734D"/>
    <w:rsid w:val="000B79C4"/>
    <w:rsid w:val="000B7F43"/>
    <w:rsid w:val="000C0442"/>
    <w:rsid w:val="000C0FA0"/>
    <w:rsid w:val="000C1B0A"/>
    <w:rsid w:val="000C1BBF"/>
    <w:rsid w:val="000C1C2B"/>
    <w:rsid w:val="000C2A61"/>
    <w:rsid w:val="000C2DD4"/>
    <w:rsid w:val="000C3CB1"/>
    <w:rsid w:val="000C4057"/>
    <w:rsid w:val="000C6B0F"/>
    <w:rsid w:val="000C736C"/>
    <w:rsid w:val="000C7515"/>
    <w:rsid w:val="000D0B0B"/>
    <w:rsid w:val="000D0B35"/>
    <w:rsid w:val="000D1633"/>
    <w:rsid w:val="000D1D92"/>
    <w:rsid w:val="000D2145"/>
    <w:rsid w:val="000D24C6"/>
    <w:rsid w:val="000D2F2F"/>
    <w:rsid w:val="000D351B"/>
    <w:rsid w:val="000D3BD9"/>
    <w:rsid w:val="000D44F5"/>
    <w:rsid w:val="000D48FD"/>
    <w:rsid w:val="000D4BE4"/>
    <w:rsid w:val="000D4E46"/>
    <w:rsid w:val="000D5200"/>
    <w:rsid w:val="000D6CCB"/>
    <w:rsid w:val="000D7DD9"/>
    <w:rsid w:val="000E02C9"/>
    <w:rsid w:val="000E0701"/>
    <w:rsid w:val="000E097F"/>
    <w:rsid w:val="000E0B32"/>
    <w:rsid w:val="000E0F25"/>
    <w:rsid w:val="000E10C5"/>
    <w:rsid w:val="000E1DAC"/>
    <w:rsid w:val="000E243A"/>
    <w:rsid w:val="000E3132"/>
    <w:rsid w:val="000E32C9"/>
    <w:rsid w:val="000E407A"/>
    <w:rsid w:val="000E5FE1"/>
    <w:rsid w:val="000E635F"/>
    <w:rsid w:val="000E6461"/>
    <w:rsid w:val="000E7284"/>
    <w:rsid w:val="000E7321"/>
    <w:rsid w:val="000E73F1"/>
    <w:rsid w:val="000F0336"/>
    <w:rsid w:val="000F04A6"/>
    <w:rsid w:val="000F13B3"/>
    <w:rsid w:val="000F19AC"/>
    <w:rsid w:val="000F1C6B"/>
    <w:rsid w:val="000F1D58"/>
    <w:rsid w:val="000F23C9"/>
    <w:rsid w:val="000F23DC"/>
    <w:rsid w:val="000F2709"/>
    <w:rsid w:val="000F37CE"/>
    <w:rsid w:val="000F3F86"/>
    <w:rsid w:val="000F4039"/>
    <w:rsid w:val="000F4705"/>
    <w:rsid w:val="000F5410"/>
    <w:rsid w:val="000F6762"/>
    <w:rsid w:val="000F6D77"/>
    <w:rsid w:val="000F6DF2"/>
    <w:rsid w:val="000F72DB"/>
    <w:rsid w:val="000F7997"/>
    <w:rsid w:val="000F7B86"/>
    <w:rsid w:val="001009AF"/>
    <w:rsid w:val="00100AA9"/>
    <w:rsid w:val="00100FED"/>
    <w:rsid w:val="00101051"/>
    <w:rsid w:val="00101F2F"/>
    <w:rsid w:val="0010224A"/>
    <w:rsid w:val="00102760"/>
    <w:rsid w:val="00102CB7"/>
    <w:rsid w:val="00102EBE"/>
    <w:rsid w:val="00103354"/>
    <w:rsid w:val="0010352F"/>
    <w:rsid w:val="00103933"/>
    <w:rsid w:val="00103AB4"/>
    <w:rsid w:val="00103B00"/>
    <w:rsid w:val="00103BCF"/>
    <w:rsid w:val="0010403B"/>
    <w:rsid w:val="0010445F"/>
    <w:rsid w:val="00104A65"/>
    <w:rsid w:val="00106448"/>
    <w:rsid w:val="001070A2"/>
    <w:rsid w:val="0010740A"/>
    <w:rsid w:val="00107683"/>
    <w:rsid w:val="00110241"/>
    <w:rsid w:val="00110435"/>
    <w:rsid w:val="00110A02"/>
    <w:rsid w:val="001111EA"/>
    <w:rsid w:val="001111F5"/>
    <w:rsid w:val="00111363"/>
    <w:rsid w:val="00112569"/>
    <w:rsid w:val="001125FE"/>
    <w:rsid w:val="00112FB8"/>
    <w:rsid w:val="00113515"/>
    <w:rsid w:val="00113B3E"/>
    <w:rsid w:val="00114A03"/>
    <w:rsid w:val="001154AE"/>
    <w:rsid w:val="00116A3B"/>
    <w:rsid w:val="00116F22"/>
    <w:rsid w:val="001177E6"/>
    <w:rsid w:val="00117AC0"/>
    <w:rsid w:val="001204D4"/>
    <w:rsid w:val="001207E1"/>
    <w:rsid w:val="001211C1"/>
    <w:rsid w:val="00121890"/>
    <w:rsid w:val="00122FED"/>
    <w:rsid w:val="001232BD"/>
    <w:rsid w:val="001237BC"/>
    <w:rsid w:val="0012383F"/>
    <w:rsid w:val="00123DA5"/>
    <w:rsid w:val="001258E7"/>
    <w:rsid w:val="00125B5C"/>
    <w:rsid w:val="001261D7"/>
    <w:rsid w:val="00126513"/>
    <w:rsid w:val="00130277"/>
    <w:rsid w:val="0013072E"/>
    <w:rsid w:val="0013122F"/>
    <w:rsid w:val="0013123A"/>
    <w:rsid w:val="00131397"/>
    <w:rsid w:val="001317DB"/>
    <w:rsid w:val="00132035"/>
    <w:rsid w:val="00132206"/>
    <w:rsid w:val="00132764"/>
    <w:rsid w:val="00133DCE"/>
    <w:rsid w:val="00133FDE"/>
    <w:rsid w:val="00134195"/>
    <w:rsid w:val="001347BB"/>
    <w:rsid w:val="00134E49"/>
    <w:rsid w:val="001353CC"/>
    <w:rsid w:val="0013573B"/>
    <w:rsid w:val="00135BF3"/>
    <w:rsid w:val="00135DD0"/>
    <w:rsid w:val="001367F8"/>
    <w:rsid w:val="00137228"/>
    <w:rsid w:val="001372F7"/>
    <w:rsid w:val="00137497"/>
    <w:rsid w:val="00137734"/>
    <w:rsid w:val="00140328"/>
    <w:rsid w:val="00140CCC"/>
    <w:rsid w:val="00141386"/>
    <w:rsid w:val="001416D4"/>
    <w:rsid w:val="00142430"/>
    <w:rsid w:val="00143345"/>
    <w:rsid w:val="00144386"/>
    <w:rsid w:val="00144B04"/>
    <w:rsid w:val="00145148"/>
    <w:rsid w:val="00145254"/>
    <w:rsid w:val="00145716"/>
    <w:rsid w:val="00145EA5"/>
    <w:rsid w:val="00146104"/>
    <w:rsid w:val="0014662A"/>
    <w:rsid w:val="00146E7B"/>
    <w:rsid w:val="00147E02"/>
    <w:rsid w:val="00150C1E"/>
    <w:rsid w:val="00152635"/>
    <w:rsid w:val="0015268E"/>
    <w:rsid w:val="00152A68"/>
    <w:rsid w:val="00154087"/>
    <w:rsid w:val="00154F83"/>
    <w:rsid w:val="0015501A"/>
    <w:rsid w:val="00155569"/>
    <w:rsid w:val="00156A4D"/>
    <w:rsid w:val="00156A59"/>
    <w:rsid w:val="00156A5A"/>
    <w:rsid w:val="00157235"/>
    <w:rsid w:val="00157780"/>
    <w:rsid w:val="00160107"/>
    <w:rsid w:val="00160120"/>
    <w:rsid w:val="00160AC5"/>
    <w:rsid w:val="00160ACD"/>
    <w:rsid w:val="00161BFF"/>
    <w:rsid w:val="00162317"/>
    <w:rsid w:val="001625EC"/>
    <w:rsid w:val="001626C0"/>
    <w:rsid w:val="00163459"/>
    <w:rsid w:val="00163896"/>
    <w:rsid w:val="00164806"/>
    <w:rsid w:val="00165301"/>
    <w:rsid w:val="00165726"/>
    <w:rsid w:val="00165C02"/>
    <w:rsid w:val="001661C5"/>
    <w:rsid w:val="00166600"/>
    <w:rsid w:val="0016680E"/>
    <w:rsid w:val="00166AE8"/>
    <w:rsid w:val="00166C3E"/>
    <w:rsid w:val="00167362"/>
    <w:rsid w:val="001674D6"/>
    <w:rsid w:val="001676B8"/>
    <w:rsid w:val="00170A3B"/>
    <w:rsid w:val="0017103C"/>
    <w:rsid w:val="0017176B"/>
    <w:rsid w:val="00171B77"/>
    <w:rsid w:val="00172074"/>
    <w:rsid w:val="001729FD"/>
    <w:rsid w:val="00172BAC"/>
    <w:rsid w:val="00172E6A"/>
    <w:rsid w:val="0017310A"/>
    <w:rsid w:val="001739BC"/>
    <w:rsid w:val="00174B3C"/>
    <w:rsid w:val="00175491"/>
    <w:rsid w:val="0017609C"/>
    <w:rsid w:val="0017637B"/>
    <w:rsid w:val="00176AD0"/>
    <w:rsid w:val="00176D30"/>
    <w:rsid w:val="0017733C"/>
    <w:rsid w:val="00177F74"/>
    <w:rsid w:val="00180BF1"/>
    <w:rsid w:val="001813CF"/>
    <w:rsid w:val="001816D2"/>
    <w:rsid w:val="00181928"/>
    <w:rsid w:val="00181E87"/>
    <w:rsid w:val="00182BBB"/>
    <w:rsid w:val="00184055"/>
    <w:rsid w:val="00184554"/>
    <w:rsid w:val="0018528E"/>
    <w:rsid w:val="00185430"/>
    <w:rsid w:val="001855D1"/>
    <w:rsid w:val="001857FD"/>
    <w:rsid w:val="00185E76"/>
    <w:rsid w:val="00186E0F"/>
    <w:rsid w:val="001871E9"/>
    <w:rsid w:val="0019069A"/>
    <w:rsid w:val="001910C3"/>
    <w:rsid w:val="001913DA"/>
    <w:rsid w:val="00191671"/>
    <w:rsid w:val="00191902"/>
    <w:rsid w:val="00191A17"/>
    <w:rsid w:val="00192437"/>
    <w:rsid w:val="00192760"/>
    <w:rsid w:val="00192A0B"/>
    <w:rsid w:val="00192B3B"/>
    <w:rsid w:val="00192C70"/>
    <w:rsid w:val="00193627"/>
    <w:rsid w:val="00194995"/>
    <w:rsid w:val="00194EEA"/>
    <w:rsid w:val="001950AD"/>
    <w:rsid w:val="001959AD"/>
    <w:rsid w:val="00195C2E"/>
    <w:rsid w:val="00195EF8"/>
    <w:rsid w:val="00195F00"/>
    <w:rsid w:val="00195F71"/>
    <w:rsid w:val="001970C3"/>
    <w:rsid w:val="00197234"/>
    <w:rsid w:val="00197688"/>
    <w:rsid w:val="001A0155"/>
    <w:rsid w:val="001A0459"/>
    <w:rsid w:val="001A0C11"/>
    <w:rsid w:val="001A157C"/>
    <w:rsid w:val="001A174A"/>
    <w:rsid w:val="001A189B"/>
    <w:rsid w:val="001A1F47"/>
    <w:rsid w:val="001A25FE"/>
    <w:rsid w:val="001A2F59"/>
    <w:rsid w:val="001A3116"/>
    <w:rsid w:val="001A3623"/>
    <w:rsid w:val="001A3ABB"/>
    <w:rsid w:val="001A3B29"/>
    <w:rsid w:val="001A4C32"/>
    <w:rsid w:val="001A4ED2"/>
    <w:rsid w:val="001A5830"/>
    <w:rsid w:val="001A5AC4"/>
    <w:rsid w:val="001A5F79"/>
    <w:rsid w:val="001A6450"/>
    <w:rsid w:val="001A6936"/>
    <w:rsid w:val="001A7BBD"/>
    <w:rsid w:val="001B119E"/>
    <w:rsid w:val="001B18D1"/>
    <w:rsid w:val="001B35BD"/>
    <w:rsid w:val="001B3717"/>
    <w:rsid w:val="001B37C5"/>
    <w:rsid w:val="001B3C88"/>
    <w:rsid w:val="001B4008"/>
    <w:rsid w:val="001B41EE"/>
    <w:rsid w:val="001B42A2"/>
    <w:rsid w:val="001B45B7"/>
    <w:rsid w:val="001B4D05"/>
    <w:rsid w:val="001B5907"/>
    <w:rsid w:val="001B5A73"/>
    <w:rsid w:val="001B5ED6"/>
    <w:rsid w:val="001B5FEC"/>
    <w:rsid w:val="001B62E9"/>
    <w:rsid w:val="001B64EB"/>
    <w:rsid w:val="001B69CF"/>
    <w:rsid w:val="001B7522"/>
    <w:rsid w:val="001B7DAA"/>
    <w:rsid w:val="001C00E4"/>
    <w:rsid w:val="001C0351"/>
    <w:rsid w:val="001C12F8"/>
    <w:rsid w:val="001C1941"/>
    <w:rsid w:val="001C1C5E"/>
    <w:rsid w:val="001C2076"/>
    <w:rsid w:val="001C265E"/>
    <w:rsid w:val="001C380C"/>
    <w:rsid w:val="001C50A0"/>
    <w:rsid w:val="001C5D77"/>
    <w:rsid w:val="001C613A"/>
    <w:rsid w:val="001C6852"/>
    <w:rsid w:val="001C6BDB"/>
    <w:rsid w:val="001C6D49"/>
    <w:rsid w:val="001C764F"/>
    <w:rsid w:val="001C7850"/>
    <w:rsid w:val="001C78D8"/>
    <w:rsid w:val="001D0140"/>
    <w:rsid w:val="001D05D6"/>
    <w:rsid w:val="001D08BA"/>
    <w:rsid w:val="001D147D"/>
    <w:rsid w:val="001D321C"/>
    <w:rsid w:val="001D32DE"/>
    <w:rsid w:val="001D3C6B"/>
    <w:rsid w:val="001D3CB8"/>
    <w:rsid w:val="001D4063"/>
    <w:rsid w:val="001D4261"/>
    <w:rsid w:val="001D46D0"/>
    <w:rsid w:val="001D4E6A"/>
    <w:rsid w:val="001D506D"/>
    <w:rsid w:val="001D5201"/>
    <w:rsid w:val="001D5EED"/>
    <w:rsid w:val="001D6034"/>
    <w:rsid w:val="001D628C"/>
    <w:rsid w:val="001D7162"/>
    <w:rsid w:val="001D74DB"/>
    <w:rsid w:val="001E01BD"/>
    <w:rsid w:val="001E036B"/>
    <w:rsid w:val="001E069A"/>
    <w:rsid w:val="001E0BA4"/>
    <w:rsid w:val="001E0E08"/>
    <w:rsid w:val="001E224B"/>
    <w:rsid w:val="001E3E32"/>
    <w:rsid w:val="001E3EBA"/>
    <w:rsid w:val="001E44C7"/>
    <w:rsid w:val="001E54A5"/>
    <w:rsid w:val="001E5F84"/>
    <w:rsid w:val="001E6230"/>
    <w:rsid w:val="001E633B"/>
    <w:rsid w:val="001E6A93"/>
    <w:rsid w:val="001E6C16"/>
    <w:rsid w:val="001E706C"/>
    <w:rsid w:val="001E73A1"/>
    <w:rsid w:val="001F1DEC"/>
    <w:rsid w:val="001F1F84"/>
    <w:rsid w:val="001F280E"/>
    <w:rsid w:val="001F2EF8"/>
    <w:rsid w:val="001F3B05"/>
    <w:rsid w:val="001F4AAA"/>
    <w:rsid w:val="001F4C5A"/>
    <w:rsid w:val="001F5165"/>
    <w:rsid w:val="001F51A7"/>
    <w:rsid w:val="00200494"/>
    <w:rsid w:val="002011A3"/>
    <w:rsid w:val="00201339"/>
    <w:rsid w:val="0020134C"/>
    <w:rsid w:val="0020180D"/>
    <w:rsid w:val="0020269C"/>
    <w:rsid w:val="00203797"/>
    <w:rsid w:val="0020430C"/>
    <w:rsid w:val="0020450A"/>
    <w:rsid w:val="00205803"/>
    <w:rsid w:val="00206C5E"/>
    <w:rsid w:val="00210EB1"/>
    <w:rsid w:val="00211A0E"/>
    <w:rsid w:val="00212291"/>
    <w:rsid w:val="0021266A"/>
    <w:rsid w:val="00212FFA"/>
    <w:rsid w:val="0021388F"/>
    <w:rsid w:val="00213E63"/>
    <w:rsid w:val="00214200"/>
    <w:rsid w:val="00215798"/>
    <w:rsid w:val="00216880"/>
    <w:rsid w:val="00216FD9"/>
    <w:rsid w:val="00217386"/>
    <w:rsid w:val="002178D3"/>
    <w:rsid w:val="0021798C"/>
    <w:rsid w:val="0022031D"/>
    <w:rsid w:val="00220480"/>
    <w:rsid w:val="002205C2"/>
    <w:rsid w:val="0022226E"/>
    <w:rsid w:val="002224CA"/>
    <w:rsid w:val="00222625"/>
    <w:rsid w:val="0022277C"/>
    <w:rsid w:val="002248D2"/>
    <w:rsid w:val="0022607F"/>
    <w:rsid w:val="002267D4"/>
    <w:rsid w:val="002278D8"/>
    <w:rsid w:val="00227DB4"/>
    <w:rsid w:val="00227E25"/>
    <w:rsid w:val="00227E53"/>
    <w:rsid w:val="00227EA8"/>
    <w:rsid w:val="002300BA"/>
    <w:rsid w:val="00230B5B"/>
    <w:rsid w:val="002310DA"/>
    <w:rsid w:val="00233240"/>
    <w:rsid w:val="00233CD3"/>
    <w:rsid w:val="00234331"/>
    <w:rsid w:val="00234890"/>
    <w:rsid w:val="00235F36"/>
    <w:rsid w:val="00236F4F"/>
    <w:rsid w:val="002370D6"/>
    <w:rsid w:val="0023719E"/>
    <w:rsid w:val="00237F9E"/>
    <w:rsid w:val="002406A0"/>
    <w:rsid w:val="00240790"/>
    <w:rsid w:val="00240F98"/>
    <w:rsid w:val="00241376"/>
    <w:rsid w:val="00241434"/>
    <w:rsid w:val="00241AC4"/>
    <w:rsid w:val="0024342A"/>
    <w:rsid w:val="0024393F"/>
    <w:rsid w:val="00243C84"/>
    <w:rsid w:val="00244387"/>
    <w:rsid w:val="002449D5"/>
    <w:rsid w:val="00245318"/>
    <w:rsid w:val="00245B11"/>
    <w:rsid w:val="00245C96"/>
    <w:rsid w:val="0024609C"/>
    <w:rsid w:val="002464C1"/>
    <w:rsid w:val="00246C07"/>
    <w:rsid w:val="00247CC4"/>
    <w:rsid w:val="00247F03"/>
    <w:rsid w:val="00247F2C"/>
    <w:rsid w:val="00254372"/>
    <w:rsid w:val="002545D3"/>
    <w:rsid w:val="0025493C"/>
    <w:rsid w:val="00255A4B"/>
    <w:rsid w:val="00255B06"/>
    <w:rsid w:val="00255B49"/>
    <w:rsid w:val="002560F0"/>
    <w:rsid w:val="00256779"/>
    <w:rsid w:val="0025720A"/>
    <w:rsid w:val="00260C0A"/>
    <w:rsid w:val="002618DE"/>
    <w:rsid w:val="00263A8D"/>
    <w:rsid w:val="002642AF"/>
    <w:rsid w:val="00265BF6"/>
    <w:rsid w:val="00265F8D"/>
    <w:rsid w:val="0026605D"/>
    <w:rsid w:val="00266862"/>
    <w:rsid w:val="0026688B"/>
    <w:rsid w:val="00266C91"/>
    <w:rsid w:val="00266F5C"/>
    <w:rsid w:val="00267082"/>
    <w:rsid w:val="00267277"/>
    <w:rsid w:val="002702B6"/>
    <w:rsid w:val="0027081D"/>
    <w:rsid w:val="0027091B"/>
    <w:rsid w:val="00270F8C"/>
    <w:rsid w:val="0027128F"/>
    <w:rsid w:val="00271315"/>
    <w:rsid w:val="00271368"/>
    <w:rsid w:val="00271D5A"/>
    <w:rsid w:val="00271F51"/>
    <w:rsid w:val="00272629"/>
    <w:rsid w:val="00272DAE"/>
    <w:rsid w:val="00272F9A"/>
    <w:rsid w:val="00273120"/>
    <w:rsid w:val="00275B70"/>
    <w:rsid w:val="00275E99"/>
    <w:rsid w:val="0027640F"/>
    <w:rsid w:val="002767EE"/>
    <w:rsid w:val="00277030"/>
    <w:rsid w:val="00277625"/>
    <w:rsid w:val="002777B5"/>
    <w:rsid w:val="00277A10"/>
    <w:rsid w:val="0028009A"/>
    <w:rsid w:val="00280841"/>
    <w:rsid w:val="00280990"/>
    <w:rsid w:val="00281CE7"/>
    <w:rsid w:val="00282E71"/>
    <w:rsid w:val="00283749"/>
    <w:rsid w:val="00284BAC"/>
    <w:rsid w:val="00286074"/>
    <w:rsid w:val="00286911"/>
    <w:rsid w:val="002874D9"/>
    <w:rsid w:val="002901B9"/>
    <w:rsid w:val="0029062E"/>
    <w:rsid w:val="00290DA0"/>
    <w:rsid w:val="00291302"/>
    <w:rsid w:val="00291461"/>
    <w:rsid w:val="00291B35"/>
    <w:rsid w:val="002929BB"/>
    <w:rsid w:val="0029328E"/>
    <w:rsid w:val="00294195"/>
    <w:rsid w:val="002941C9"/>
    <w:rsid w:val="00295551"/>
    <w:rsid w:val="002959F9"/>
    <w:rsid w:val="00296237"/>
    <w:rsid w:val="00296571"/>
    <w:rsid w:val="002968DA"/>
    <w:rsid w:val="00296FBD"/>
    <w:rsid w:val="0029716B"/>
    <w:rsid w:val="00297499"/>
    <w:rsid w:val="00297C35"/>
    <w:rsid w:val="002A0396"/>
    <w:rsid w:val="002A07D6"/>
    <w:rsid w:val="002A0B59"/>
    <w:rsid w:val="002A1391"/>
    <w:rsid w:val="002A1BA2"/>
    <w:rsid w:val="002A1C2C"/>
    <w:rsid w:val="002A22EF"/>
    <w:rsid w:val="002A4185"/>
    <w:rsid w:val="002A45BB"/>
    <w:rsid w:val="002A6BF5"/>
    <w:rsid w:val="002B0F03"/>
    <w:rsid w:val="002B11EB"/>
    <w:rsid w:val="002B1C90"/>
    <w:rsid w:val="002B2683"/>
    <w:rsid w:val="002B26C3"/>
    <w:rsid w:val="002B28E2"/>
    <w:rsid w:val="002B390F"/>
    <w:rsid w:val="002B54A8"/>
    <w:rsid w:val="002B56CF"/>
    <w:rsid w:val="002B5917"/>
    <w:rsid w:val="002B5B1D"/>
    <w:rsid w:val="002B5EC8"/>
    <w:rsid w:val="002B5ED7"/>
    <w:rsid w:val="002B71FD"/>
    <w:rsid w:val="002B7235"/>
    <w:rsid w:val="002B789D"/>
    <w:rsid w:val="002B78E7"/>
    <w:rsid w:val="002B78F5"/>
    <w:rsid w:val="002C01BD"/>
    <w:rsid w:val="002C036F"/>
    <w:rsid w:val="002C12B8"/>
    <w:rsid w:val="002C1404"/>
    <w:rsid w:val="002C147F"/>
    <w:rsid w:val="002C16D2"/>
    <w:rsid w:val="002C1752"/>
    <w:rsid w:val="002C1BC2"/>
    <w:rsid w:val="002C1DF2"/>
    <w:rsid w:val="002C29D6"/>
    <w:rsid w:val="002C2F98"/>
    <w:rsid w:val="002C3EBF"/>
    <w:rsid w:val="002C4464"/>
    <w:rsid w:val="002C455F"/>
    <w:rsid w:val="002C4850"/>
    <w:rsid w:val="002C4ED0"/>
    <w:rsid w:val="002C572B"/>
    <w:rsid w:val="002C5D4F"/>
    <w:rsid w:val="002C5EA3"/>
    <w:rsid w:val="002C614A"/>
    <w:rsid w:val="002C74DC"/>
    <w:rsid w:val="002C7BF9"/>
    <w:rsid w:val="002C7E3A"/>
    <w:rsid w:val="002D0979"/>
    <w:rsid w:val="002D0B6C"/>
    <w:rsid w:val="002D148D"/>
    <w:rsid w:val="002D1C31"/>
    <w:rsid w:val="002D20D7"/>
    <w:rsid w:val="002D27B1"/>
    <w:rsid w:val="002D2CBE"/>
    <w:rsid w:val="002D3528"/>
    <w:rsid w:val="002D3E7A"/>
    <w:rsid w:val="002D4970"/>
    <w:rsid w:val="002D4B0F"/>
    <w:rsid w:val="002D4DC9"/>
    <w:rsid w:val="002D52A4"/>
    <w:rsid w:val="002D5FC9"/>
    <w:rsid w:val="002D6AB8"/>
    <w:rsid w:val="002D737D"/>
    <w:rsid w:val="002E0293"/>
    <w:rsid w:val="002E0AB2"/>
    <w:rsid w:val="002E135E"/>
    <w:rsid w:val="002E140D"/>
    <w:rsid w:val="002E15EC"/>
    <w:rsid w:val="002E1CFC"/>
    <w:rsid w:val="002E1DBE"/>
    <w:rsid w:val="002E2253"/>
    <w:rsid w:val="002E25F3"/>
    <w:rsid w:val="002E2DA2"/>
    <w:rsid w:val="002E307B"/>
    <w:rsid w:val="002E33A0"/>
    <w:rsid w:val="002E3DD4"/>
    <w:rsid w:val="002E49B1"/>
    <w:rsid w:val="002E4DC5"/>
    <w:rsid w:val="002E5851"/>
    <w:rsid w:val="002E5EEC"/>
    <w:rsid w:val="002E64C5"/>
    <w:rsid w:val="002E6714"/>
    <w:rsid w:val="002E680E"/>
    <w:rsid w:val="002E6FCE"/>
    <w:rsid w:val="002E7220"/>
    <w:rsid w:val="002E7457"/>
    <w:rsid w:val="002E77F2"/>
    <w:rsid w:val="002F006E"/>
    <w:rsid w:val="002F0F17"/>
    <w:rsid w:val="002F1AF5"/>
    <w:rsid w:val="002F1F87"/>
    <w:rsid w:val="002F2083"/>
    <w:rsid w:val="002F2B9E"/>
    <w:rsid w:val="002F2EC5"/>
    <w:rsid w:val="002F2EEA"/>
    <w:rsid w:val="002F2F01"/>
    <w:rsid w:val="002F3E7B"/>
    <w:rsid w:val="002F4283"/>
    <w:rsid w:val="002F4365"/>
    <w:rsid w:val="002F4A56"/>
    <w:rsid w:val="002F547F"/>
    <w:rsid w:val="002F5909"/>
    <w:rsid w:val="002F6F8F"/>
    <w:rsid w:val="002F7B62"/>
    <w:rsid w:val="002F7E01"/>
    <w:rsid w:val="00300903"/>
    <w:rsid w:val="00302C80"/>
    <w:rsid w:val="0030356B"/>
    <w:rsid w:val="00303608"/>
    <w:rsid w:val="0030426B"/>
    <w:rsid w:val="003052CE"/>
    <w:rsid w:val="0030637D"/>
    <w:rsid w:val="00306B49"/>
    <w:rsid w:val="003075CC"/>
    <w:rsid w:val="003079F7"/>
    <w:rsid w:val="00307B19"/>
    <w:rsid w:val="00311059"/>
    <w:rsid w:val="00311D57"/>
    <w:rsid w:val="00312846"/>
    <w:rsid w:val="003130CD"/>
    <w:rsid w:val="00314120"/>
    <w:rsid w:val="003143A1"/>
    <w:rsid w:val="00315BA3"/>
    <w:rsid w:val="0031628D"/>
    <w:rsid w:val="00316922"/>
    <w:rsid w:val="00317E94"/>
    <w:rsid w:val="00321465"/>
    <w:rsid w:val="003216AC"/>
    <w:rsid w:val="003216FF"/>
    <w:rsid w:val="00321C67"/>
    <w:rsid w:val="00324619"/>
    <w:rsid w:val="00324C80"/>
    <w:rsid w:val="00324EE4"/>
    <w:rsid w:val="003255C2"/>
    <w:rsid w:val="003256E1"/>
    <w:rsid w:val="00325D70"/>
    <w:rsid w:val="0032673B"/>
    <w:rsid w:val="00326754"/>
    <w:rsid w:val="00327D88"/>
    <w:rsid w:val="003301EF"/>
    <w:rsid w:val="00330587"/>
    <w:rsid w:val="00330AE6"/>
    <w:rsid w:val="00330B1F"/>
    <w:rsid w:val="0033170C"/>
    <w:rsid w:val="00331D45"/>
    <w:rsid w:val="003329C2"/>
    <w:rsid w:val="00332DA3"/>
    <w:rsid w:val="0033391F"/>
    <w:rsid w:val="00334052"/>
    <w:rsid w:val="00334065"/>
    <w:rsid w:val="00334D35"/>
    <w:rsid w:val="003359ED"/>
    <w:rsid w:val="00336194"/>
    <w:rsid w:val="00336918"/>
    <w:rsid w:val="00336DDB"/>
    <w:rsid w:val="00341538"/>
    <w:rsid w:val="003416BC"/>
    <w:rsid w:val="003420BD"/>
    <w:rsid w:val="003422A5"/>
    <w:rsid w:val="00342518"/>
    <w:rsid w:val="003434D5"/>
    <w:rsid w:val="00343B43"/>
    <w:rsid w:val="003441D8"/>
    <w:rsid w:val="003442FD"/>
    <w:rsid w:val="003444F9"/>
    <w:rsid w:val="00344AC6"/>
    <w:rsid w:val="00345238"/>
    <w:rsid w:val="003455B9"/>
    <w:rsid w:val="00345CB8"/>
    <w:rsid w:val="00345F8D"/>
    <w:rsid w:val="003461C7"/>
    <w:rsid w:val="00346F6D"/>
    <w:rsid w:val="0034706F"/>
    <w:rsid w:val="00347727"/>
    <w:rsid w:val="00350364"/>
    <w:rsid w:val="003507DA"/>
    <w:rsid w:val="00350D07"/>
    <w:rsid w:val="003513D9"/>
    <w:rsid w:val="00351847"/>
    <w:rsid w:val="00351D89"/>
    <w:rsid w:val="003537A4"/>
    <w:rsid w:val="00354407"/>
    <w:rsid w:val="003554E6"/>
    <w:rsid w:val="0035593A"/>
    <w:rsid w:val="00355E9F"/>
    <w:rsid w:val="00355EF3"/>
    <w:rsid w:val="003564CE"/>
    <w:rsid w:val="00356ADA"/>
    <w:rsid w:val="0035753D"/>
    <w:rsid w:val="00360850"/>
    <w:rsid w:val="003615F9"/>
    <w:rsid w:val="00362896"/>
    <w:rsid w:val="00363239"/>
    <w:rsid w:val="003634E5"/>
    <w:rsid w:val="00363B04"/>
    <w:rsid w:val="003642B6"/>
    <w:rsid w:val="003644C2"/>
    <w:rsid w:val="0036465C"/>
    <w:rsid w:val="003646E4"/>
    <w:rsid w:val="0036484F"/>
    <w:rsid w:val="003662A9"/>
    <w:rsid w:val="00366ECA"/>
    <w:rsid w:val="00366EEB"/>
    <w:rsid w:val="00370033"/>
    <w:rsid w:val="00370366"/>
    <w:rsid w:val="00370D6B"/>
    <w:rsid w:val="00370F3F"/>
    <w:rsid w:val="00371DEF"/>
    <w:rsid w:val="00372C9A"/>
    <w:rsid w:val="00373665"/>
    <w:rsid w:val="00373723"/>
    <w:rsid w:val="00373E1E"/>
    <w:rsid w:val="0037410F"/>
    <w:rsid w:val="00374412"/>
    <w:rsid w:val="003745F2"/>
    <w:rsid w:val="003748E7"/>
    <w:rsid w:val="00375743"/>
    <w:rsid w:val="00375ABC"/>
    <w:rsid w:val="00375D03"/>
    <w:rsid w:val="003763DA"/>
    <w:rsid w:val="003775AA"/>
    <w:rsid w:val="003800DB"/>
    <w:rsid w:val="00380167"/>
    <w:rsid w:val="00380260"/>
    <w:rsid w:val="0038048C"/>
    <w:rsid w:val="0038056F"/>
    <w:rsid w:val="00380593"/>
    <w:rsid w:val="0038093C"/>
    <w:rsid w:val="00380956"/>
    <w:rsid w:val="00380F01"/>
    <w:rsid w:val="003810B7"/>
    <w:rsid w:val="003810C8"/>
    <w:rsid w:val="003811B0"/>
    <w:rsid w:val="00381CE1"/>
    <w:rsid w:val="00382B6C"/>
    <w:rsid w:val="003834A2"/>
    <w:rsid w:val="00384456"/>
    <w:rsid w:val="00384923"/>
    <w:rsid w:val="00384ECB"/>
    <w:rsid w:val="00384F8B"/>
    <w:rsid w:val="0038619C"/>
    <w:rsid w:val="00387754"/>
    <w:rsid w:val="00390070"/>
    <w:rsid w:val="00390214"/>
    <w:rsid w:val="0039022C"/>
    <w:rsid w:val="003914BB"/>
    <w:rsid w:val="003914C8"/>
    <w:rsid w:val="003918F9"/>
    <w:rsid w:val="00391BEF"/>
    <w:rsid w:val="0039350B"/>
    <w:rsid w:val="003935E1"/>
    <w:rsid w:val="00393E16"/>
    <w:rsid w:val="00394F53"/>
    <w:rsid w:val="0039528F"/>
    <w:rsid w:val="00395A09"/>
    <w:rsid w:val="00396E5B"/>
    <w:rsid w:val="003A0307"/>
    <w:rsid w:val="003A168B"/>
    <w:rsid w:val="003A1AAF"/>
    <w:rsid w:val="003A26D9"/>
    <w:rsid w:val="003A2B41"/>
    <w:rsid w:val="003A3246"/>
    <w:rsid w:val="003A3253"/>
    <w:rsid w:val="003A38C3"/>
    <w:rsid w:val="003A6ADA"/>
    <w:rsid w:val="003A6DAA"/>
    <w:rsid w:val="003A76DB"/>
    <w:rsid w:val="003A780C"/>
    <w:rsid w:val="003B00C3"/>
    <w:rsid w:val="003B0E7E"/>
    <w:rsid w:val="003B2560"/>
    <w:rsid w:val="003B3DF7"/>
    <w:rsid w:val="003B3FC3"/>
    <w:rsid w:val="003B4319"/>
    <w:rsid w:val="003B46F7"/>
    <w:rsid w:val="003B54D7"/>
    <w:rsid w:val="003B58F9"/>
    <w:rsid w:val="003B6A6E"/>
    <w:rsid w:val="003B6E42"/>
    <w:rsid w:val="003B7438"/>
    <w:rsid w:val="003B779C"/>
    <w:rsid w:val="003B7AFE"/>
    <w:rsid w:val="003B7F08"/>
    <w:rsid w:val="003C076E"/>
    <w:rsid w:val="003C1B2A"/>
    <w:rsid w:val="003C1E3D"/>
    <w:rsid w:val="003C1FA9"/>
    <w:rsid w:val="003C22D4"/>
    <w:rsid w:val="003C23A1"/>
    <w:rsid w:val="003C25BC"/>
    <w:rsid w:val="003C2884"/>
    <w:rsid w:val="003C2CA7"/>
    <w:rsid w:val="003C34F7"/>
    <w:rsid w:val="003C3A05"/>
    <w:rsid w:val="003C40AF"/>
    <w:rsid w:val="003C5240"/>
    <w:rsid w:val="003C5688"/>
    <w:rsid w:val="003C5A67"/>
    <w:rsid w:val="003C5D2C"/>
    <w:rsid w:val="003C6193"/>
    <w:rsid w:val="003C6D20"/>
    <w:rsid w:val="003C7B74"/>
    <w:rsid w:val="003D0A2B"/>
    <w:rsid w:val="003D147C"/>
    <w:rsid w:val="003D17C0"/>
    <w:rsid w:val="003D1FC4"/>
    <w:rsid w:val="003D23AE"/>
    <w:rsid w:val="003D248F"/>
    <w:rsid w:val="003D274B"/>
    <w:rsid w:val="003D3FBE"/>
    <w:rsid w:val="003D442E"/>
    <w:rsid w:val="003D47D9"/>
    <w:rsid w:val="003D4DA5"/>
    <w:rsid w:val="003D5414"/>
    <w:rsid w:val="003D5A08"/>
    <w:rsid w:val="003D5A09"/>
    <w:rsid w:val="003D7494"/>
    <w:rsid w:val="003E0081"/>
    <w:rsid w:val="003E0609"/>
    <w:rsid w:val="003E0B61"/>
    <w:rsid w:val="003E1077"/>
    <w:rsid w:val="003E14BE"/>
    <w:rsid w:val="003E156B"/>
    <w:rsid w:val="003E15C2"/>
    <w:rsid w:val="003E299F"/>
    <w:rsid w:val="003E4A61"/>
    <w:rsid w:val="003E53EE"/>
    <w:rsid w:val="003E5C39"/>
    <w:rsid w:val="003E6085"/>
    <w:rsid w:val="003E6E45"/>
    <w:rsid w:val="003E7367"/>
    <w:rsid w:val="003E7653"/>
    <w:rsid w:val="003E7ED8"/>
    <w:rsid w:val="003F0B9D"/>
    <w:rsid w:val="003F110C"/>
    <w:rsid w:val="003F1834"/>
    <w:rsid w:val="003F1F50"/>
    <w:rsid w:val="003F344E"/>
    <w:rsid w:val="003F3B29"/>
    <w:rsid w:val="003F47E2"/>
    <w:rsid w:val="003F564F"/>
    <w:rsid w:val="003F5895"/>
    <w:rsid w:val="003F632E"/>
    <w:rsid w:val="003F6448"/>
    <w:rsid w:val="003F7790"/>
    <w:rsid w:val="004006FF"/>
    <w:rsid w:val="00400DB1"/>
    <w:rsid w:val="004010D0"/>
    <w:rsid w:val="00401751"/>
    <w:rsid w:val="00402698"/>
    <w:rsid w:val="00402E12"/>
    <w:rsid w:val="004032A6"/>
    <w:rsid w:val="0040431D"/>
    <w:rsid w:val="004043AA"/>
    <w:rsid w:val="00404CF0"/>
    <w:rsid w:val="00405DF4"/>
    <w:rsid w:val="00406C67"/>
    <w:rsid w:val="00407391"/>
    <w:rsid w:val="00407AFE"/>
    <w:rsid w:val="00410ACD"/>
    <w:rsid w:val="00410AF7"/>
    <w:rsid w:val="0041115E"/>
    <w:rsid w:val="004130D4"/>
    <w:rsid w:val="004132EC"/>
    <w:rsid w:val="00413877"/>
    <w:rsid w:val="00413B97"/>
    <w:rsid w:val="00413FA7"/>
    <w:rsid w:val="004145E1"/>
    <w:rsid w:val="00416990"/>
    <w:rsid w:val="00417172"/>
    <w:rsid w:val="0041792E"/>
    <w:rsid w:val="004203DA"/>
    <w:rsid w:val="00420879"/>
    <w:rsid w:val="0042089E"/>
    <w:rsid w:val="00420C7A"/>
    <w:rsid w:val="00420E57"/>
    <w:rsid w:val="00420FF5"/>
    <w:rsid w:val="00421097"/>
    <w:rsid w:val="00422151"/>
    <w:rsid w:val="0042263D"/>
    <w:rsid w:val="00424C3B"/>
    <w:rsid w:val="00424D8F"/>
    <w:rsid w:val="00425855"/>
    <w:rsid w:val="00425BC3"/>
    <w:rsid w:val="00425CEF"/>
    <w:rsid w:val="004262F9"/>
    <w:rsid w:val="00426BF4"/>
    <w:rsid w:val="004272E9"/>
    <w:rsid w:val="00430373"/>
    <w:rsid w:val="004305DB"/>
    <w:rsid w:val="0043127B"/>
    <w:rsid w:val="004317F5"/>
    <w:rsid w:val="00433105"/>
    <w:rsid w:val="004339BB"/>
    <w:rsid w:val="00433C1F"/>
    <w:rsid w:val="00434272"/>
    <w:rsid w:val="00434D9E"/>
    <w:rsid w:val="00435433"/>
    <w:rsid w:val="0043607E"/>
    <w:rsid w:val="004368B1"/>
    <w:rsid w:val="00436E6D"/>
    <w:rsid w:val="00437136"/>
    <w:rsid w:val="00437233"/>
    <w:rsid w:val="0044055F"/>
    <w:rsid w:val="00440B61"/>
    <w:rsid w:val="00440CC5"/>
    <w:rsid w:val="00441462"/>
    <w:rsid w:val="00441EC8"/>
    <w:rsid w:val="004426F9"/>
    <w:rsid w:val="0044349B"/>
    <w:rsid w:val="00443E14"/>
    <w:rsid w:val="00443FBC"/>
    <w:rsid w:val="0044432E"/>
    <w:rsid w:val="00444AEA"/>
    <w:rsid w:val="004457A4"/>
    <w:rsid w:val="00445B18"/>
    <w:rsid w:val="00445BB3"/>
    <w:rsid w:val="0044656A"/>
    <w:rsid w:val="00446856"/>
    <w:rsid w:val="00446909"/>
    <w:rsid w:val="00447428"/>
    <w:rsid w:val="004475F2"/>
    <w:rsid w:val="00450501"/>
    <w:rsid w:val="004509A0"/>
    <w:rsid w:val="00450EC9"/>
    <w:rsid w:val="00451F35"/>
    <w:rsid w:val="00452C80"/>
    <w:rsid w:val="00453A4E"/>
    <w:rsid w:val="00454605"/>
    <w:rsid w:val="00454715"/>
    <w:rsid w:val="00454872"/>
    <w:rsid w:val="00454F6B"/>
    <w:rsid w:val="0045512A"/>
    <w:rsid w:val="00455960"/>
    <w:rsid w:val="00455FE8"/>
    <w:rsid w:val="00457175"/>
    <w:rsid w:val="00457868"/>
    <w:rsid w:val="00457E84"/>
    <w:rsid w:val="00461ECA"/>
    <w:rsid w:val="0046320F"/>
    <w:rsid w:val="00463508"/>
    <w:rsid w:val="00464509"/>
    <w:rsid w:val="0046452A"/>
    <w:rsid w:val="004647C9"/>
    <w:rsid w:val="004649D9"/>
    <w:rsid w:val="00464A82"/>
    <w:rsid w:val="00464AE7"/>
    <w:rsid w:val="00465550"/>
    <w:rsid w:val="0046590E"/>
    <w:rsid w:val="00465FA9"/>
    <w:rsid w:val="00466C3E"/>
    <w:rsid w:val="00466CA5"/>
    <w:rsid w:val="004671AC"/>
    <w:rsid w:val="00467810"/>
    <w:rsid w:val="00467B43"/>
    <w:rsid w:val="00467BED"/>
    <w:rsid w:val="004701AC"/>
    <w:rsid w:val="0047047A"/>
    <w:rsid w:val="00470B0D"/>
    <w:rsid w:val="00472A49"/>
    <w:rsid w:val="00473CF4"/>
    <w:rsid w:val="004754A5"/>
    <w:rsid w:val="00475BF8"/>
    <w:rsid w:val="00476366"/>
    <w:rsid w:val="004764D5"/>
    <w:rsid w:val="00476B9C"/>
    <w:rsid w:val="004776BC"/>
    <w:rsid w:val="00480374"/>
    <w:rsid w:val="00480B37"/>
    <w:rsid w:val="00480C97"/>
    <w:rsid w:val="004814B5"/>
    <w:rsid w:val="004819EC"/>
    <w:rsid w:val="00483E25"/>
    <w:rsid w:val="0048427D"/>
    <w:rsid w:val="0048435A"/>
    <w:rsid w:val="00484629"/>
    <w:rsid w:val="00484847"/>
    <w:rsid w:val="00484BCA"/>
    <w:rsid w:val="00485827"/>
    <w:rsid w:val="00485C04"/>
    <w:rsid w:val="004862C0"/>
    <w:rsid w:val="0048653E"/>
    <w:rsid w:val="00486911"/>
    <w:rsid w:val="00487789"/>
    <w:rsid w:val="00487844"/>
    <w:rsid w:val="004879A3"/>
    <w:rsid w:val="004906E5"/>
    <w:rsid w:val="00490DDF"/>
    <w:rsid w:val="00491A0B"/>
    <w:rsid w:val="00492694"/>
    <w:rsid w:val="00493E75"/>
    <w:rsid w:val="004941F8"/>
    <w:rsid w:val="004958F8"/>
    <w:rsid w:val="00495B3F"/>
    <w:rsid w:val="00495C40"/>
    <w:rsid w:val="004961E9"/>
    <w:rsid w:val="004967F1"/>
    <w:rsid w:val="00496897"/>
    <w:rsid w:val="00497201"/>
    <w:rsid w:val="00497CC3"/>
    <w:rsid w:val="004A0873"/>
    <w:rsid w:val="004A0DB5"/>
    <w:rsid w:val="004A1BBD"/>
    <w:rsid w:val="004A222E"/>
    <w:rsid w:val="004A227B"/>
    <w:rsid w:val="004A2925"/>
    <w:rsid w:val="004A3816"/>
    <w:rsid w:val="004A3990"/>
    <w:rsid w:val="004A4D67"/>
    <w:rsid w:val="004A4E0E"/>
    <w:rsid w:val="004A5BBE"/>
    <w:rsid w:val="004A65D7"/>
    <w:rsid w:val="004A6E19"/>
    <w:rsid w:val="004B1424"/>
    <w:rsid w:val="004B1EFF"/>
    <w:rsid w:val="004B2616"/>
    <w:rsid w:val="004B3B20"/>
    <w:rsid w:val="004B437F"/>
    <w:rsid w:val="004B48FF"/>
    <w:rsid w:val="004B55B9"/>
    <w:rsid w:val="004B5E70"/>
    <w:rsid w:val="004B6580"/>
    <w:rsid w:val="004B66BC"/>
    <w:rsid w:val="004B6BCC"/>
    <w:rsid w:val="004B6CA8"/>
    <w:rsid w:val="004B6ECD"/>
    <w:rsid w:val="004B7478"/>
    <w:rsid w:val="004C0048"/>
    <w:rsid w:val="004C00E2"/>
    <w:rsid w:val="004C0214"/>
    <w:rsid w:val="004C0579"/>
    <w:rsid w:val="004C0627"/>
    <w:rsid w:val="004C06CD"/>
    <w:rsid w:val="004C0A00"/>
    <w:rsid w:val="004C1923"/>
    <w:rsid w:val="004C1943"/>
    <w:rsid w:val="004C1DC6"/>
    <w:rsid w:val="004C1FE0"/>
    <w:rsid w:val="004C223B"/>
    <w:rsid w:val="004C2C26"/>
    <w:rsid w:val="004C3CB0"/>
    <w:rsid w:val="004C5156"/>
    <w:rsid w:val="004C5821"/>
    <w:rsid w:val="004C5EE1"/>
    <w:rsid w:val="004C7A2F"/>
    <w:rsid w:val="004D0426"/>
    <w:rsid w:val="004D08AF"/>
    <w:rsid w:val="004D14C8"/>
    <w:rsid w:val="004D2157"/>
    <w:rsid w:val="004D26A1"/>
    <w:rsid w:val="004D2C20"/>
    <w:rsid w:val="004D2C25"/>
    <w:rsid w:val="004D303F"/>
    <w:rsid w:val="004D550F"/>
    <w:rsid w:val="004D57EF"/>
    <w:rsid w:val="004D5AE0"/>
    <w:rsid w:val="004D647F"/>
    <w:rsid w:val="004D6CA8"/>
    <w:rsid w:val="004D712B"/>
    <w:rsid w:val="004D7516"/>
    <w:rsid w:val="004E072C"/>
    <w:rsid w:val="004E0AE2"/>
    <w:rsid w:val="004E12CD"/>
    <w:rsid w:val="004E1468"/>
    <w:rsid w:val="004E1725"/>
    <w:rsid w:val="004E194F"/>
    <w:rsid w:val="004E2B16"/>
    <w:rsid w:val="004E3232"/>
    <w:rsid w:val="004E3CFD"/>
    <w:rsid w:val="004E3FD3"/>
    <w:rsid w:val="004E468E"/>
    <w:rsid w:val="004E4EDF"/>
    <w:rsid w:val="004E5156"/>
    <w:rsid w:val="004E5BF7"/>
    <w:rsid w:val="004E5CBB"/>
    <w:rsid w:val="004E66C0"/>
    <w:rsid w:val="004E6B5D"/>
    <w:rsid w:val="004E6C66"/>
    <w:rsid w:val="004E78BE"/>
    <w:rsid w:val="004F09B6"/>
    <w:rsid w:val="004F0A37"/>
    <w:rsid w:val="004F0AC1"/>
    <w:rsid w:val="004F0BCB"/>
    <w:rsid w:val="004F0FA0"/>
    <w:rsid w:val="004F16CB"/>
    <w:rsid w:val="004F38DC"/>
    <w:rsid w:val="004F3D81"/>
    <w:rsid w:val="004F3F9D"/>
    <w:rsid w:val="004F4872"/>
    <w:rsid w:val="004F60E6"/>
    <w:rsid w:val="004F7672"/>
    <w:rsid w:val="004F7843"/>
    <w:rsid w:val="005007CD"/>
    <w:rsid w:val="005008B2"/>
    <w:rsid w:val="00500F27"/>
    <w:rsid w:val="005010C7"/>
    <w:rsid w:val="00501BC3"/>
    <w:rsid w:val="00501CD5"/>
    <w:rsid w:val="00502BDF"/>
    <w:rsid w:val="00503094"/>
    <w:rsid w:val="00503941"/>
    <w:rsid w:val="00503CC6"/>
    <w:rsid w:val="005043C2"/>
    <w:rsid w:val="0050473A"/>
    <w:rsid w:val="00506828"/>
    <w:rsid w:val="00506AEB"/>
    <w:rsid w:val="00510567"/>
    <w:rsid w:val="005108FF"/>
    <w:rsid w:val="00510FD8"/>
    <w:rsid w:val="00511327"/>
    <w:rsid w:val="00511D2C"/>
    <w:rsid w:val="005126A9"/>
    <w:rsid w:val="00512BAE"/>
    <w:rsid w:val="00512C1B"/>
    <w:rsid w:val="00512D10"/>
    <w:rsid w:val="00513B28"/>
    <w:rsid w:val="00514950"/>
    <w:rsid w:val="00514C62"/>
    <w:rsid w:val="00514CD4"/>
    <w:rsid w:val="005159AB"/>
    <w:rsid w:val="00515D81"/>
    <w:rsid w:val="005166E3"/>
    <w:rsid w:val="0051761E"/>
    <w:rsid w:val="00517C55"/>
    <w:rsid w:val="005200FD"/>
    <w:rsid w:val="005202B1"/>
    <w:rsid w:val="00520372"/>
    <w:rsid w:val="00520703"/>
    <w:rsid w:val="005208C0"/>
    <w:rsid w:val="00520EE1"/>
    <w:rsid w:val="00520F9F"/>
    <w:rsid w:val="00521406"/>
    <w:rsid w:val="00521A9C"/>
    <w:rsid w:val="00521B4E"/>
    <w:rsid w:val="00522D2F"/>
    <w:rsid w:val="00522DC2"/>
    <w:rsid w:val="0052316D"/>
    <w:rsid w:val="00524273"/>
    <w:rsid w:val="0052433E"/>
    <w:rsid w:val="00524C09"/>
    <w:rsid w:val="00524E59"/>
    <w:rsid w:val="00524F1A"/>
    <w:rsid w:val="0052527F"/>
    <w:rsid w:val="00525359"/>
    <w:rsid w:val="00526920"/>
    <w:rsid w:val="00526ADC"/>
    <w:rsid w:val="0052707B"/>
    <w:rsid w:val="00530AC9"/>
    <w:rsid w:val="00530DA1"/>
    <w:rsid w:val="00531AF1"/>
    <w:rsid w:val="00531B6B"/>
    <w:rsid w:val="00531E76"/>
    <w:rsid w:val="005329DD"/>
    <w:rsid w:val="00532CBB"/>
    <w:rsid w:val="0053327F"/>
    <w:rsid w:val="005347C3"/>
    <w:rsid w:val="0053592E"/>
    <w:rsid w:val="00536383"/>
    <w:rsid w:val="0053665C"/>
    <w:rsid w:val="005409D7"/>
    <w:rsid w:val="00540CED"/>
    <w:rsid w:val="005411D5"/>
    <w:rsid w:val="00541C7B"/>
    <w:rsid w:val="005426EE"/>
    <w:rsid w:val="005429DD"/>
    <w:rsid w:val="00542E8A"/>
    <w:rsid w:val="005433D0"/>
    <w:rsid w:val="00543598"/>
    <w:rsid w:val="00543794"/>
    <w:rsid w:val="00543A05"/>
    <w:rsid w:val="00543AB0"/>
    <w:rsid w:val="00543E85"/>
    <w:rsid w:val="0054420A"/>
    <w:rsid w:val="00544F32"/>
    <w:rsid w:val="00547086"/>
    <w:rsid w:val="00547ED7"/>
    <w:rsid w:val="005500CF"/>
    <w:rsid w:val="005504AC"/>
    <w:rsid w:val="005505D6"/>
    <w:rsid w:val="0055082E"/>
    <w:rsid w:val="00551D90"/>
    <w:rsid w:val="0055290D"/>
    <w:rsid w:val="0055384E"/>
    <w:rsid w:val="00553EA4"/>
    <w:rsid w:val="00554FF1"/>
    <w:rsid w:val="005554B7"/>
    <w:rsid w:val="005559DB"/>
    <w:rsid w:val="005569CA"/>
    <w:rsid w:val="00556B71"/>
    <w:rsid w:val="00557CE1"/>
    <w:rsid w:val="0056006E"/>
    <w:rsid w:val="00560FC1"/>
    <w:rsid w:val="0056134F"/>
    <w:rsid w:val="0056204F"/>
    <w:rsid w:val="005622B4"/>
    <w:rsid w:val="0056290E"/>
    <w:rsid w:val="00562979"/>
    <w:rsid w:val="00563F65"/>
    <w:rsid w:val="00563F75"/>
    <w:rsid w:val="005648C0"/>
    <w:rsid w:val="00564F5D"/>
    <w:rsid w:val="0056537E"/>
    <w:rsid w:val="00565AB5"/>
    <w:rsid w:val="00565F90"/>
    <w:rsid w:val="00567708"/>
    <w:rsid w:val="00567D1C"/>
    <w:rsid w:val="00570143"/>
    <w:rsid w:val="005701B0"/>
    <w:rsid w:val="00570DAD"/>
    <w:rsid w:val="00571D5B"/>
    <w:rsid w:val="00572DF8"/>
    <w:rsid w:val="00573B7B"/>
    <w:rsid w:val="0057412C"/>
    <w:rsid w:val="00574B1E"/>
    <w:rsid w:val="0057564B"/>
    <w:rsid w:val="00575B99"/>
    <w:rsid w:val="00575DA2"/>
    <w:rsid w:val="00576049"/>
    <w:rsid w:val="0057696A"/>
    <w:rsid w:val="00576A82"/>
    <w:rsid w:val="00576BA8"/>
    <w:rsid w:val="00576CE4"/>
    <w:rsid w:val="00577972"/>
    <w:rsid w:val="00577A8C"/>
    <w:rsid w:val="005800B3"/>
    <w:rsid w:val="005806CC"/>
    <w:rsid w:val="005813D8"/>
    <w:rsid w:val="005814B3"/>
    <w:rsid w:val="005818E0"/>
    <w:rsid w:val="005818F6"/>
    <w:rsid w:val="005833FB"/>
    <w:rsid w:val="00583AE1"/>
    <w:rsid w:val="00583E9B"/>
    <w:rsid w:val="00584025"/>
    <w:rsid w:val="00584816"/>
    <w:rsid w:val="00584E3D"/>
    <w:rsid w:val="00585561"/>
    <w:rsid w:val="005855CD"/>
    <w:rsid w:val="00591BD0"/>
    <w:rsid w:val="0059216D"/>
    <w:rsid w:val="005923F7"/>
    <w:rsid w:val="0059257B"/>
    <w:rsid w:val="00593BA7"/>
    <w:rsid w:val="00593C4A"/>
    <w:rsid w:val="00594130"/>
    <w:rsid w:val="00594823"/>
    <w:rsid w:val="005970F6"/>
    <w:rsid w:val="0059743E"/>
    <w:rsid w:val="005A0001"/>
    <w:rsid w:val="005A037D"/>
    <w:rsid w:val="005A068E"/>
    <w:rsid w:val="005A08FD"/>
    <w:rsid w:val="005A160B"/>
    <w:rsid w:val="005A1B76"/>
    <w:rsid w:val="005A1C10"/>
    <w:rsid w:val="005A248E"/>
    <w:rsid w:val="005A28F2"/>
    <w:rsid w:val="005A34D5"/>
    <w:rsid w:val="005A3671"/>
    <w:rsid w:val="005A3E63"/>
    <w:rsid w:val="005A3F88"/>
    <w:rsid w:val="005A41E9"/>
    <w:rsid w:val="005A4E0B"/>
    <w:rsid w:val="005A51ED"/>
    <w:rsid w:val="005A5974"/>
    <w:rsid w:val="005A7117"/>
    <w:rsid w:val="005A71E0"/>
    <w:rsid w:val="005B0269"/>
    <w:rsid w:val="005B03E0"/>
    <w:rsid w:val="005B075D"/>
    <w:rsid w:val="005B07F6"/>
    <w:rsid w:val="005B09D1"/>
    <w:rsid w:val="005B0B5E"/>
    <w:rsid w:val="005B0B94"/>
    <w:rsid w:val="005B1165"/>
    <w:rsid w:val="005B14A6"/>
    <w:rsid w:val="005B170A"/>
    <w:rsid w:val="005B1750"/>
    <w:rsid w:val="005B1DBA"/>
    <w:rsid w:val="005B26A0"/>
    <w:rsid w:val="005B2D73"/>
    <w:rsid w:val="005B32F3"/>
    <w:rsid w:val="005B34D5"/>
    <w:rsid w:val="005B3791"/>
    <w:rsid w:val="005B39B8"/>
    <w:rsid w:val="005B447B"/>
    <w:rsid w:val="005B55D3"/>
    <w:rsid w:val="005B6252"/>
    <w:rsid w:val="005B726D"/>
    <w:rsid w:val="005B72ED"/>
    <w:rsid w:val="005B750E"/>
    <w:rsid w:val="005B7849"/>
    <w:rsid w:val="005C0CA6"/>
    <w:rsid w:val="005C0D02"/>
    <w:rsid w:val="005C1272"/>
    <w:rsid w:val="005C1A36"/>
    <w:rsid w:val="005C2239"/>
    <w:rsid w:val="005C2879"/>
    <w:rsid w:val="005C3C40"/>
    <w:rsid w:val="005C4498"/>
    <w:rsid w:val="005C478B"/>
    <w:rsid w:val="005C4973"/>
    <w:rsid w:val="005C5283"/>
    <w:rsid w:val="005C6AA2"/>
    <w:rsid w:val="005C780A"/>
    <w:rsid w:val="005C79FC"/>
    <w:rsid w:val="005D1023"/>
    <w:rsid w:val="005D1473"/>
    <w:rsid w:val="005D1E8C"/>
    <w:rsid w:val="005D2499"/>
    <w:rsid w:val="005D278F"/>
    <w:rsid w:val="005D2E53"/>
    <w:rsid w:val="005D3B15"/>
    <w:rsid w:val="005D3F9F"/>
    <w:rsid w:val="005D5038"/>
    <w:rsid w:val="005D5049"/>
    <w:rsid w:val="005D686D"/>
    <w:rsid w:val="005D688A"/>
    <w:rsid w:val="005E04C5"/>
    <w:rsid w:val="005E1AEF"/>
    <w:rsid w:val="005E28C3"/>
    <w:rsid w:val="005E38AC"/>
    <w:rsid w:val="005E38FF"/>
    <w:rsid w:val="005E39C5"/>
    <w:rsid w:val="005E47A7"/>
    <w:rsid w:val="005E47E2"/>
    <w:rsid w:val="005E480A"/>
    <w:rsid w:val="005E4F7B"/>
    <w:rsid w:val="005E546F"/>
    <w:rsid w:val="005E56A7"/>
    <w:rsid w:val="005E56C1"/>
    <w:rsid w:val="005E7205"/>
    <w:rsid w:val="005E7CDD"/>
    <w:rsid w:val="005F00E9"/>
    <w:rsid w:val="005F0291"/>
    <w:rsid w:val="005F042A"/>
    <w:rsid w:val="005F13E6"/>
    <w:rsid w:val="005F15CF"/>
    <w:rsid w:val="005F38CD"/>
    <w:rsid w:val="005F42D6"/>
    <w:rsid w:val="005F4C44"/>
    <w:rsid w:val="005F4FD1"/>
    <w:rsid w:val="005F528C"/>
    <w:rsid w:val="005F5E4A"/>
    <w:rsid w:val="005F6051"/>
    <w:rsid w:val="005F6B03"/>
    <w:rsid w:val="005F7106"/>
    <w:rsid w:val="005F7887"/>
    <w:rsid w:val="005F7ACF"/>
    <w:rsid w:val="005F7D1F"/>
    <w:rsid w:val="00601117"/>
    <w:rsid w:val="0060115E"/>
    <w:rsid w:val="006013D5"/>
    <w:rsid w:val="00601592"/>
    <w:rsid w:val="00601BCC"/>
    <w:rsid w:val="00601C31"/>
    <w:rsid w:val="00601DFA"/>
    <w:rsid w:val="00603D84"/>
    <w:rsid w:val="0060487F"/>
    <w:rsid w:val="00604CA2"/>
    <w:rsid w:val="00605301"/>
    <w:rsid w:val="006054EF"/>
    <w:rsid w:val="00605903"/>
    <w:rsid w:val="00605ACF"/>
    <w:rsid w:val="00606A23"/>
    <w:rsid w:val="00607E30"/>
    <w:rsid w:val="00607EBA"/>
    <w:rsid w:val="00612502"/>
    <w:rsid w:val="00612ECF"/>
    <w:rsid w:val="006130CB"/>
    <w:rsid w:val="006131C8"/>
    <w:rsid w:val="0061333E"/>
    <w:rsid w:val="006139FB"/>
    <w:rsid w:val="00613D97"/>
    <w:rsid w:val="0061433F"/>
    <w:rsid w:val="00614388"/>
    <w:rsid w:val="00614E0E"/>
    <w:rsid w:val="00615292"/>
    <w:rsid w:val="0061642B"/>
    <w:rsid w:val="006164AA"/>
    <w:rsid w:val="00616D40"/>
    <w:rsid w:val="00620539"/>
    <w:rsid w:val="00621B72"/>
    <w:rsid w:val="0062290B"/>
    <w:rsid w:val="00622CC9"/>
    <w:rsid w:val="006234CB"/>
    <w:rsid w:val="00623945"/>
    <w:rsid w:val="00623AA9"/>
    <w:rsid w:val="0062482C"/>
    <w:rsid w:val="00624AD8"/>
    <w:rsid w:val="006276B6"/>
    <w:rsid w:val="00630863"/>
    <w:rsid w:val="00630D76"/>
    <w:rsid w:val="00630E15"/>
    <w:rsid w:val="00631A7B"/>
    <w:rsid w:val="00631E55"/>
    <w:rsid w:val="00631FED"/>
    <w:rsid w:val="00632D71"/>
    <w:rsid w:val="006334DC"/>
    <w:rsid w:val="006347D7"/>
    <w:rsid w:val="00634E06"/>
    <w:rsid w:val="00634FE6"/>
    <w:rsid w:val="0063566B"/>
    <w:rsid w:val="00635AD4"/>
    <w:rsid w:val="00635D0E"/>
    <w:rsid w:val="00636830"/>
    <w:rsid w:val="00637529"/>
    <w:rsid w:val="00640267"/>
    <w:rsid w:val="006409F5"/>
    <w:rsid w:val="00640BF3"/>
    <w:rsid w:val="0064173B"/>
    <w:rsid w:val="00641D34"/>
    <w:rsid w:val="006423E6"/>
    <w:rsid w:val="006430C9"/>
    <w:rsid w:val="00643630"/>
    <w:rsid w:val="00643E19"/>
    <w:rsid w:val="00643E81"/>
    <w:rsid w:val="006443F1"/>
    <w:rsid w:val="0064470F"/>
    <w:rsid w:val="00644F0F"/>
    <w:rsid w:val="00645531"/>
    <w:rsid w:val="00645D02"/>
    <w:rsid w:val="006463FA"/>
    <w:rsid w:val="00646675"/>
    <w:rsid w:val="00647B2E"/>
    <w:rsid w:val="00647C34"/>
    <w:rsid w:val="00647FDA"/>
    <w:rsid w:val="00647FDC"/>
    <w:rsid w:val="00647FF6"/>
    <w:rsid w:val="006506AB"/>
    <w:rsid w:val="00650D4A"/>
    <w:rsid w:val="006512AA"/>
    <w:rsid w:val="00651819"/>
    <w:rsid w:val="00651D3F"/>
    <w:rsid w:val="00651D98"/>
    <w:rsid w:val="006524A2"/>
    <w:rsid w:val="00652799"/>
    <w:rsid w:val="00654E2A"/>
    <w:rsid w:val="00655564"/>
    <w:rsid w:val="00657127"/>
    <w:rsid w:val="0065713A"/>
    <w:rsid w:val="00657863"/>
    <w:rsid w:val="0066037C"/>
    <w:rsid w:val="00660517"/>
    <w:rsid w:val="00661AEA"/>
    <w:rsid w:val="00663318"/>
    <w:rsid w:val="00663769"/>
    <w:rsid w:val="00664051"/>
    <w:rsid w:val="00664839"/>
    <w:rsid w:val="00664912"/>
    <w:rsid w:val="00664CF2"/>
    <w:rsid w:val="00665420"/>
    <w:rsid w:val="00665E7D"/>
    <w:rsid w:val="00667333"/>
    <w:rsid w:val="00667743"/>
    <w:rsid w:val="006702CE"/>
    <w:rsid w:val="00670844"/>
    <w:rsid w:val="00670C12"/>
    <w:rsid w:val="00670E34"/>
    <w:rsid w:val="00671356"/>
    <w:rsid w:val="00671492"/>
    <w:rsid w:val="00672CD3"/>
    <w:rsid w:val="00672FDA"/>
    <w:rsid w:val="006739AC"/>
    <w:rsid w:val="006739B5"/>
    <w:rsid w:val="00673BE5"/>
    <w:rsid w:val="00674F64"/>
    <w:rsid w:val="00674FBE"/>
    <w:rsid w:val="00675616"/>
    <w:rsid w:val="006800C6"/>
    <w:rsid w:val="00680783"/>
    <w:rsid w:val="00680903"/>
    <w:rsid w:val="00680CA0"/>
    <w:rsid w:val="00681417"/>
    <w:rsid w:val="006820A8"/>
    <w:rsid w:val="0068285B"/>
    <w:rsid w:val="00682875"/>
    <w:rsid w:val="00682F66"/>
    <w:rsid w:val="00682FCB"/>
    <w:rsid w:val="00683163"/>
    <w:rsid w:val="0068327D"/>
    <w:rsid w:val="00683FBA"/>
    <w:rsid w:val="00684564"/>
    <w:rsid w:val="00684675"/>
    <w:rsid w:val="00685321"/>
    <w:rsid w:val="006857AA"/>
    <w:rsid w:val="00685A21"/>
    <w:rsid w:val="0068615D"/>
    <w:rsid w:val="006869A6"/>
    <w:rsid w:val="00686C56"/>
    <w:rsid w:val="00686E3A"/>
    <w:rsid w:val="00687946"/>
    <w:rsid w:val="00690CA3"/>
    <w:rsid w:val="00692FED"/>
    <w:rsid w:val="006948E6"/>
    <w:rsid w:val="00694AE6"/>
    <w:rsid w:val="00694E58"/>
    <w:rsid w:val="00694EB6"/>
    <w:rsid w:val="00695AD0"/>
    <w:rsid w:val="006961C2"/>
    <w:rsid w:val="006968CB"/>
    <w:rsid w:val="00696A87"/>
    <w:rsid w:val="00696FBF"/>
    <w:rsid w:val="00697005"/>
    <w:rsid w:val="00697773"/>
    <w:rsid w:val="00697B0B"/>
    <w:rsid w:val="006A196D"/>
    <w:rsid w:val="006A1EED"/>
    <w:rsid w:val="006A2DD6"/>
    <w:rsid w:val="006A4539"/>
    <w:rsid w:val="006A47EC"/>
    <w:rsid w:val="006A5126"/>
    <w:rsid w:val="006A5FB1"/>
    <w:rsid w:val="006B0399"/>
    <w:rsid w:val="006B0514"/>
    <w:rsid w:val="006B105F"/>
    <w:rsid w:val="006B1632"/>
    <w:rsid w:val="006B1A04"/>
    <w:rsid w:val="006B3023"/>
    <w:rsid w:val="006B3716"/>
    <w:rsid w:val="006B3B5F"/>
    <w:rsid w:val="006B3D04"/>
    <w:rsid w:val="006B3D74"/>
    <w:rsid w:val="006B4300"/>
    <w:rsid w:val="006B467A"/>
    <w:rsid w:val="006B4820"/>
    <w:rsid w:val="006B5041"/>
    <w:rsid w:val="006B51E9"/>
    <w:rsid w:val="006B565C"/>
    <w:rsid w:val="006B5C8A"/>
    <w:rsid w:val="006B6544"/>
    <w:rsid w:val="006B6A7B"/>
    <w:rsid w:val="006B7349"/>
    <w:rsid w:val="006C016A"/>
    <w:rsid w:val="006C01A4"/>
    <w:rsid w:val="006C0216"/>
    <w:rsid w:val="006C11EA"/>
    <w:rsid w:val="006C123D"/>
    <w:rsid w:val="006C1399"/>
    <w:rsid w:val="006C1AC6"/>
    <w:rsid w:val="006C22B8"/>
    <w:rsid w:val="006C252D"/>
    <w:rsid w:val="006C2D1D"/>
    <w:rsid w:val="006C331C"/>
    <w:rsid w:val="006C34EE"/>
    <w:rsid w:val="006C47F4"/>
    <w:rsid w:val="006C4F19"/>
    <w:rsid w:val="006C5A6D"/>
    <w:rsid w:val="006C63E3"/>
    <w:rsid w:val="006C68F0"/>
    <w:rsid w:val="006D08D5"/>
    <w:rsid w:val="006D09DF"/>
    <w:rsid w:val="006D1053"/>
    <w:rsid w:val="006D1AC2"/>
    <w:rsid w:val="006D1C47"/>
    <w:rsid w:val="006D1EBA"/>
    <w:rsid w:val="006D2308"/>
    <w:rsid w:val="006D2337"/>
    <w:rsid w:val="006D23C7"/>
    <w:rsid w:val="006D240B"/>
    <w:rsid w:val="006D2AE8"/>
    <w:rsid w:val="006D3B39"/>
    <w:rsid w:val="006D40BA"/>
    <w:rsid w:val="006D5AB1"/>
    <w:rsid w:val="006D6461"/>
    <w:rsid w:val="006D759C"/>
    <w:rsid w:val="006D7B19"/>
    <w:rsid w:val="006E00C8"/>
    <w:rsid w:val="006E0C9D"/>
    <w:rsid w:val="006E0FDB"/>
    <w:rsid w:val="006E2BC8"/>
    <w:rsid w:val="006E3176"/>
    <w:rsid w:val="006E350B"/>
    <w:rsid w:val="006E36DC"/>
    <w:rsid w:val="006E4889"/>
    <w:rsid w:val="006E5973"/>
    <w:rsid w:val="006E6A8F"/>
    <w:rsid w:val="006E6B1D"/>
    <w:rsid w:val="006E6D62"/>
    <w:rsid w:val="006E7545"/>
    <w:rsid w:val="006E78B3"/>
    <w:rsid w:val="006E7ADE"/>
    <w:rsid w:val="006E7CF4"/>
    <w:rsid w:val="006F01BB"/>
    <w:rsid w:val="006F02A7"/>
    <w:rsid w:val="006F11A2"/>
    <w:rsid w:val="006F1485"/>
    <w:rsid w:val="006F1702"/>
    <w:rsid w:val="006F2447"/>
    <w:rsid w:val="006F2CE3"/>
    <w:rsid w:val="006F2DF8"/>
    <w:rsid w:val="006F386D"/>
    <w:rsid w:val="006F4542"/>
    <w:rsid w:val="006F45C5"/>
    <w:rsid w:val="006F59B9"/>
    <w:rsid w:val="006F59F2"/>
    <w:rsid w:val="006F5A8C"/>
    <w:rsid w:val="006F5E6F"/>
    <w:rsid w:val="006F6477"/>
    <w:rsid w:val="006F6E84"/>
    <w:rsid w:val="006F7F42"/>
    <w:rsid w:val="0070013F"/>
    <w:rsid w:val="00700242"/>
    <w:rsid w:val="0070037B"/>
    <w:rsid w:val="0070051E"/>
    <w:rsid w:val="007009E9"/>
    <w:rsid w:val="007010E0"/>
    <w:rsid w:val="007016BC"/>
    <w:rsid w:val="007021CF"/>
    <w:rsid w:val="00702D15"/>
    <w:rsid w:val="00703D23"/>
    <w:rsid w:val="00704575"/>
    <w:rsid w:val="00704C91"/>
    <w:rsid w:val="00704D43"/>
    <w:rsid w:val="00705577"/>
    <w:rsid w:val="00705923"/>
    <w:rsid w:val="00707BE5"/>
    <w:rsid w:val="00707E61"/>
    <w:rsid w:val="00710ADB"/>
    <w:rsid w:val="00711166"/>
    <w:rsid w:val="00711221"/>
    <w:rsid w:val="0071198E"/>
    <w:rsid w:val="007120E1"/>
    <w:rsid w:val="00712251"/>
    <w:rsid w:val="007124C3"/>
    <w:rsid w:val="00713E93"/>
    <w:rsid w:val="00714851"/>
    <w:rsid w:val="00714B51"/>
    <w:rsid w:val="00714CCB"/>
    <w:rsid w:val="00714D28"/>
    <w:rsid w:val="00720C97"/>
    <w:rsid w:val="00721230"/>
    <w:rsid w:val="007213F7"/>
    <w:rsid w:val="00721D2B"/>
    <w:rsid w:val="00721EBD"/>
    <w:rsid w:val="007224AA"/>
    <w:rsid w:val="00722684"/>
    <w:rsid w:val="007227A4"/>
    <w:rsid w:val="00723559"/>
    <w:rsid w:val="00723DB3"/>
    <w:rsid w:val="0072457B"/>
    <w:rsid w:val="00724F69"/>
    <w:rsid w:val="0072575C"/>
    <w:rsid w:val="00725792"/>
    <w:rsid w:val="007266B2"/>
    <w:rsid w:val="00726E38"/>
    <w:rsid w:val="00726E8F"/>
    <w:rsid w:val="00727D87"/>
    <w:rsid w:val="007300A3"/>
    <w:rsid w:val="007300E1"/>
    <w:rsid w:val="007302A6"/>
    <w:rsid w:val="00730560"/>
    <w:rsid w:val="00730C47"/>
    <w:rsid w:val="00730C88"/>
    <w:rsid w:val="007316A9"/>
    <w:rsid w:val="00731982"/>
    <w:rsid w:val="00732564"/>
    <w:rsid w:val="00732A35"/>
    <w:rsid w:val="00732A76"/>
    <w:rsid w:val="0073356F"/>
    <w:rsid w:val="00733A65"/>
    <w:rsid w:val="00733BD9"/>
    <w:rsid w:val="00734649"/>
    <w:rsid w:val="00734842"/>
    <w:rsid w:val="00735D08"/>
    <w:rsid w:val="00735F05"/>
    <w:rsid w:val="00736957"/>
    <w:rsid w:val="0073750A"/>
    <w:rsid w:val="00737CE1"/>
    <w:rsid w:val="00737DC0"/>
    <w:rsid w:val="00740E66"/>
    <w:rsid w:val="00741845"/>
    <w:rsid w:val="0074186D"/>
    <w:rsid w:val="007418D5"/>
    <w:rsid w:val="00742E87"/>
    <w:rsid w:val="00743470"/>
    <w:rsid w:val="00743F67"/>
    <w:rsid w:val="00744397"/>
    <w:rsid w:val="007448F8"/>
    <w:rsid w:val="00744C32"/>
    <w:rsid w:val="007455F4"/>
    <w:rsid w:val="00745A88"/>
    <w:rsid w:val="00745E49"/>
    <w:rsid w:val="00746E7F"/>
    <w:rsid w:val="00750103"/>
    <w:rsid w:val="007511A4"/>
    <w:rsid w:val="007511BD"/>
    <w:rsid w:val="007512A7"/>
    <w:rsid w:val="007515E7"/>
    <w:rsid w:val="00751BEF"/>
    <w:rsid w:val="00752246"/>
    <w:rsid w:val="00752CB2"/>
    <w:rsid w:val="0075305A"/>
    <w:rsid w:val="00753327"/>
    <w:rsid w:val="00753485"/>
    <w:rsid w:val="00753900"/>
    <w:rsid w:val="00753C06"/>
    <w:rsid w:val="00753FE4"/>
    <w:rsid w:val="007540F5"/>
    <w:rsid w:val="00755C0B"/>
    <w:rsid w:val="00756810"/>
    <w:rsid w:val="0075743F"/>
    <w:rsid w:val="00757B2A"/>
    <w:rsid w:val="007600E3"/>
    <w:rsid w:val="007604C7"/>
    <w:rsid w:val="00760A92"/>
    <w:rsid w:val="0076106F"/>
    <w:rsid w:val="00762E89"/>
    <w:rsid w:val="00763163"/>
    <w:rsid w:val="00763281"/>
    <w:rsid w:val="00763A60"/>
    <w:rsid w:val="00763BEF"/>
    <w:rsid w:val="00764264"/>
    <w:rsid w:val="00764C77"/>
    <w:rsid w:val="00765353"/>
    <w:rsid w:val="007658F8"/>
    <w:rsid w:val="00765F16"/>
    <w:rsid w:val="0076758A"/>
    <w:rsid w:val="0077212B"/>
    <w:rsid w:val="007722CD"/>
    <w:rsid w:val="00773177"/>
    <w:rsid w:val="007736F7"/>
    <w:rsid w:val="00774670"/>
    <w:rsid w:val="00774DD6"/>
    <w:rsid w:val="00774EF8"/>
    <w:rsid w:val="007756A0"/>
    <w:rsid w:val="00775C70"/>
    <w:rsid w:val="00777AB5"/>
    <w:rsid w:val="00780B86"/>
    <w:rsid w:val="00780C04"/>
    <w:rsid w:val="00780E32"/>
    <w:rsid w:val="007817D5"/>
    <w:rsid w:val="007818ED"/>
    <w:rsid w:val="00781D52"/>
    <w:rsid w:val="0078215D"/>
    <w:rsid w:val="007848B3"/>
    <w:rsid w:val="00784D2D"/>
    <w:rsid w:val="00785083"/>
    <w:rsid w:val="00785162"/>
    <w:rsid w:val="007853A1"/>
    <w:rsid w:val="00785557"/>
    <w:rsid w:val="0078602B"/>
    <w:rsid w:val="00786638"/>
    <w:rsid w:val="00787371"/>
    <w:rsid w:val="00787DBF"/>
    <w:rsid w:val="00791392"/>
    <w:rsid w:val="007916FE"/>
    <w:rsid w:val="00791D29"/>
    <w:rsid w:val="00792F8F"/>
    <w:rsid w:val="007935A6"/>
    <w:rsid w:val="0079387B"/>
    <w:rsid w:val="007943ED"/>
    <w:rsid w:val="00795299"/>
    <w:rsid w:val="00795434"/>
    <w:rsid w:val="00795FDB"/>
    <w:rsid w:val="0079632E"/>
    <w:rsid w:val="00796475"/>
    <w:rsid w:val="007967F8"/>
    <w:rsid w:val="00796811"/>
    <w:rsid w:val="00796B11"/>
    <w:rsid w:val="007A1DC4"/>
    <w:rsid w:val="007A2294"/>
    <w:rsid w:val="007A2ABC"/>
    <w:rsid w:val="007A2E21"/>
    <w:rsid w:val="007A38F6"/>
    <w:rsid w:val="007A3B8C"/>
    <w:rsid w:val="007A3C48"/>
    <w:rsid w:val="007A3E67"/>
    <w:rsid w:val="007A3FF4"/>
    <w:rsid w:val="007A468B"/>
    <w:rsid w:val="007A6429"/>
    <w:rsid w:val="007A6D31"/>
    <w:rsid w:val="007A7BA5"/>
    <w:rsid w:val="007B0670"/>
    <w:rsid w:val="007B0B35"/>
    <w:rsid w:val="007B0BAE"/>
    <w:rsid w:val="007B0F05"/>
    <w:rsid w:val="007B1C19"/>
    <w:rsid w:val="007B2725"/>
    <w:rsid w:val="007B2A20"/>
    <w:rsid w:val="007B2C33"/>
    <w:rsid w:val="007B2E61"/>
    <w:rsid w:val="007B44DD"/>
    <w:rsid w:val="007B4613"/>
    <w:rsid w:val="007B52CC"/>
    <w:rsid w:val="007B652D"/>
    <w:rsid w:val="007B719A"/>
    <w:rsid w:val="007B7507"/>
    <w:rsid w:val="007B797D"/>
    <w:rsid w:val="007B7DD3"/>
    <w:rsid w:val="007B7FB4"/>
    <w:rsid w:val="007C0B47"/>
    <w:rsid w:val="007C0F92"/>
    <w:rsid w:val="007C2E07"/>
    <w:rsid w:val="007C3883"/>
    <w:rsid w:val="007C3AE8"/>
    <w:rsid w:val="007C42D1"/>
    <w:rsid w:val="007C5651"/>
    <w:rsid w:val="007C6B9A"/>
    <w:rsid w:val="007C716B"/>
    <w:rsid w:val="007C764F"/>
    <w:rsid w:val="007C7B50"/>
    <w:rsid w:val="007D039D"/>
    <w:rsid w:val="007D0F7E"/>
    <w:rsid w:val="007D1103"/>
    <w:rsid w:val="007D1241"/>
    <w:rsid w:val="007D1C33"/>
    <w:rsid w:val="007D1EB1"/>
    <w:rsid w:val="007D2F20"/>
    <w:rsid w:val="007D3B41"/>
    <w:rsid w:val="007D4719"/>
    <w:rsid w:val="007D48FE"/>
    <w:rsid w:val="007D5737"/>
    <w:rsid w:val="007D6A54"/>
    <w:rsid w:val="007D7433"/>
    <w:rsid w:val="007E0757"/>
    <w:rsid w:val="007E12BA"/>
    <w:rsid w:val="007E15A8"/>
    <w:rsid w:val="007E1861"/>
    <w:rsid w:val="007E197A"/>
    <w:rsid w:val="007E1C25"/>
    <w:rsid w:val="007E25D4"/>
    <w:rsid w:val="007E2695"/>
    <w:rsid w:val="007E3E2F"/>
    <w:rsid w:val="007E4018"/>
    <w:rsid w:val="007E4056"/>
    <w:rsid w:val="007E45B5"/>
    <w:rsid w:val="007E4998"/>
    <w:rsid w:val="007E54C4"/>
    <w:rsid w:val="007E5C46"/>
    <w:rsid w:val="007E5D92"/>
    <w:rsid w:val="007E6876"/>
    <w:rsid w:val="007E6BC8"/>
    <w:rsid w:val="007E7153"/>
    <w:rsid w:val="007E7BC4"/>
    <w:rsid w:val="007E7CDE"/>
    <w:rsid w:val="007F001C"/>
    <w:rsid w:val="007F0249"/>
    <w:rsid w:val="007F02D2"/>
    <w:rsid w:val="007F0780"/>
    <w:rsid w:val="007F1788"/>
    <w:rsid w:val="007F18AD"/>
    <w:rsid w:val="007F1F17"/>
    <w:rsid w:val="007F1FCB"/>
    <w:rsid w:val="007F24FE"/>
    <w:rsid w:val="007F26B1"/>
    <w:rsid w:val="007F26BC"/>
    <w:rsid w:val="007F27FE"/>
    <w:rsid w:val="007F3C6C"/>
    <w:rsid w:val="007F3E40"/>
    <w:rsid w:val="007F4676"/>
    <w:rsid w:val="007F47A6"/>
    <w:rsid w:val="007F4C3F"/>
    <w:rsid w:val="007F4E0F"/>
    <w:rsid w:val="007F5072"/>
    <w:rsid w:val="007F70A2"/>
    <w:rsid w:val="007F789D"/>
    <w:rsid w:val="007F791E"/>
    <w:rsid w:val="007F7EFF"/>
    <w:rsid w:val="00800291"/>
    <w:rsid w:val="00800451"/>
    <w:rsid w:val="008009EF"/>
    <w:rsid w:val="008015C2"/>
    <w:rsid w:val="008021E9"/>
    <w:rsid w:val="00803062"/>
    <w:rsid w:val="00803E1E"/>
    <w:rsid w:val="00804627"/>
    <w:rsid w:val="00806458"/>
    <w:rsid w:val="00806498"/>
    <w:rsid w:val="008105A8"/>
    <w:rsid w:val="00810991"/>
    <w:rsid w:val="008117A4"/>
    <w:rsid w:val="00812C6C"/>
    <w:rsid w:val="00813062"/>
    <w:rsid w:val="00815450"/>
    <w:rsid w:val="00816FE6"/>
    <w:rsid w:val="008175F4"/>
    <w:rsid w:val="00817CF4"/>
    <w:rsid w:val="0082051D"/>
    <w:rsid w:val="00820B2B"/>
    <w:rsid w:val="00820BBC"/>
    <w:rsid w:val="00821614"/>
    <w:rsid w:val="008221B1"/>
    <w:rsid w:val="00822277"/>
    <w:rsid w:val="00822400"/>
    <w:rsid w:val="008224A8"/>
    <w:rsid w:val="0082258B"/>
    <w:rsid w:val="00822B31"/>
    <w:rsid w:val="008238A6"/>
    <w:rsid w:val="00823A63"/>
    <w:rsid w:val="00823E13"/>
    <w:rsid w:val="00824673"/>
    <w:rsid w:val="0082490B"/>
    <w:rsid w:val="00824EF8"/>
    <w:rsid w:val="00825301"/>
    <w:rsid w:val="008260C3"/>
    <w:rsid w:val="00826C76"/>
    <w:rsid w:val="00826E6E"/>
    <w:rsid w:val="00827B64"/>
    <w:rsid w:val="008305F8"/>
    <w:rsid w:val="00830639"/>
    <w:rsid w:val="00830A38"/>
    <w:rsid w:val="00830D58"/>
    <w:rsid w:val="0083100D"/>
    <w:rsid w:val="008320D1"/>
    <w:rsid w:val="00832CFD"/>
    <w:rsid w:val="00832E91"/>
    <w:rsid w:val="0083317B"/>
    <w:rsid w:val="00833E10"/>
    <w:rsid w:val="0083429A"/>
    <w:rsid w:val="008344EE"/>
    <w:rsid w:val="0083509D"/>
    <w:rsid w:val="008353B9"/>
    <w:rsid w:val="00836255"/>
    <w:rsid w:val="008363A7"/>
    <w:rsid w:val="00836E74"/>
    <w:rsid w:val="00837E54"/>
    <w:rsid w:val="0084027E"/>
    <w:rsid w:val="0084077B"/>
    <w:rsid w:val="0084081F"/>
    <w:rsid w:val="008417B7"/>
    <w:rsid w:val="00841A87"/>
    <w:rsid w:val="0084238C"/>
    <w:rsid w:val="00842A9D"/>
    <w:rsid w:val="00843A89"/>
    <w:rsid w:val="008440F6"/>
    <w:rsid w:val="008459C3"/>
    <w:rsid w:val="00845CD5"/>
    <w:rsid w:val="00845D98"/>
    <w:rsid w:val="00846DD3"/>
    <w:rsid w:val="00847145"/>
    <w:rsid w:val="008471E8"/>
    <w:rsid w:val="00847639"/>
    <w:rsid w:val="00847695"/>
    <w:rsid w:val="0084793E"/>
    <w:rsid w:val="00850438"/>
    <w:rsid w:val="008508C3"/>
    <w:rsid w:val="00850986"/>
    <w:rsid w:val="0085187A"/>
    <w:rsid w:val="00853121"/>
    <w:rsid w:val="008553A5"/>
    <w:rsid w:val="008554EE"/>
    <w:rsid w:val="00856194"/>
    <w:rsid w:val="0085770C"/>
    <w:rsid w:val="00860AD9"/>
    <w:rsid w:val="0086169A"/>
    <w:rsid w:val="00861C7C"/>
    <w:rsid w:val="008620E2"/>
    <w:rsid w:val="00862653"/>
    <w:rsid w:val="0086266C"/>
    <w:rsid w:val="008638AC"/>
    <w:rsid w:val="00863F9B"/>
    <w:rsid w:val="00864E2D"/>
    <w:rsid w:val="00864F8E"/>
    <w:rsid w:val="00865576"/>
    <w:rsid w:val="008659E3"/>
    <w:rsid w:val="008662E1"/>
    <w:rsid w:val="008674F6"/>
    <w:rsid w:val="00867BB6"/>
    <w:rsid w:val="00870415"/>
    <w:rsid w:val="008709B3"/>
    <w:rsid w:val="0087194F"/>
    <w:rsid w:val="00872E5C"/>
    <w:rsid w:val="0087322F"/>
    <w:rsid w:val="00873E8B"/>
    <w:rsid w:val="00873FC6"/>
    <w:rsid w:val="008742D3"/>
    <w:rsid w:val="008744FA"/>
    <w:rsid w:val="0087686C"/>
    <w:rsid w:val="008770E5"/>
    <w:rsid w:val="00877334"/>
    <w:rsid w:val="0088061C"/>
    <w:rsid w:val="0088079C"/>
    <w:rsid w:val="00880FEC"/>
    <w:rsid w:val="00881291"/>
    <w:rsid w:val="00881C54"/>
    <w:rsid w:val="0088222A"/>
    <w:rsid w:val="008828BF"/>
    <w:rsid w:val="008831AC"/>
    <w:rsid w:val="00883746"/>
    <w:rsid w:val="00884A79"/>
    <w:rsid w:val="00884CD7"/>
    <w:rsid w:val="008851BB"/>
    <w:rsid w:val="00885444"/>
    <w:rsid w:val="00885FAE"/>
    <w:rsid w:val="008864C9"/>
    <w:rsid w:val="00886548"/>
    <w:rsid w:val="0088696B"/>
    <w:rsid w:val="00886A22"/>
    <w:rsid w:val="008871B7"/>
    <w:rsid w:val="008871D0"/>
    <w:rsid w:val="00887627"/>
    <w:rsid w:val="00887659"/>
    <w:rsid w:val="00887701"/>
    <w:rsid w:val="0088771D"/>
    <w:rsid w:val="00887F40"/>
    <w:rsid w:val="00890157"/>
    <w:rsid w:val="0089171A"/>
    <w:rsid w:val="00891AD0"/>
    <w:rsid w:val="00891B59"/>
    <w:rsid w:val="00891C19"/>
    <w:rsid w:val="00892F60"/>
    <w:rsid w:val="00893569"/>
    <w:rsid w:val="00894811"/>
    <w:rsid w:val="008955D4"/>
    <w:rsid w:val="00895665"/>
    <w:rsid w:val="00895843"/>
    <w:rsid w:val="00895CCE"/>
    <w:rsid w:val="00895D1F"/>
    <w:rsid w:val="00895D83"/>
    <w:rsid w:val="00895EAA"/>
    <w:rsid w:val="00896104"/>
    <w:rsid w:val="008966F4"/>
    <w:rsid w:val="00897768"/>
    <w:rsid w:val="00897C21"/>
    <w:rsid w:val="008A0571"/>
    <w:rsid w:val="008A0731"/>
    <w:rsid w:val="008A146A"/>
    <w:rsid w:val="008A186B"/>
    <w:rsid w:val="008A195B"/>
    <w:rsid w:val="008A1FAA"/>
    <w:rsid w:val="008A247F"/>
    <w:rsid w:val="008A248D"/>
    <w:rsid w:val="008A3311"/>
    <w:rsid w:val="008A351E"/>
    <w:rsid w:val="008A3B4F"/>
    <w:rsid w:val="008A3E8E"/>
    <w:rsid w:val="008A4C80"/>
    <w:rsid w:val="008A505A"/>
    <w:rsid w:val="008B0092"/>
    <w:rsid w:val="008B00C1"/>
    <w:rsid w:val="008B0A9A"/>
    <w:rsid w:val="008B0B2D"/>
    <w:rsid w:val="008B10ED"/>
    <w:rsid w:val="008B1DDB"/>
    <w:rsid w:val="008B1E25"/>
    <w:rsid w:val="008B2236"/>
    <w:rsid w:val="008B236B"/>
    <w:rsid w:val="008B2D51"/>
    <w:rsid w:val="008B2F71"/>
    <w:rsid w:val="008B309D"/>
    <w:rsid w:val="008B3258"/>
    <w:rsid w:val="008B34AE"/>
    <w:rsid w:val="008B3C2B"/>
    <w:rsid w:val="008B42AB"/>
    <w:rsid w:val="008B4525"/>
    <w:rsid w:val="008B4A83"/>
    <w:rsid w:val="008B4ED1"/>
    <w:rsid w:val="008B5E80"/>
    <w:rsid w:val="008B5EAD"/>
    <w:rsid w:val="008B65A3"/>
    <w:rsid w:val="008B6808"/>
    <w:rsid w:val="008B6CBB"/>
    <w:rsid w:val="008B6D9B"/>
    <w:rsid w:val="008B6DB5"/>
    <w:rsid w:val="008C0698"/>
    <w:rsid w:val="008C404C"/>
    <w:rsid w:val="008C468A"/>
    <w:rsid w:val="008C4783"/>
    <w:rsid w:val="008C4BA3"/>
    <w:rsid w:val="008C5951"/>
    <w:rsid w:val="008C5C33"/>
    <w:rsid w:val="008C5D19"/>
    <w:rsid w:val="008C6FE2"/>
    <w:rsid w:val="008C7E56"/>
    <w:rsid w:val="008C7FD7"/>
    <w:rsid w:val="008D1583"/>
    <w:rsid w:val="008D15D6"/>
    <w:rsid w:val="008D2227"/>
    <w:rsid w:val="008D42F8"/>
    <w:rsid w:val="008D557B"/>
    <w:rsid w:val="008D59C9"/>
    <w:rsid w:val="008D60F1"/>
    <w:rsid w:val="008D78DB"/>
    <w:rsid w:val="008E005A"/>
    <w:rsid w:val="008E0146"/>
    <w:rsid w:val="008E0899"/>
    <w:rsid w:val="008E0BCF"/>
    <w:rsid w:val="008E17C8"/>
    <w:rsid w:val="008E190B"/>
    <w:rsid w:val="008E1A5E"/>
    <w:rsid w:val="008E2DF6"/>
    <w:rsid w:val="008E3AD0"/>
    <w:rsid w:val="008E4D2C"/>
    <w:rsid w:val="008E5099"/>
    <w:rsid w:val="008E52EC"/>
    <w:rsid w:val="008E6FF5"/>
    <w:rsid w:val="008E710B"/>
    <w:rsid w:val="008E74EF"/>
    <w:rsid w:val="008E7541"/>
    <w:rsid w:val="008E7589"/>
    <w:rsid w:val="008E75D7"/>
    <w:rsid w:val="008F07DE"/>
    <w:rsid w:val="008F13F9"/>
    <w:rsid w:val="008F152F"/>
    <w:rsid w:val="008F327C"/>
    <w:rsid w:val="008F379D"/>
    <w:rsid w:val="008F3829"/>
    <w:rsid w:val="008F4386"/>
    <w:rsid w:val="008F4B0D"/>
    <w:rsid w:val="008F4DB6"/>
    <w:rsid w:val="008F4F88"/>
    <w:rsid w:val="008F5B5F"/>
    <w:rsid w:val="008F5E97"/>
    <w:rsid w:val="008F652E"/>
    <w:rsid w:val="008F69E9"/>
    <w:rsid w:val="008F6A90"/>
    <w:rsid w:val="008F708E"/>
    <w:rsid w:val="008F73B1"/>
    <w:rsid w:val="008F755F"/>
    <w:rsid w:val="008F774B"/>
    <w:rsid w:val="008F7A2C"/>
    <w:rsid w:val="00900109"/>
    <w:rsid w:val="00900AF0"/>
    <w:rsid w:val="00901D90"/>
    <w:rsid w:val="00901F75"/>
    <w:rsid w:val="00903EDF"/>
    <w:rsid w:val="00904659"/>
    <w:rsid w:val="00904FBA"/>
    <w:rsid w:val="00905C01"/>
    <w:rsid w:val="00906317"/>
    <w:rsid w:val="00907290"/>
    <w:rsid w:val="00907462"/>
    <w:rsid w:val="009075DE"/>
    <w:rsid w:val="009077B5"/>
    <w:rsid w:val="00907A0A"/>
    <w:rsid w:val="00907DFF"/>
    <w:rsid w:val="00907FAF"/>
    <w:rsid w:val="0091030A"/>
    <w:rsid w:val="00910E54"/>
    <w:rsid w:val="009116CE"/>
    <w:rsid w:val="00912F51"/>
    <w:rsid w:val="009138B6"/>
    <w:rsid w:val="00913FAA"/>
    <w:rsid w:val="0091416C"/>
    <w:rsid w:val="00914FC8"/>
    <w:rsid w:val="00915408"/>
    <w:rsid w:val="00915E61"/>
    <w:rsid w:val="00916C8A"/>
    <w:rsid w:val="0091734F"/>
    <w:rsid w:val="009177FE"/>
    <w:rsid w:val="00917B8F"/>
    <w:rsid w:val="00917BA1"/>
    <w:rsid w:val="0092129C"/>
    <w:rsid w:val="00922BC2"/>
    <w:rsid w:val="00923A5C"/>
    <w:rsid w:val="00924C8B"/>
    <w:rsid w:val="00924ECC"/>
    <w:rsid w:val="009266DE"/>
    <w:rsid w:val="00926C2C"/>
    <w:rsid w:val="00927954"/>
    <w:rsid w:val="00927AED"/>
    <w:rsid w:val="0093052A"/>
    <w:rsid w:val="0093071A"/>
    <w:rsid w:val="00930A35"/>
    <w:rsid w:val="00931B4E"/>
    <w:rsid w:val="00931E51"/>
    <w:rsid w:val="009329D1"/>
    <w:rsid w:val="009329E2"/>
    <w:rsid w:val="00934273"/>
    <w:rsid w:val="00934354"/>
    <w:rsid w:val="009347CA"/>
    <w:rsid w:val="00934CDB"/>
    <w:rsid w:val="00935302"/>
    <w:rsid w:val="00935367"/>
    <w:rsid w:val="0093564C"/>
    <w:rsid w:val="0093657D"/>
    <w:rsid w:val="00936679"/>
    <w:rsid w:val="0093681F"/>
    <w:rsid w:val="00936967"/>
    <w:rsid w:val="00936A7C"/>
    <w:rsid w:val="00936BAB"/>
    <w:rsid w:val="0093737D"/>
    <w:rsid w:val="0093793A"/>
    <w:rsid w:val="00937F7C"/>
    <w:rsid w:val="00940944"/>
    <w:rsid w:val="00941780"/>
    <w:rsid w:val="009420D7"/>
    <w:rsid w:val="00942406"/>
    <w:rsid w:val="00942592"/>
    <w:rsid w:val="0094311A"/>
    <w:rsid w:val="009436D9"/>
    <w:rsid w:val="009441C8"/>
    <w:rsid w:val="009443B2"/>
    <w:rsid w:val="009450AE"/>
    <w:rsid w:val="009452BB"/>
    <w:rsid w:val="00945713"/>
    <w:rsid w:val="0094590E"/>
    <w:rsid w:val="00945E9F"/>
    <w:rsid w:val="009463A2"/>
    <w:rsid w:val="00946756"/>
    <w:rsid w:val="00947857"/>
    <w:rsid w:val="00950CAF"/>
    <w:rsid w:val="00951278"/>
    <w:rsid w:val="00952A5F"/>
    <w:rsid w:val="00952CA4"/>
    <w:rsid w:val="00953398"/>
    <w:rsid w:val="00953BC0"/>
    <w:rsid w:val="009549D5"/>
    <w:rsid w:val="00954B65"/>
    <w:rsid w:val="0095558E"/>
    <w:rsid w:val="00955788"/>
    <w:rsid w:val="0095731A"/>
    <w:rsid w:val="00957463"/>
    <w:rsid w:val="00957CC3"/>
    <w:rsid w:val="009602B3"/>
    <w:rsid w:val="00960343"/>
    <w:rsid w:val="00960A44"/>
    <w:rsid w:val="009616B6"/>
    <w:rsid w:val="00961F10"/>
    <w:rsid w:val="00962487"/>
    <w:rsid w:val="0096274A"/>
    <w:rsid w:val="00962E74"/>
    <w:rsid w:val="00963AAB"/>
    <w:rsid w:val="009646E5"/>
    <w:rsid w:val="00964E76"/>
    <w:rsid w:val="00965071"/>
    <w:rsid w:val="0096532A"/>
    <w:rsid w:val="00965725"/>
    <w:rsid w:val="0096695B"/>
    <w:rsid w:val="00966DD4"/>
    <w:rsid w:val="009671D8"/>
    <w:rsid w:val="00970524"/>
    <w:rsid w:val="00970582"/>
    <w:rsid w:val="0097139B"/>
    <w:rsid w:val="0097156B"/>
    <w:rsid w:val="00972123"/>
    <w:rsid w:val="00972AF8"/>
    <w:rsid w:val="00973BAD"/>
    <w:rsid w:val="00974799"/>
    <w:rsid w:val="0097499C"/>
    <w:rsid w:val="0097578F"/>
    <w:rsid w:val="009765CB"/>
    <w:rsid w:val="009778A5"/>
    <w:rsid w:val="00980A94"/>
    <w:rsid w:val="00980D36"/>
    <w:rsid w:val="00981145"/>
    <w:rsid w:val="009815D9"/>
    <w:rsid w:val="0098188A"/>
    <w:rsid w:val="00981CC9"/>
    <w:rsid w:val="00981D29"/>
    <w:rsid w:val="00981DA7"/>
    <w:rsid w:val="009820B6"/>
    <w:rsid w:val="00982AC6"/>
    <w:rsid w:val="0098343F"/>
    <w:rsid w:val="009839AF"/>
    <w:rsid w:val="00983B7B"/>
    <w:rsid w:val="009844D0"/>
    <w:rsid w:val="009847B8"/>
    <w:rsid w:val="009847FC"/>
    <w:rsid w:val="0098509A"/>
    <w:rsid w:val="00985C51"/>
    <w:rsid w:val="00987105"/>
    <w:rsid w:val="009871C6"/>
    <w:rsid w:val="00987B6B"/>
    <w:rsid w:val="00987E96"/>
    <w:rsid w:val="00990AB3"/>
    <w:rsid w:val="0099103B"/>
    <w:rsid w:val="00991B13"/>
    <w:rsid w:val="00992567"/>
    <w:rsid w:val="0099286F"/>
    <w:rsid w:val="00992EFF"/>
    <w:rsid w:val="00993D75"/>
    <w:rsid w:val="009944D5"/>
    <w:rsid w:val="009947D6"/>
    <w:rsid w:val="0099576F"/>
    <w:rsid w:val="00995912"/>
    <w:rsid w:val="00995BB4"/>
    <w:rsid w:val="00996139"/>
    <w:rsid w:val="00996D5A"/>
    <w:rsid w:val="00996E4E"/>
    <w:rsid w:val="00996E94"/>
    <w:rsid w:val="009970A4"/>
    <w:rsid w:val="0099748A"/>
    <w:rsid w:val="009978A1"/>
    <w:rsid w:val="009A0BB9"/>
    <w:rsid w:val="009A174E"/>
    <w:rsid w:val="009A1801"/>
    <w:rsid w:val="009A193F"/>
    <w:rsid w:val="009A1E75"/>
    <w:rsid w:val="009A2378"/>
    <w:rsid w:val="009A2686"/>
    <w:rsid w:val="009A29D4"/>
    <w:rsid w:val="009A312C"/>
    <w:rsid w:val="009A383E"/>
    <w:rsid w:val="009A3A7E"/>
    <w:rsid w:val="009A4821"/>
    <w:rsid w:val="009A4891"/>
    <w:rsid w:val="009A53AC"/>
    <w:rsid w:val="009A54F7"/>
    <w:rsid w:val="009A56DE"/>
    <w:rsid w:val="009A5784"/>
    <w:rsid w:val="009A598F"/>
    <w:rsid w:val="009A59A3"/>
    <w:rsid w:val="009A5C65"/>
    <w:rsid w:val="009A5D82"/>
    <w:rsid w:val="009A5E70"/>
    <w:rsid w:val="009A6348"/>
    <w:rsid w:val="009A64EF"/>
    <w:rsid w:val="009A6C28"/>
    <w:rsid w:val="009B0FFF"/>
    <w:rsid w:val="009B13AA"/>
    <w:rsid w:val="009B22E6"/>
    <w:rsid w:val="009B2CFB"/>
    <w:rsid w:val="009B30C8"/>
    <w:rsid w:val="009B3589"/>
    <w:rsid w:val="009B3F7A"/>
    <w:rsid w:val="009B42A5"/>
    <w:rsid w:val="009B5565"/>
    <w:rsid w:val="009B5584"/>
    <w:rsid w:val="009B6BA0"/>
    <w:rsid w:val="009B7652"/>
    <w:rsid w:val="009B7F45"/>
    <w:rsid w:val="009C01D2"/>
    <w:rsid w:val="009C020D"/>
    <w:rsid w:val="009C0747"/>
    <w:rsid w:val="009C0EBA"/>
    <w:rsid w:val="009C0ED1"/>
    <w:rsid w:val="009C10E0"/>
    <w:rsid w:val="009C14C4"/>
    <w:rsid w:val="009C22BE"/>
    <w:rsid w:val="009C30A9"/>
    <w:rsid w:val="009C3670"/>
    <w:rsid w:val="009C3F23"/>
    <w:rsid w:val="009C4203"/>
    <w:rsid w:val="009C4E16"/>
    <w:rsid w:val="009C5776"/>
    <w:rsid w:val="009C6954"/>
    <w:rsid w:val="009C7090"/>
    <w:rsid w:val="009C7D3B"/>
    <w:rsid w:val="009D086C"/>
    <w:rsid w:val="009D0CC9"/>
    <w:rsid w:val="009D0D07"/>
    <w:rsid w:val="009D1589"/>
    <w:rsid w:val="009D1896"/>
    <w:rsid w:val="009D1AF2"/>
    <w:rsid w:val="009D1D2B"/>
    <w:rsid w:val="009D2701"/>
    <w:rsid w:val="009D2ECB"/>
    <w:rsid w:val="009D3212"/>
    <w:rsid w:val="009D38C8"/>
    <w:rsid w:val="009D3F53"/>
    <w:rsid w:val="009D41CD"/>
    <w:rsid w:val="009D4BDA"/>
    <w:rsid w:val="009D5C09"/>
    <w:rsid w:val="009D6373"/>
    <w:rsid w:val="009D6B20"/>
    <w:rsid w:val="009D6D1C"/>
    <w:rsid w:val="009D6E76"/>
    <w:rsid w:val="009D7789"/>
    <w:rsid w:val="009E1123"/>
    <w:rsid w:val="009E116A"/>
    <w:rsid w:val="009E24CD"/>
    <w:rsid w:val="009E255E"/>
    <w:rsid w:val="009E2D51"/>
    <w:rsid w:val="009E319C"/>
    <w:rsid w:val="009E38A0"/>
    <w:rsid w:val="009E3EDE"/>
    <w:rsid w:val="009E4F7C"/>
    <w:rsid w:val="009E5FBE"/>
    <w:rsid w:val="009E616C"/>
    <w:rsid w:val="009E6485"/>
    <w:rsid w:val="009E64AB"/>
    <w:rsid w:val="009E6602"/>
    <w:rsid w:val="009E68B2"/>
    <w:rsid w:val="009E75AC"/>
    <w:rsid w:val="009E79FB"/>
    <w:rsid w:val="009E7AE5"/>
    <w:rsid w:val="009E7D24"/>
    <w:rsid w:val="009F01F1"/>
    <w:rsid w:val="009F0600"/>
    <w:rsid w:val="009F07F2"/>
    <w:rsid w:val="009F1121"/>
    <w:rsid w:val="009F13BF"/>
    <w:rsid w:val="009F1836"/>
    <w:rsid w:val="009F1991"/>
    <w:rsid w:val="009F199A"/>
    <w:rsid w:val="009F1FF7"/>
    <w:rsid w:val="009F2BF5"/>
    <w:rsid w:val="009F2C90"/>
    <w:rsid w:val="009F2FEB"/>
    <w:rsid w:val="009F42FF"/>
    <w:rsid w:val="009F48C1"/>
    <w:rsid w:val="009F4BA0"/>
    <w:rsid w:val="009F4FB8"/>
    <w:rsid w:val="009F4FC4"/>
    <w:rsid w:val="009F539A"/>
    <w:rsid w:val="009F56A8"/>
    <w:rsid w:val="009F6550"/>
    <w:rsid w:val="009F67B1"/>
    <w:rsid w:val="009F771C"/>
    <w:rsid w:val="009F7E3A"/>
    <w:rsid w:val="00A002D4"/>
    <w:rsid w:val="00A005EE"/>
    <w:rsid w:val="00A00BDA"/>
    <w:rsid w:val="00A012EF"/>
    <w:rsid w:val="00A01CB4"/>
    <w:rsid w:val="00A01F33"/>
    <w:rsid w:val="00A02D7F"/>
    <w:rsid w:val="00A02F5D"/>
    <w:rsid w:val="00A03463"/>
    <w:rsid w:val="00A0412B"/>
    <w:rsid w:val="00A04AF2"/>
    <w:rsid w:val="00A04F7F"/>
    <w:rsid w:val="00A058E6"/>
    <w:rsid w:val="00A05C45"/>
    <w:rsid w:val="00A06DA5"/>
    <w:rsid w:val="00A070B5"/>
    <w:rsid w:val="00A074CD"/>
    <w:rsid w:val="00A07A1D"/>
    <w:rsid w:val="00A07C4D"/>
    <w:rsid w:val="00A109B3"/>
    <w:rsid w:val="00A10DEB"/>
    <w:rsid w:val="00A1135B"/>
    <w:rsid w:val="00A11631"/>
    <w:rsid w:val="00A12103"/>
    <w:rsid w:val="00A1210B"/>
    <w:rsid w:val="00A12136"/>
    <w:rsid w:val="00A123F0"/>
    <w:rsid w:val="00A1249E"/>
    <w:rsid w:val="00A12C79"/>
    <w:rsid w:val="00A12DF7"/>
    <w:rsid w:val="00A13285"/>
    <w:rsid w:val="00A134E3"/>
    <w:rsid w:val="00A144B3"/>
    <w:rsid w:val="00A147BE"/>
    <w:rsid w:val="00A155BC"/>
    <w:rsid w:val="00A16854"/>
    <w:rsid w:val="00A177E8"/>
    <w:rsid w:val="00A17813"/>
    <w:rsid w:val="00A20D3D"/>
    <w:rsid w:val="00A21D05"/>
    <w:rsid w:val="00A21D4C"/>
    <w:rsid w:val="00A21FB1"/>
    <w:rsid w:val="00A227A9"/>
    <w:rsid w:val="00A232A0"/>
    <w:rsid w:val="00A23A9A"/>
    <w:rsid w:val="00A23C4E"/>
    <w:rsid w:val="00A254BA"/>
    <w:rsid w:val="00A26BA8"/>
    <w:rsid w:val="00A27143"/>
    <w:rsid w:val="00A27523"/>
    <w:rsid w:val="00A279AF"/>
    <w:rsid w:val="00A30222"/>
    <w:rsid w:val="00A30691"/>
    <w:rsid w:val="00A319E3"/>
    <w:rsid w:val="00A3264A"/>
    <w:rsid w:val="00A330AC"/>
    <w:rsid w:val="00A342E0"/>
    <w:rsid w:val="00A34E31"/>
    <w:rsid w:val="00A35138"/>
    <w:rsid w:val="00A36843"/>
    <w:rsid w:val="00A377DC"/>
    <w:rsid w:val="00A37C2A"/>
    <w:rsid w:val="00A40BEE"/>
    <w:rsid w:val="00A41B90"/>
    <w:rsid w:val="00A41BD7"/>
    <w:rsid w:val="00A423B3"/>
    <w:rsid w:val="00A42DD3"/>
    <w:rsid w:val="00A42FE3"/>
    <w:rsid w:val="00A4321F"/>
    <w:rsid w:val="00A442AE"/>
    <w:rsid w:val="00A447DF"/>
    <w:rsid w:val="00A4556F"/>
    <w:rsid w:val="00A46AAE"/>
    <w:rsid w:val="00A477CA"/>
    <w:rsid w:val="00A47BEC"/>
    <w:rsid w:val="00A47F1E"/>
    <w:rsid w:val="00A5090F"/>
    <w:rsid w:val="00A51575"/>
    <w:rsid w:val="00A51D8A"/>
    <w:rsid w:val="00A53267"/>
    <w:rsid w:val="00A5393F"/>
    <w:rsid w:val="00A53DEA"/>
    <w:rsid w:val="00A54100"/>
    <w:rsid w:val="00A546E9"/>
    <w:rsid w:val="00A54900"/>
    <w:rsid w:val="00A54B09"/>
    <w:rsid w:val="00A56102"/>
    <w:rsid w:val="00A56ACA"/>
    <w:rsid w:val="00A57314"/>
    <w:rsid w:val="00A573BE"/>
    <w:rsid w:val="00A575E6"/>
    <w:rsid w:val="00A57FC8"/>
    <w:rsid w:val="00A6008C"/>
    <w:rsid w:val="00A6056E"/>
    <w:rsid w:val="00A60DE0"/>
    <w:rsid w:val="00A61BB8"/>
    <w:rsid w:val="00A62321"/>
    <w:rsid w:val="00A6258E"/>
    <w:rsid w:val="00A637C6"/>
    <w:rsid w:val="00A63BFE"/>
    <w:rsid w:val="00A63CD9"/>
    <w:rsid w:val="00A640BB"/>
    <w:rsid w:val="00A6416C"/>
    <w:rsid w:val="00A64C5B"/>
    <w:rsid w:val="00A64D16"/>
    <w:rsid w:val="00A65711"/>
    <w:rsid w:val="00A657ED"/>
    <w:rsid w:val="00A65C54"/>
    <w:rsid w:val="00A66BB9"/>
    <w:rsid w:val="00A66C2B"/>
    <w:rsid w:val="00A67ADE"/>
    <w:rsid w:val="00A67B8B"/>
    <w:rsid w:val="00A70ED7"/>
    <w:rsid w:val="00A7176B"/>
    <w:rsid w:val="00A71919"/>
    <w:rsid w:val="00A7219D"/>
    <w:rsid w:val="00A730FA"/>
    <w:rsid w:val="00A73575"/>
    <w:rsid w:val="00A739E8"/>
    <w:rsid w:val="00A73BBD"/>
    <w:rsid w:val="00A73BEB"/>
    <w:rsid w:val="00A74309"/>
    <w:rsid w:val="00A7451B"/>
    <w:rsid w:val="00A74CF2"/>
    <w:rsid w:val="00A750DC"/>
    <w:rsid w:val="00A7544A"/>
    <w:rsid w:val="00A75C28"/>
    <w:rsid w:val="00A75C81"/>
    <w:rsid w:val="00A75D41"/>
    <w:rsid w:val="00A765D0"/>
    <w:rsid w:val="00A76716"/>
    <w:rsid w:val="00A76CE5"/>
    <w:rsid w:val="00A76D77"/>
    <w:rsid w:val="00A77542"/>
    <w:rsid w:val="00A77614"/>
    <w:rsid w:val="00A77CC0"/>
    <w:rsid w:val="00A8008B"/>
    <w:rsid w:val="00A801C9"/>
    <w:rsid w:val="00A808D9"/>
    <w:rsid w:val="00A81133"/>
    <w:rsid w:val="00A81578"/>
    <w:rsid w:val="00A82827"/>
    <w:rsid w:val="00A82A1F"/>
    <w:rsid w:val="00A82FDB"/>
    <w:rsid w:val="00A831E8"/>
    <w:rsid w:val="00A8366D"/>
    <w:rsid w:val="00A86426"/>
    <w:rsid w:val="00A86770"/>
    <w:rsid w:val="00A86816"/>
    <w:rsid w:val="00A8692B"/>
    <w:rsid w:val="00A869BE"/>
    <w:rsid w:val="00A86AC0"/>
    <w:rsid w:val="00A87D9B"/>
    <w:rsid w:val="00A87EE0"/>
    <w:rsid w:val="00A904BB"/>
    <w:rsid w:val="00A9055E"/>
    <w:rsid w:val="00A91716"/>
    <w:rsid w:val="00A928E2"/>
    <w:rsid w:val="00A92B02"/>
    <w:rsid w:val="00A92BC8"/>
    <w:rsid w:val="00A92D68"/>
    <w:rsid w:val="00A93068"/>
    <w:rsid w:val="00A93CA9"/>
    <w:rsid w:val="00A94229"/>
    <w:rsid w:val="00A94998"/>
    <w:rsid w:val="00A95D0B"/>
    <w:rsid w:val="00A96BA2"/>
    <w:rsid w:val="00A96BD4"/>
    <w:rsid w:val="00A96C65"/>
    <w:rsid w:val="00AA0A48"/>
    <w:rsid w:val="00AA174A"/>
    <w:rsid w:val="00AA19BA"/>
    <w:rsid w:val="00AA233B"/>
    <w:rsid w:val="00AA2957"/>
    <w:rsid w:val="00AA3FA0"/>
    <w:rsid w:val="00AA626B"/>
    <w:rsid w:val="00AA6F5C"/>
    <w:rsid w:val="00AA7AB3"/>
    <w:rsid w:val="00AA7ED5"/>
    <w:rsid w:val="00AA7FA6"/>
    <w:rsid w:val="00AB0051"/>
    <w:rsid w:val="00AB16B0"/>
    <w:rsid w:val="00AB1EBC"/>
    <w:rsid w:val="00AB2713"/>
    <w:rsid w:val="00AB33C1"/>
    <w:rsid w:val="00AB3E68"/>
    <w:rsid w:val="00AB47DA"/>
    <w:rsid w:val="00AB5D70"/>
    <w:rsid w:val="00AB5F41"/>
    <w:rsid w:val="00AB6302"/>
    <w:rsid w:val="00AB65AF"/>
    <w:rsid w:val="00AB6E9D"/>
    <w:rsid w:val="00AB6F0F"/>
    <w:rsid w:val="00AB7292"/>
    <w:rsid w:val="00AB7C7D"/>
    <w:rsid w:val="00AC0E75"/>
    <w:rsid w:val="00AC1F79"/>
    <w:rsid w:val="00AC214D"/>
    <w:rsid w:val="00AC24A7"/>
    <w:rsid w:val="00AC4050"/>
    <w:rsid w:val="00AC4D1C"/>
    <w:rsid w:val="00AC58D8"/>
    <w:rsid w:val="00AC5F5C"/>
    <w:rsid w:val="00AC610D"/>
    <w:rsid w:val="00AC7615"/>
    <w:rsid w:val="00AC7901"/>
    <w:rsid w:val="00AC7919"/>
    <w:rsid w:val="00AD00A4"/>
    <w:rsid w:val="00AD0136"/>
    <w:rsid w:val="00AD044C"/>
    <w:rsid w:val="00AD1860"/>
    <w:rsid w:val="00AD195D"/>
    <w:rsid w:val="00AD22A8"/>
    <w:rsid w:val="00AD42E1"/>
    <w:rsid w:val="00AD43B2"/>
    <w:rsid w:val="00AD4D80"/>
    <w:rsid w:val="00AD4F81"/>
    <w:rsid w:val="00AD4FB2"/>
    <w:rsid w:val="00AD58BD"/>
    <w:rsid w:val="00AD5A9C"/>
    <w:rsid w:val="00AD6044"/>
    <w:rsid w:val="00AD67C9"/>
    <w:rsid w:val="00AD751D"/>
    <w:rsid w:val="00AE04C3"/>
    <w:rsid w:val="00AE1309"/>
    <w:rsid w:val="00AE17B5"/>
    <w:rsid w:val="00AE17EC"/>
    <w:rsid w:val="00AE183B"/>
    <w:rsid w:val="00AE1C20"/>
    <w:rsid w:val="00AE2C61"/>
    <w:rsid w:val="00AE2FA1"/>
    <w:rsid w:val="00AE33C4"/>
    <w:rsid w:val="00AE419C"/>
    <w:rsid w:val="00AE44C6"/>
    <w:rsid w:val="00AE4AE6"/>
    <w:rsid w:val="00AE55B9"/>
    <w:rsid w:val="00AE5F10"/>
    <w:rsid w:val="00AE6B4A"/>
    <w:rsid w:val="00AE6C12"/>
    <w:rsid w:val="00AF0DF0"/>
    <w:rsid w:val="00AF1252"/>
    <w:rsid w:val="00AF13EF"/>
    <w:rsid w:val="00AF1E19"/>
    <w:rsid w:val="00AF321D"/>
    <w:rsid w:val="00AF3CFA"/>
    <w:rsid w:val="00AF4CB3"/>
    <w:rsid w:val="00AF4DA5"/>
    <w:rsid w:val="00AF55F4"/>
    <w:rsid w:val="00AF6000"/>
    <w:rsid w:val="00AF6053"/>
    <w:rsid w:val="00AF60DC"/>
    <w:rsid w:val="00AF6B3E"/>
    <w:rsid w:val="00AF6D9C"/>
    <w:rsid w:val="00AF76C5"/>
    <w:rsid w:val="00AF7B64"/>
    <w:rsid w:val="00B004CF"/>
    <w:rsid w:val="00B006CF"/>
    <w:rsid w:val="00B0076B"/>
    <w:rsid w:val="00B01038"/>
    <w:rsid w:val="00B016EB"/>
    <w:rsid w:val="00B02628"/>
    <w:rsid w:val="00B02E89"/>
    <w:rsid w:val="00B02FD6"/>
    <w:rsid w:val="00B0353E"/>
    <w:rsid w:val="00B04CBC"/>
    <w:rsid w:val="00B04E1D"/>
    <w:rsid w:val="00B0516F"/>
    <w:rsid w:val="00B058D3"/>
    <w:rsid w:val="00B05FA7"/>
    <w:rsid w:val="00B06F82"/>
    <w:rsid w:val="00B0781B"/>
    <w:rsid w:val="00B1007F"/>
    <w:rsid w:val="00B1058C"/>
    <w:rsid w:val="00B108E6"/>
    <w:rsid w:val="00B10B5C"/>
    <w:rsid w:val="00B119CB"/>
    <w:rsid w:val="00B11A85"/>
    <w:rsid w:val="00B1232A"/>
    <w:rsid w:val="00B1263E"/>
    <w:rsid w:val="00B1285F"/>
    <w:rsid w:val="00B13231"/>
    <w:rsid w:val="00B14F54"/>
    <w:rsid w:val="00B1502A"/>
    <w:rsid w:val="00B1529F"/>
    <w:rsid w:val="00B16D9C"/>
    <w:rsid w:val="00B176AB"/>
    <w:rsid w:val="00B178B9"/>
    <w:rsid w:val="00B17AB9"/>
    <w:rsid w:val="00B2057A"/>
    <w:rsid w:val="00B206A8"/>
    <w:rsid w:val="00B20B66"/>
    <w:rsid w:val="00B215B8"/>
    <w:rsid w:val="00B22E9D"/>
    <w:rsid w:val="00B23B2C"/>
    <w:rsid w:val="00B23EF5"/>
    <w:rsid w:val="00B2437F"/>
    <w:rsid w:val="00B25313"/>
    <w:rsid w:val="00B255FB"/>
    <w:rsid w:val="00B2608C"/>
    <w:rsid w:val="00B26CFD"/>
    <w:rsid w:val="00B272EB"/>
    <w:rsid w:val="00B27DFC"/>
    <w:rsid w:val="00B30391"/>
    <w:rsid w:val="00B306C0"/>
    <w:rsid w:val="00B30CC2"/>
    <w:rsid w:val="00B318D0"/>
    <w:rsid w:val="00B3202C"/>
    <w:rsid w:val="00B324C6"/>
    <w:rsid w:val="00B326CA"/>
    <w:rsid w:val="00B32A94"/>
    <w:rsid w:val="00B33248"/>
    <w:rsid w:val="00B339E7"/>
    <w:rsid w:val="00B33A80"/>
    <w:rsid w:val="00B34B4D"/>
    <w:rsid w:val="00B34BE5"/>
    <w:rsid w:val="00B3500D"/>
    <w:rsid w:val="00B3534F"/>
    <w:rsid w:val="00B3586F"/>
    <w:rsid w:val="00B35F4D"/>
    <w:rsid w:val="00B36F91"/>
    <w:rsid w:val="00B37CD3"/>
    <w:rsid w:val="00B4094D"/>
    <w:rsid w:val="00B41DFA"/>
    <w:rsid w:val="00B42E24"/>
    <w:rsid w:val="00B43038"/>
    <w:rsid w:val="00B444DA"/>
    <w:rsid w:val="00B457C6"/>
    <w:rsid w:val="00B45BDB"/>
    <w:rsid w:val="00B45F6F"/>
    <w:rsid w:val="00B4761B"/>
    <w:rsid w:val="00B4787C"/>
    <w:rsid w:val="00B47936"/>
    <w:rsid w:val="00B505F5"/>
    <w:rsid w:val="00B50A82"/>
    <w:rsid w:val="00B518A2"/>
    <w:rsid w:val="00B51966"/>
    <w:rsid w:val="00B51BA9"/>
    <w:rsid w:val="00B5208C"/>
    <w:rsid w:val="00B52134"/>
    <w:rsid w:val="00B52183"/>
    <w:rsid w:val="00B52E0D"/>
    <w:rsid w:val="00B5328A"/>
    <w:rsid w:val="00B53FED"/>
    <w:rsid w:val="00B5432B"/>
    <w:rsid w:val="00B5448E"/>
    <w:rsid w:val="00B54A74"/>
    <w:rsid w:val="00B558EA"/>
    <w:rsid w:val="00B55CF5"/>
    <w:rsid w:val="00B56965"/>
    <w:rsid w:val="00B57C9F"/>
    <w:rsid w:val="00B61F13"/>
    <w:rsid w:val="00B62902"/>
    <w:rsid w:val="00B63636"/>
    <w:rsid w:val="00B63CAB"/>
    <w:rsid w:val="00B645F9"/>
    <w:rsid w:val="00B64CEF"/>
    <w:rsid w:val="00B65302"/>
    <w:rsid w:val="00B65ADB"/>
    <w:rsid w:val="00B66300"/>
    <w:rsid w:val="00B66692"/>
    <w:rsid w:val="00B6699F"/>
    <w:rsid w:val="00B675D9"/>
    <w:rsid w:val="00B6796B"/>
    <w:rsid w:val="00B67F30"/>
    <w:rsid w:val="00B71560"/>
    <w:rsid w:val="00B71D19"/>
    <w:rsid w:val="00B720AB"/>
    <w:rsid w:val="00B7290A"/>
    <w:rsid w:val="00B72C20"/>
    <w:rsid w:val="00B739D0"/>
    <w:rsid w:val="00B73A6E"/>
    <w:rsid w:val="00B73AF1"/>
    <w:rsid w:val="00B75855"/>
    <w:rsid w:val="00B75EA9"/>
    <w:rsid w:val="00B76261"/>
    <w:rsid w:val="00B76801"/>
    <w:rsid w:val="00B76D2E"/>
    <w:rsid w:val="00B7741A"/>
    <w:rsid w:val="00B8017A"/>
    <w:rsid w:val="00B80567"/>
    <w:rsid w:val="00B808FE"/>
    <w:rsid w:val="00B80B28"/>
    <w:rsid w:val="00B80E51"/>
    <w:rsid w:val="00B80E5E"/>
    <w:rsid w:val="00B81A3D"/>
    <w:rsid w:val="00B81BEA"/>
    <w:rsid w:val="00B8234A"/>
    <w:rsid w:val="00B82627"/>
    <w:rsid w:val="00B826E5"/>
    <w:rsid w:val="00B82C0C"/>
    <w:rsid w:val="00B83D1F"/>
    <w:rsid w:val="00B8632A"/>
    <w:rsid w:val="00B86EC4"/>
    <w:rsid w:val="00B90338"/>
    <w:rsid w:val="00B905B4"/>
    <w:rsid w:val="00B9201F"/>
    <w:rsid w:val="00B9260E"/>
    <w:rsid w:val="00B92661"/>
    <w:rsid w:val="00B933C8"/>
    <w:rsid w:val="00B93C89"/>
    <w:rsid w:val="00B93CCD"/>
    <w:rsid w:val="00B95B0D"/>
    <w:rsid w:val="00B96456"/>
    <w:rsid w:val="00B968DD"/>
    <w:rsid w:val="00B97319"/>
    <w:rsid w:val="00B9740E"/>
    <w:rsid w:val="00BA1562"/>
    <w:rsid w:val="00BA2A15"/>
    <w:rsid w:val="00BA2BD1"/>
    <w:rsid w:val="00BA3054"/>
    <w:rsid w:val="00BA44F3"/>
    <w:rsid w:val="00BA4DB9"/>
    <w:rsid w:val="00BA5181"/>
    <w:rsid w:val="00BA52D9"/>
    <w:rsid w:val="00BA5C53"/>
    <w:rsid w:val="00BA6A0B"/>
    <w:rsid w:val="00BA7DD0"/>
    <w:rsid w:val="00BB0249"/>
    <w:rsid w:val="00BB0A26"/>
    <w:rsid w:val="00BB0A83"/>
    <w:rsid w:val="00BB131E"/>
    <w:rsid w:val="00BB1B76"/>
    <w:rsid w:val="00BB21A1"/>
    <w:rsid w:val="00BB21C6"/>
    <w:rsid w:val="00BB2BD9"/>
    <w:rsid w:val="00BB2EA4"/>
    <w:rsid w:val="00BB36B3"/>
    <w:rsid w:val="00BB396F"/>
    <w:rsid w:val="00BB3ECE"/>
    <w:rsid w:val="00BB422C"/>
    <w:rsid w:val="00BB4A3D"/>
    <w:rsid w:val="00BB4D44"/>
    <w:rsid w:val="00BB5732"/>
    <w:rsid w:val="00BB5AB6"/>
    <w:rsid w:val="00BB6F57"/>
    <w:rsid w:val="00BB7811"/>
    <w:rsid w:val="00BC046C"/>
    <w:rsid w:val="00BC19E6"/>
    <w:rsid w:val="00BC2294"/>
    <w:rsid w:val="00BC4210"/>
    <w:rsid w:val="00BC655B"/>
    <w:rsid w:val="00BD0222"/>
    <w:rsid w:val="00BD0AB0"/>
    <w:rsid w:val="00BD1842"/>
    <w:rsid w:val="00BD1D2A"/>
    <w:rsid w:val="00BD2990"/>
    <w:rsid w:val="00BD39E7"/>
    <w:rsid w:val="00BD55E5"/>
    <w:rsid w:val="00BD579D"/>
    <w:rsid w:val="00BD5803"/>
    <w:rsid w:val="00BD5F86"/>
    <w:rsid w:val="00BD6237"/>
    <w:rsid w:val="00BD67A7"/>
    <w:rsid w:val="00BE08E3"/>
    <w:rsid w:val="00BE0E7B"/>
    <w:rsid w:val="00BE17C7"/>
    <w:rsid w:val="00BE2DEC"/>
    <w:rsid w:val="00BE3F75"/>
    <w:rsid w:val="00BE4739"/>
    <w:rsid w:val="00BE4C42"/>
    <w:rsid w:val="00BE4E87"/>
    <w:rsid w:val="00BE52B0"/>
    <w:rsid w:val="00BE5471"/>
    <w:rsid w:val="00BE5801"/>
    <w:rsid w:val="00BE719B"/>
    <w:rsid w:val="00BE7B80"/>
    <w:rsid w:val="00BF29D8"/>
    <w:rsid w:val="00BF349C"/>
    <w:rsid w:val="00BF35C3"/>
    <w:rsid w:val="00BF39AA"/>
    <w:rsid w:val="00BF3EEC"/>
    <w:rsid w:val="00BF3F86"/>
    <w:rsid w:val="00BF4027"/>
    <w:rsid w:val="00BF420E"/>
    <w:rsid w:val="00BF4EC1"/>
    <w:rsid w:val="00BF537B"/>
    <w:rsid w:val="00BF5881"/>
    <w:rsid w:val="00BF5EC4"/>
    <w:rsid w:val="00BF5FEA"/>
    <w:rsid w:val="00BF6A29"/>
    <w:rsid w:val="00BF6F83"/>
    <w:rsid w:val="00C006C0"/>
    <w:rsid w:val="00C00BA6"/>
    <w:rsid w:val="00C00BEA"/>
    <w:rsid w:val="00C01C92"/>
    <w:rsid w:val="00C01F93"/>
    <w:rsid w:val="00C03172"/>
    <w:rsid w:val="00C047C6"/>
    <w:rsid w:val="00C04D8A"/>
    <w:rsid w:val="00C05A9A"/>
    <w:rsid w:val="00C062AE"/>
    <w:rsid w:val="00C064F2"/>
    <w:rsid w:val="00C07338"/>
    <w:rsid w:val="00C1000C"/>
    <w:rsid w:val="00C1063F"/>
    <w:rsid w:val="00C10D06"/>
    <w:rsid w:val="00C112A4"/>
    <w:rsid w:val="00C12983"/>
    <w:rsid w:val="00C14082"/>
    <w:rsid w:val="00C14118"/>
    <w:rsid w:val="00C142BC"/>
    <w:rsid w:val="00C1452D"/>
    <w:rsid w:val="00C148E2"/>
    <w:rsid w:val="00C14B0D"/>
    <w:rsid w:val="00C14B70"/>
    <w:rsid w:val="00C14D1F"/>
    <w:rsid w:val="00C15F4D"/>
    <w:rsid w:val="00C16034"/>
    <w:rsid w:val="00C167FF"/>
    <w:rsid w:val="00C16D7B"/>
    <w:rsid w:val="00C1739E"/>
    <w:rsid w:val="00C2033F"/>
    <w:rsid w:val="00C206D1"/>
    <w:rsid w:val="00C207CA"/>
    <w:rsid w:val="00C208D6"/>
    <w:rsid w:val="00C2099F"/>
    <w:rsid w:val="00C215C2"/>
    <w:rsid w:val="00C21F28"/>
    <w:rsid w:val="00C2239B"/>
    <w:rsid w:val="00C23171"/>
    <w:rsid w:val="00C23AAC"/>
    <w:rsid w:val="00C24781"/>
    <w:rsid w:val="00C24939"/>
    <w:rsid w:val="00C25E14"/>
    <w:rsid w:val="00C2601A"/>
    <w:rsid w:val="00C27E29"/>
    <w:rsid w:val="00C27E68"/>
    <w:rsid w:val="00C30874"/>
    <w:rsid w:val="00C31790"/>
    <w:rsid w:val="00C319AC"/>
    <w:rsid w:val="00C31BA1"/>
    <w:rsid w:val="00C320CE"/>
    <w:rsid w:val="00C32644"/>
    <w:rsid w:val="00C3266B"/>
    <w:rsid w:val="00C32900"/>
    <w:rsid w:val="00C32C1B"/>
    <w:rsid w:val="00C33648"/>
    <w:rsid w:val="00C336B6"/>
    <w:rsid w:val="00C33874"/>
    <w:rsid w:val="00C34AE8"/>
    <w:rsid w:val="00C35BFC"/>
    <w:rsid w:val="00C3610F"/>
    <w:rsid w:val="00C362BB"/>
    <w:rsid w:val="00C365F8"/>
    <w:rsid w:val="00C375C4"/>
    <w:rsid w:val="00C3770A"/>
    <w:rsid w:val="00C3786C"/>
    <w:rsid w:val="00C40BE9"/>
    <w:rsid w:val="00C40D91"/>
    <w:rsid w:val="00C41283"/>
    <w:rsid w:val="00C41366"/>
    <w:rsid w:val="00C41D20"/>
    <w:rsid w:val="00C41F9B"/>
    <w:rsid w:val="00C421AA"/>
    <w:rsid w:val="00C443CE"/>
    <w:rsid w:val="00C4561B"/>
    <w:rsid w:val="00C458CA"/>
    <w:rsid w:val="00C45AC0"/>
    <w:rsid w:val="00C4745B"/>
    <w:rsid w:val="00C475B5"/>
    <w:rsid w:val="00C479D2"/>
    <w:rsid w:val="00C47D65"/>
    <w:rsid w:val="00C50DCB"/>
    <w:rsid w:val="00C51064"/>
    <w:rsid w:val="00C51499"/>
    <w:rsid w:val="00C5165A"/>
    <w:rsid w:val="00C51F4A"/>
    <w:rsid w:val="00C520E1"/>
    <w:rsid w:val="00C534DA"/>
    <w:rsid w:val="00C544F1"/>
    <w:rsid w:val="00C54964"/>
    <w:rsid w:val="00C54B2C"/>
    <w:rsid w:val="00C54CD9"/>
    <w:rsid w:val="00C54E6A"/>
    <w:rsid w:val="00C55426"/>
    <w:rsid w:val="00C55917"/>
    <w:rsid w:val="00C55D03"/>
    <w:rsid w:val="00C56087"/>
    <w:rsid w:val="00C576C8"/>
    <w:rsid w:val="00C57D92"/>
    <w:rsid w:val="00C60BA0"/>
    <w:rsid w:val="00C60E36"/>
    <w:rsid w:val="00C613AD"/>
    <w:rsid w:val="00C618E5"/>
    <w:rsid w:val="00C61D1D"/>
    <w:rsid w:val="00C62148"/>
    <w:rsid w:val="00C62377"/>
    <w:rsid w:val="00C62D54"/>
    <w:rsid w:val="00C6322A"/>
    <w:rsid w:val="00C63A89"/>
    <w:rsid w:val="00C6436A"/>
    <w:rsid w:val="00C64878"/>
    <w:rsid w:val="00C65204"/>
    <w:rsid w:val="00C65520"/>
    <w:rsid w:val="00C6554B"/>
    <w:rsid w:val="00C675C3"/>
    <w:rsid w:val="00C67654"/>
    <w:rsid w:val="00C678D3"/>
    <w:rsid w:val="00C70DDE"/>
    <w:rsid w:val="00C70E13"/>
    <w:rsid w:val="00C713DC"/>
    <w:rsid w:val="00C71480"/>
    <w:rsid w:val="00C715E0"/>
    <w:rsid w:val="00C7231C"/>
    <w:rsid w:val="00C728F2"/>
    <w:rsid w:val="00C729A6"/>
    <w:rsid w:val="00C72F56"/>
    <w:rsid w:val="00C72F6A"/>
    <w:rsid w:val="00C7375D"/>
    <w:rsid w:val="00C73B5D"/>
    <w:rsid w:val="00C73D3A"/>
    <w:rsid w:val="00C74875"/>
    <w:rsid w:val="00C74BEC"/>
    <w:rsid w:val="00C75E4E"/>
    <w:rsid w:val="00C76183"/>
    <w:rsid w:val="00C76A1F"/>
    <w:rsid w:val="00C76E49"/>
    <w:rsid w:val="00C772C9"/>
    <w:rsid w:val="00C77673"/>
    <w:rsid w:val="00C77857"/>
    <w:rsid w:val="00C77D59"/>
    <w:rsid w:val="00C8056F"/>
    <w:rsid w:val="00C80B74"/>
    <w:rsid w:val="00C80E1D"/>
    <w:rsid w:val="00C81659"/>
    <w:rsid w:val="00C81BAD"/>
    <w:rsid w:val="00C81E60"/>
    <w:rsid w:val="00C82166"/>
    <w:rsid w:val="00C82426"/>
    <w:rsid w:val="00C82EC0"/>
    <w:rsid w:val="00C83072"/>
    <w:rsid w:val="00C83101"/>
    <w:rsid w:val="00C83273"/>
    <w:rsid w:val="00C83B86"/>
    <w:rsid w:val="00C83C56"/>
    <w:rsid w:val="00C83C58"/>
    <w:rsid w:val="00C84A27"/>
    <w:rsid w:val="00C85287"/>
    <w:rsid w:val="00C8572B"/>
    <w:rsid w:val="00C86BFE"/>
    <w:rsid w:val="00C86D9F"/>
    <w:rsid w:val="00C87347"/>
    <w:rsid w:val="00C9018A"/>
    <w:rsid w:val="00C9065A"/>
    <w:rsid w:val="00C91399"/>
    <w:rsid w:val="00C91AB8"/>
    <w:rsid w:val="00C91EC5"/>
    <w:rsid w:val="00C92064"/>
    <w:rsid w:val="00C920CA"/>
    <w:rsid w:val="00C92AFB"/>
    <w:rsid w:val="00C93264"/>
    <w:rsid w:val="00C93350"/>
    <w:rsid w:val="00C93906"/>
    <w:rsid w:val="00C9395D"/>
    <w:rsid w:val="00C9519E"/>
    <w:rsid w:val="00C95263"/>
    <w:rsid w:val="00C95A4C"/>
    <w:rsid w:val="00C960EA"/>
    <w:rsid w:val="00C96962"/>
    <w:rsid w:val="00C97196"/>
    <w:rsid w:val="00C97209"/>
    <w:rsid w:val="00C97A7B"/>
    <w:rsid w:val="00CA000D"/>
    <w:rsid w:val="00CA0268"/>
    <w:rsid w:val="00CA0786"/>
    <w:rsid w:val="00CA09B5"/>
    <w:rsid w:val="00CA0D67"/>
    <w:rsid w:val="00CA1FB3"/>
    <w:rsid w:val="00CA28FA"/>
    <w:rsid w:val="00CA2A0A"/>
    <w:rsid w:val="00CA3083"/>
    <w:rsid w:val="00CA3581"/>
    <w:rsid w:val="00CA39F5"/>
    <w:rsid w:val="00CA4071"/>
    <w:rsid w:val="00CA4B81"/>
    <w:rsid w:val="00CA4D83"/>
    <w:rsid w:val="00CA4E40"/>
    <w:rsid w:val="00CA4FD5"/>
    <w:rsid w:val="00CA5034"/>
    <w:rsid w:val="00CA59A4"/>
    <w:rsid w:val="00CA5C47"/>
    <w:rsid w:val="00CA620A"/>
    <w:rsid w:val="00CA6568"/>
    <w:rsid w:val="00CA6A74"/>
    <w:rsid w:val="00CA6B46"/>
    <w:rsid w:val="00CA74C3"/>
    <w:rsid w:val="00CA7AE9"/>
    <w:rsid w:val="00CA7B8F"/>
    <w:rsid w:val="00CB1C00"/>
    <w:rsid w:val="00CB1F00"/>
    <w:rsid w:val="00CB2DE3"/>
    <w:rsid w:val="00CB4458"/>
    <w:rsid w:val="00CB6BA5"/>
    <w:rsid w:val="00CB7622"/>
    <w:rsid w:val="00CC0676"/>
    <w:rsid w:val="00CC123A"/>
    <w:rsid w:val="00CC1393"/>
    <w:rsid w:val="00CC14F6"/>
    <w:rsid w:val="00CC209B"/>
    <w:rsid w:val="00CC27E2"/>
    <w:rsid w:val="00CC352F"/>
    <w:rsid w:val="00CC4198"/>
    <w:rsid w:val="00CC439F"/>
    <w:rsid w:val="00CC450C"/>
    <w:rsid w:val="00CC469A"/>
    <w:rsid w:val="00CC4C65"/>
    <w:rsid w:val="00CC550F"/>
    <w:rsid w:val="00CC5A80"/>
    <w:rsid w:val="00CC5A9C"/>
    <w:rsid w:val="00CC63CB"/>
    <w:rsid w:val="00CC655A"/>
    <w:rsid w:val="00CC6723"/>
    <w:rsid w:val="00CC718B"/>
    <w:rsid w:val="00CC765E"/>
    <w:rsid w:val="00CC76B9"/>
    <w:rsid w:val="00CC7D2D"/>
    <w:rsid w:val="00CD0087"/>
    <w:rsid w:val="00CD009E"/>
    <w:rsid w:val="00CD0629"/>
    <w:rsid w:val="00CD0A02"/>
    <w:rsid w:val="00CD0BD3"/>
    <w:rsid w:val="00CD1B06"/>
    <w:rsid w:val="00CD2685"/>
    <w:rsid w:val="00CD2F6A"/>
    <w:rsid w:val="00CD3D94"/>
    <w:rsid w:val="00CD4206"/>
    <w:rsid w:val="00CD4A34"/>
    <w:rsid w:val="00CD51F4"/>
    <w:rsid w:val="00CD58A5"/>
    <w:rsid w:val="00CD5907"/>
    <w:rsid w:val="00CD5A4B"/>
    <w:rsid w:val="00CD7223"/>
    <w:rsid w:val="00CD753B"/>
    <w:rsid w:val="00CE03D6"/>
    <w:rsid w:val="00CE2A61"/>
    <w:rsid w:val="00CE478F"/>
    <w:rsid w:val="00CE5F5A"/>
    <w:rsid w:val="00CE5F73"/>
    <w:rsid w:val="00CE66E0"/>
    <w:rsid w:val="00CE6A09"/>
    <w:rsid w:val="00CE7497"/>
    <w:rsid w:val="00CE7C6A"/>
    <w:rsid w:val="00CE7F38"/>
    <w:rsid w:val="00CE7FF2"/>
    <w:rsid w:val="00CF0D76"/>
    <w:rsid w:val="00CF2366"/>
    <w:rsid w:val="00CF2A72"/>
    <w:rsid w:val="00CF2C26"/>
    <w:rsid w:val="00CF34B0"/>
    <w:rsid w:val="00CF37AD"/>
    <w:rsid w:val="00CF3937"/>
    <w:rsid w:val="00CF3948"/>
    <w:rsid w:val="00CF4545"/>
    <w:rsid w:val="00CF4ACD"/>
    <w:rsid w:val="00CF5865"/>
    <w:rsid w:val="00CF70CE"/>
    <w:rsid w:val="00CF7AF2"/>
    <w:rsid w:val="00D0091D"/>
    <w:rsid w:val="00D01E1D"/>
    <w:rsid w:val="00D02DAD"/>
    <w:rsid w:val="00D039C8"/>
    <w:rsid w:val="00D03B65"/>
    <w:rsid w:val="00D03EF0"/>
    <w:rsid w:val="00D03FB1"/>
    <w:rsid w:val="00D0455C"/>
    <w:rsid w:val="00D047ED"/>
    <w:rsid w:val="00D04843"/>
    <w:rsid w:val="00D05CC2"/>
    <w:rsid w:val="00D06720"/>
    <w:rsid w:val="00D0731B"/>
    <w:rsid w:val="00D07AD4"/>
    <w:rsid w:val="00D106D5"/>
    <w:rsid w:val="00D12270"/>
    <w:rsid w:val="00D14313"/>
    <w:rsid w:val="00D14A49"/>
    <w:rsid w:val="00D14AF7"/>
    <w:rsid w:val="00D14F00"/>
    <w:rsid w:val="00D15A2D"/>
    <w:rsid w:val="00D16C6F"/>
    <w:rsid w:val="00D16C86"/>
    <w:rsid w:val="00D16E34"/>
    <w:rsid w:val="00D16E48"/>
    <w:rsid w:val="00D17233"/>
    <w:rsid w:val="00D17915"/>
    <w:rsid w:val="00D20387"/>
    <w:rsid w:val="00D20785"/>
    <w:rsid w:val="00D20876"/>
    <w:rsid w:val="00D2117B"/>
    <w:rsid w:val="00D21CDF"/>
    <w:rsid w:val="00D2203A"/>
    <w:rsid w:val="00D23121"/>
    <w:rsid w:val="00D23BE0"/>
    <w:rsid w:val="00D259FE"/>
    <w:rsid w:val="00D27BA7"/>
    <w:rsid w:val="00D31051"/>
    <w:rsid w:val="00D310BF"/>
    <w:rsid w:val="00D315E8"/>
    <w:rsid w:val="00D3163C"/>
    <w:rsid w:val="00D31661"/>
    <w:rsid w:val="00D3167A"/>
    <w:rsid w:val="00D31840"/>
    <w:rsid w:val="00D318CA"/>
    <w:rsid w:val="00D32176"/>
    <w:rsid w:val="00D32936"/>
    <w:rsid w:val="00D32CDA"/>
    <w:rsid w:val="00D33782"/>
    <w:rsid w:val="00D34503"/>
    <w:rsid w:val="00D3476D"/>
    <w:rsid w:val="00D347D8"/>
    <w:rsid w:val="00D356B9"/>
    <w:rsid w:val="00D36877"/>
    <w:rsid w:val="00D36E16"/>
    <w:rsid w:val="00D37377"/>
    <w:rsid w:val="00D37A8C"/>
    <w:rsid w:val="00D37E39"/>
    <w:rsid w:val="00D40FA6"/>
    <w:rsid w:val="00D41089"/>
    <w:rsid w:val="00D41798"/>
    <w:rsid w:val="00D41C1C"/>
    <w:rsid w:val="00D42036"/>
    <w:rsid w:val="00D426F9"/>
    <w:rsid w:val="00D42F3D"/>
    <w:rsid w:val="00D42FDF"/>
    <w:rsid w:val="00D4390F"/>
    <w:rsid w:val="00D43CF8"/>
    <w:rsid w:val="00D46C1F"/>
    <w:rsid w:val="00D46E60"/>
    <w:rsid w:val="00D471D9"/>
    <w:rsid w:val="00D47294"/>
    <w:rsid w:val="00D501BE"/>
    <w:rsid w:val="00D506A1"/>
    <w:rsid w:val="00D50737"/>
    <w:rsid w:val="00D515E0"/>
    <w:rsid w:val="00D51AE8"/>
    <w:rsid w:val="00D51E80"/>
    <w:rsid w:val="00D5202F"/>
    <w:rsid w:val="00D5211A"/>
    <w:rsid w:val="00D535C9"/>
    <w:rsid w:val="00D540DC"/>
    <w:rsid w:val="00D54659"/>
    <w:rsid w:val="00D54889"/>
    <w:rsid w:val="00D54B1B"/>
    <w:rsid w:val="00D55690"/>
    <w:rsid w:val="00D55751"/>
    <w:rsid w:val="00D55ABD"/>
    <w:rsid w:val="00D55CB0"/>
    <w:rsid w:val="00D55D7A"/>
    <w:rsid w:val="00D56A4A"/>
    <w:rsid w:val="00D56ECA"/>
    <w:rsid w:val="00D56F5F"/>
    <w:rsid w:val="00D5704D"/>
    <w:rsid w:val="00D57A95"/>
    <w:rsid w:val="00D6028C"/>
    <w:rsid w:val="00D60520"/>
    <w:rsid w:val="00D60BF1"/>
    <w:rsid w:val="00D60E0C"/>
    <w:rsid w:val="00D615EE"/>
    <w:rsid w:val="00D621C7"/>
    <w:rsid w:val="00D62848"/>
    <w:rsid w:val="00D6296F"/>
    <w:rsid w:val="00D63604"/>
    <w:rsid w:val="00D6370D"/>
    <w:rsid w:val="00D637A7"/>
    <w:rsid w:val="00D63AAB"/>
    <w:rsid w:val="00D63C9B"/>
    <w:rsid w:val="00D63FEB"/>
    <w:rsid w:val="00D64CF7"/>
    <w:rsid w:val="00D6554E"/>
    <w:rsid w:val="00D655FB"/>
    <w:rsid w:val="00D65BF5"/>
    <w:rsid w:val="00D67041"/>
    <w:rsid w:val="00D67262"/>
    <w:rsid w:val="00D70F12"/>
    <w:rsid w:val="00D7129B"/>
    <w:rsid w:val="00D73EB7"/>
    <w:rsid w:val="00D748F4"/>
    <w:rsid w:val="00D74AFF"/>
    <w:rsid w:val="00D74CE4"/>
    <w:rsid w:val="00D754E3"/>
    <w:rsid w:val="00D75636"/>
    <w:rsid w:val="00D756B1"/>
    <w:rsid w:val="00D75869"/>
    <w:rsid w:val="00D75B6D"/>
    <w:rsid w:val="00D762AE"/>
    <w:rsid w:val="00D7687D"/>
    <w:rsid w:val="00D76B3E"/>
    <w:rsid w:val="00D76FAA"/>
    <w:rsid w:val="00D777C6"/>
    <w:rsid w:val="00D813F1"/>
    <w:rsid w:val="00D8174F"/>
    <w:rsid w:val="00D81E04"/>
    <w:rsid w:val="00D82267"/>
    <w:rsid w:val="00D826BF"/>
    <w:rsid w:val="00D838D0"/>
    <w:rsid w:val="00D838E4"/>
    <w:rsid w:val="00D8435F"/>
    <w:rsid w:val="00D85D23"/>
    <w:rsid w:val="00D86906"/>
    <w:rsid w:val="00D86993"/>
    <w:rsid w:val="00D869D9"/>
    <w:rsid w:val="00D86D44"/>
    <w:rsid w:val="00D870C9"/>
    <w:rsid w:val="00D87D4E"/>
    <w:rsid w:val="00D87DC6"/>
    <w:rsid w:val="00D87F1F"/>
    <w:rsid w:val="00D91309"/>
    <w:rsid w:val="00D916E8"/>
    <w:rsid w:val="00D918F5"/>
    <w:rsid w:val="00D91EEE"/>
    <w:rsid w:val="00D91EF2"/>
    <w:rsid w:val="00D9241C"/>
    <w:rsid w:val="00D92B37"/>
    <w:rsid w:val="00D92DD5"/>
    <w:rsid w:val="00D934B1"/>
    <w:rsid w:val="00D93B32"/>
    <w:rsid w:val="00D93B45"/>
    <w:rsid w:val="00D94BB1"/>
    <w:rsid w:val="00D97617"/>
    <w:rsid w:val="00D97627"/>
    <w:rsid w:val="00D976A7"/>
    <w:rsid w:val="00D9792F"/>
    <w:rsid w:val="00DA0254"/>
    <w:rsid w:val="00DA12ED"/>
    <w:rsid w:val="00DA168C"/>
    <w:rsid w:val="00DA34BF"/>
    <w:rsid w:val="00DA3541"/>
    <w:rsid w:val="00DA3675"/>
    <w:rsid w:val="00DA4397"/>
    <w:rsid w:val="00DA44EF"/>
    <w:rsid w:val="00DA49C9"/>
    <w:rsid w:val="00DA51BD"/>
    <w:rsid w:val="00DA69C3"/>
    <w:rsid w:val="00DA6DEC"/>
    <w:rsid w:val="00DA6E1A"/>
    <w:rsid w:val="00DA723F"/>
    <w:rsid w:val="00DA73F1"/>
    <w:rsid w:val="00DA77F0"/>
    <w:rsid w:val="00DB00E4"/>
    <w:rsid w:val="00DB0840"/>
    <w:rsid w:val="00DB1140"/>
    <w:rsid w:val="00DB1166"/>
    <w:rsid w:val="00DB2925"/>
    <w:rsid w:val="00DB2E1F"/>
    <w:rsid w:val="00DB31D6"/>
    <w:rsid w:val="00DB397F"/>
    <w:rsid w:val="00DB3BE4"/>
    <w:rsid w:val="00DB3C87"/>
    <w:rsid w:val="00DB3EE8"/>
    <w:rsid w:val="00DB5117"/>
    <w:rsid w:val="00DB5AE5"/>
    <w:rsid w:val="00DB69C7"/>
    <w:rsid w:val="00DB7025"/>
    <w:rsid w:val="00DB704F"/>
    <w:rsid w:val="00DB71BE"/>
    <w:rsid w:val="00DB73FF"/>
    <w:rsid w:val="00DB786A"/>
    <w:rsid w:val="00DB7DC8"/>
    <w:rsid w:val="00DB7ECF"/>
    <w:rsid w:val="00DC0733"/>
    <w:rsid w:val="00DC1AB1"/>
    <w:rsid w:val="00DC2D55"/>
    <w:rsid w:val="00DC3B62"/>
    <w:rsid w:val="00DC3D79"/>
    <w:rsid w:val="00DC45D3"/>
    <w:rsid w:val="00DC4BEA"/>
    <w:rsid w:val="00DC4C3A"/>
    <w:rsid w:val="00DC4D77"/>
    <w:rsid w:val="00DC4E96"/>
    <w:rsid w:val="00DC4EDD"/>
    <w:rsid w:val="00DC51D7"/>
    <w:rsid w:val="00DC538D"/>
    <w:rsid w:val="00DC5829"/>
    <w:rsid w:val="00DC5BA6"/>
    <w:rsid w:val="00DC600A"/>
    <w:rsid w:val="00DC619B"/>
    <w:rsid w:val="00DC639A"/>
    <w:rsid w:val="00DC6527"/>
    <w:rsid w:val="00DC77D6"/>
    <w:rsid w:val="00DD12E0"/>
    <w:rsid w:val="00DD1392"/>
    <w:rsid w:val="00DD3280"/>
    <w:rsid w:val="00DD36C7"/>
    <w:rsid w:val="00DD3AA4"/>
    <w:rsid w:val="00DD3BDB"/>
    <w:rsid w:val="00DD45D2"/>
    <w:rsid w:val="00DD526F"/>
    <w:rsid w:val="00DD5303"/>
    <w:rsid w:val="00DD56D4"/>
    <w:rsid w:val="00DD6F4E"/>
    <w:rsid w:val="00DD760A"/>
    <w:rsid w:val="00DD7904"/>
    <w:rsid w:val="00DE06EB"/>
    <w:rsid w:val="00DE116A"/>
    <w:rsid w:val="00DE1A8A"/>
    <w:rsid w:val="00DE27F5"/>
    <w:rsid w:val="00DE4028"/>
    <w:rsid w:val="00DE4885"/>
    <w:rsid w:val="00DE4910"/>
    <w:rsid w:val="00DE58A4"/>
    <w:rsid w:val="00DE6535"/>
    <w:rsid w:val="00DE67EF"/>
    <w:rsid w:val="00DE6C91"/>
    <w:rsid w:val="00DE7FF8"/>
    <w:rsid w:val="00DF057F"/>
    <w:rsid w:val="00DF1A23"/>
    <w:rsid w:val="00DF296A"/>
    <w:rsid w:val="00DF29CD"/>
    <w:rsid w:val="00DF3173"/>
    <w:rsid w:val="00DF569C"/>
    <w:rsid w:val="00DF5853"/>
    <w:rsid w:val="00DF591A"/>
    <w:rsid w:val="00DF6101"/>
    <w:rsid w:val="00DF63A3"/>
    <w:rsid w:val="00DF65AD"/>
    <w:rsid w:val="00DF6DAC"/>
    <w:rsid w:val="00DF6DF4"/>
    <w:rsid w:val="00DF7DB1"/>
    <w:rsid w:val="00DF7E0A"/>
    <w:rsid w:val="00E000F9"/>
    <w:rsid w:val="00E002ED"/>
    <w:rsid w:val="00E009C7"/>
    <w:rsid w:val="00E00E97"/>
    <w:rsid w:val="00E03FF0"/>
    <w:rsid w:val="00E04364"/>
    <w:rsid w:val="00E0461D"/>
    <w:rsid w:val="00E04F84"/>
    <w:rsid w:val="00E04FFD"/>
    <w:rsid w:val="00E05C9B"/>
    <w:rsid w:val="00E06F6F"/>
    <w:rsid w:val="00E11EB7"/>
    <w:rsid w:val="00E12D33"/>
    <w:rsid w:val="00E133B1"/>
    <w:rsid w:val="00E133C0"/>
    <w:rsid w:val="00E13DD4"/>
    <w:rsid w:val="00E14246"/>
    <w:rsid w:val="00E14419"/>
    <w:rsid w:val="00E14436"/>
    <w:rsid w:val="00E144C4"/>
    <w:rsid w:val="00E147D2"/>
    <w:rsid w:val="00E147D9"/>
    <w:rsid w:val="00E14DC0"/>
    <w:rsid w:val="00E155ED"/>
    <w:rsid w:val="00E15B8C"/>
    <w:rsid w:val="00E15D67"/>
    <w:rsid w:val="00E169DF"/>
    <w:rsid w:val="00E16BA0"/>
    <w:rsid w:val="00E179D1"/>
    <w:rsid w:val="00E20B79"/>
    <w:rsid w:val="00E216ED"/>
    <w:rsid w:val="00E23A66"/>
    <w:rsid w:val="00E250CC"/>
    <w:rsid w:val="00E2545D"/>
    <w:rsid w:val="00E2557D"/>
    <w:rsid w:val="00E2582A"/>
    <w:rsid w:val="00E25C09"/>
    <w:rsid w:val="00E25ED7"/>
    <w:rsid w:val="00E25F5E"/>
    <w:rsid w:val="00E26369"/>
    <w:rsid w:val="00E266D5"/>
    <w:rsid w:val="00E27024"/>
    <w:rsid w:val="00E300C9"/>
    <w:rsid w:val="00E301AA"/>
    <w:rsid w:val="00E30C71"/>
    <w:rsid w:val="00E316A3"/>
    <w:rsid w:val="00E31C4C"/>
    <w:rsid w:val="00E32242"/>
    <w:rsid w:val="00E32734"/>
    <w:rsid w:val="00E32B35"/>
    <w:rsid w:val="00E33245"/>
    <w:rsid w:val="00E33D78"/>
    <w:rsid w:val="00E33D81"/>
    <w:rsid w:val="00E34302"/>
    <w:rsid w:val="00E34902"/>
    <w:rsid w:val="00E35CE8"/>
    <w:rsid w:val="00E35FCA"/>
    <w:rsid w:val="00E367AA"/>
    <w:rsid w:val="00E368F9"/>
    <w:rsid w:val="00E36C38"/>
    <w:rsid w:val="00E37820"/>
    <w:rsid w:val="00E379E9"/>
    <w:rsid w:val="00E37CA6"/>
    <w:rsid w:val="00E4034A"/>
    <w:rsid w:val="00E403C8"/>
    <w:rsid w:val="00E405AA"/>
    <w:rsid w:val="00E40643"/>
    <w:rsid w:val="00E40795"/>
    <w:rsid w:val="00E40851"/>
    <w:rsid w:val="00E40AD2"/>
    <w:rsid w:val="00E40C21"/>
    <w:rsid w:val="00E41DCE"/>
    <w:rsid w:val="00E4257C"/>
    <w:rsid w:val="00E429E4"/>
    <w:rsid w:val="00E42FFA"/>
    <w:rsid w:val="00E43153"/>
    <w:rsid w:val="00E43387"/>
    <w:rsid w:val="00E441AF"/>
    <w:rsid w:val="00E44901"/>
    <w:rsid w:val="00E4522C"/>
    <w:rsid w:val="00E456FC"/>
    <w:rsid w:val="00E46659"/>
    <w:rsid w:val="00E46A3E"/>
    <w:rsid w:val="00E46BC3"/>
    <w:rsid w:val="00E46E6B"/>
    <w:rsid w:val="00E471B6"/>
    <w:rsid w:val="00E474A9"/>
    <w:rsid w:val="00E47EB7"/>
    <w:rsid w:val="00E47F05"/>
    <w:rsid w:val="00E50356"/>
    <w:rsid w:val="00E50440"/>
    <w:rsid w:val="00E51564"/>
    <w:rsid w:val="00E51EAF"/>
    <w:rsid w:val="00E521DF"/>
    <w:rsid w:val="00E5245C"/>
    <w:rsid w:val="00E53C72"/>
    <w:rsid w:val="00E5441A"/>
    <w:rsid w:val="00E54459"/>
    <w:rsid w:val="00E54C9A"/>
    <w:rsid w:val="00E55614"/>
    <w:rsid w:val="00E5580F"/>
    <w:rsid w:val="00E55820"/>
    <w:rsid w:val="00E558B5"/>
    <w:rsid w:val="00E55C89"/>
    <w:rsid w:val="00E56EBC"/>
    <w:rsid w:val="00E575E8"/>
    <w:rsid w:val="00E57ACC"/>
    <w:rsid w:val="00E607A5"/>
    <w:rsid w:val="00E60C20"/>
    <w:rsid w:val="00E61343"/>
    <w:rsid w:val="00E6191F"/>
    <w:rsid w:val="00E61D9F"/>
    <w:rsid w:val="00E61FED"/>
    <w:rsid w:val="00E627F5"/>
    <w:rsid w:val="00E62A61"/>
    <w:rsid w:val="00E62D25"/>
    <w:rsid w:val="00E64B46"/>
    <w:rsid w:val="00E650E0"/>
    <w:rsid w:val="00E66109"/>
    <w:rsid w:val="00E6614E"/>
    <w:rsid w:val="00E66ECB"/>
    <w:rsid w:val="00E67B5B"/>
    <w:rsid w:val="00E67CD3"/>
    <w:rsid w:val="00E70515"/>
    <w:rsid w:val="00E706EA"/>
    <w:rsid w:val="00E7076A"/>
    <w:rsid w:val="00E70C9C"/>
    <w:rsid w:val="00E71DDB"/>
    <w:rsid w:val="00E72E67"/>
    <w:rsid w:val="00E72E83"/>
    <w:rsid w:val="00E72EB2"/>
    <w:rsid w:val="00E73486"/>
    <w:rsid w:val="00E73CEB"/>
    <w:rsid w:val="00E74FFB"/>
    <w:rsid w:val="00E756E6"/>
    <w:rsid w:val="00E758A2"/>
    <w:rsid w:val="00E76A96"/>
    <w:rsid w:val="00E77521"/>
    <w:rsid w:val="00E77591"/>
    <w:rsid w:val="00E777FF"/>
    <w:rsid w:val="00E80810"/>
    <w:rsid w:val="00E811A7"/>
    <w:rsid w:val="00E82336"/>
    <w:rsid w:val="00E829C6"/>
    <w:rsid w:val="00E829EC"/>
    <w:rsid w:val="00E830BA"/>
    <w:rsid w:val="00E835EA"/>
    <w:rsid w:val="00E83828"/>
    <w:rsid w:val="00E84BC7"/>
    <w:rsid w:val="00E85D49"/>
    <w:rsid w:val="00E868D7"/>
    <w:rsid w:val="00E86EDA"/>
    <w:rsid w:val="00E8700F"/>
    <w:rsid w:val="00E872C9"/>
    <w:rsid w:val="00E8771B"/>
    <w:rsid w:val="00E87AC0"/>
    <w:rsid w:val="00E9026C"/>
    <w:rsid w:val="00E9037D"/>
    <w:rsid w:val="00E90514"/>
    <w:rsid w:val="00E905D9"/>
    <w:rsid w:val="00E90B6C"/>
    <w:rsid w:val="00E91572"/>
    <w:rsid w:val="00E91694"/>
    <w:rsid w:val="00E9180C"/>
    <w:rsid w:val="00E91D24"/>
    <w:rsid w:val="00E922A7"/>
    <w:rsid w:val="00E9244A"/>
    <w:rsid w:val="00E926D2"/>
    <w:rsid w:val="00E92972"/>
    <w:rsid w:val="00E93F53"/>
    <w:rsid w:val="00E94D86"/>
    <w:rsid w:val="00E95003"/>
    <w:rsid w:val="00E957E0"/>
    <w:rsid w:val="00E95A05"/>
    <w:rsid w:val="00E95B1B"/>
    <w:rsid w:val="00E95FD5"/>
    <w:rsid w:val="00E96C76"/>
    <w:rsid w:val="00E97547"/>
    <w:rsid w:val="00E97E1B"/>
    <w:rsid w:val="00EA137A"/>
    <w:rsid w:val="00EA16B4"/>
    <w:rsid w:val="00EA16CF"/>
    <w:rsid w:val="00EA1C2F"/>
    <w:rsid w:val="00EA1FC4"/>
    <w:rsid w:val="00EA22E2"/>
    <w:rsid w:val="00EA23C0"/>
    <w:rsid w:val="00EA2B84"/>
    <w:rsid w:val="00EA41F0"/>
    <w:rsid w:val="00EA42C6"/>
    <w:rsid w:val="00EA498E"/>
    <w:rsid w:val="00EA4A8F"/>
    <w:rsid w:val="00EA4C89"/>
    <w:rsid w:val="00EA4E65"/>
    <w:rsid w:val="00EA51D7"/>
    <w:rsid w:val="00EA522B"/>
    <w:rsid w:val="00EA5719"/>
    <w:rsid w:val="00EA6BAD"/>
    <w:rsid w:val="00EA7563"/>
    <w:rsid w:val="00EA7E95"/>
    <w:rsid w:val="00EB0688"/>
    <w:rsid w:val="00EB1C07"/>
    <w:rsid w:val="00EB1D51"/>
    <w:rsid w:val="00EB2308"/>
    <w:rsid w:val="00EB27E3"/>
    <w:rsid w:val="00EB39FA"/>
    <w:rsid w:val="00EB3D27"/>
    <w:rsid w:val="00EB4102"/>
    <w:rsid w:val="00EB4368"/>
    <w:rsid w:val="00EB47B1"/>
    <w:rsid w:val="00EB498C"/>
    <w:rsid w:val="00EB4FB7"/>
    <w:rsid w:val="00EB56FA"/>
    <w:rsid w:val="00EB5E73"/>
    <w:rsid w:val="00EB63E1"/>
    <w:rsid w:val="00EB64EC"/>
    <w:rsid w:val="00EB671F"/>
    <w:rsid w:val="00EB6B53"/>
    <w:rsid w:val="00EB7660"/>
    <w:rsid w:val="00EB7884"/>
    <w:rsid w:val="00EB7CE1"/>
    <w:rsid w:val="00EC0B22"/>
    <w:rsid w:val="00EC11C5"/>
    <w:rsid w:val="00EC129F"/>
    <w:rsid w:val="00EC1862"/>
    <w:rsid w:val="00EC1AFD"/>
    <w:rsid w:val="00EC210D"/>
    <w:rsid w:val="00EC302B"/>
    <w:rsid w:val="00EC55E7"/>
    <w:rsid w:val="00EC5A6D"/>
    <w:rsid w:val="00EC5D96"/>
    <w:rsid w:val="00EC5E89"/>
    <w:rsid w:val="00EC5F66"/>
    <w:rsid w:val="00EC7634"/>
    <w:rsid w:val="00EC78CB"/>
    <w:rsid w:val="00EC7CFD"/>
    <w:rsid w:val="00ED04ED"/>
    <w:rsid w:val="00ED09D0"/>
    <w:rsid w:val="00ED115F"/>
    <w:rsid w:val="00ED25F2"/>
    <w:rsid w:val="00ED2B82"/>
    <w:rsid w:val="00ED3054"/>
    <w:rsid w:val="00ED332E"/>
    <w:rsid w:val="00ED3377"/>
    <w:rsid w:val="00ED37F3"/>
    <w:rsid w:val="00ED3F39"/>
    <w:rsid w:val="00ED49E5"/>
    <w:rsid w:val="00ED4ADA"/>
    <w:rsid w:val="00ED4D09"/>
    <w:rsid w:val="00ED55B1"/>
    <w:rsid w:val="00ED6093"/>
    <w:rsid w:val="00ED60B2"/>
    <w:rsid w:val="00ED66CE"/>
    <w:rsid w:val="00ED67A0"/>
    <w:rsid w:val="00ED736E"/>
    <w:rsid w:val="00ED79C9"/>
    <w:rsid w:val="00ED7CE0"/>
    <w:rsid w:val="00EE0035"/>
    <w:rsid w:val="00EE0287"/>
    <w:rsid w:val="00EE0D68"/>
    <w:rsid w:val="00EE0FA1"/>
    <w:rsid w:val="00EE2B68"/>
    <w:rsid w:val="00EE387F"/>
    <w:rsid w:val="00EE3931"/>
    <w:rsid w:val="00EE4264"/>
    <w:rsid w:val="00EE4F00"/>
    <w:rsid w:val="00EE517C"/>
    <w:rsid w:val="00EE5282"/>
    <w:rsid w:val="00EE56D0"/>
    <w:rsid w:val="00EE598E"/>
    <w:rsid w:val="00EE5B56"/>
    <w:rsid w:val="00EE6251"/>
    <w:rsid w:val="00EE655F"/>
    <w:rsid w:val="00EE71FD"/>
    <w:rsid w:val="00EF0303"/>
    <w:rsid w:val="00EF0685"/>
    <w:rsid w:val="00EF36FA"/>
    <w:rsid w:val="00EF4C86"/>
    <w:rsid w:val="00EF5205"/>
    <w:rsid w:val="00EF5288"/>
    <w:rsid w:val="00EF5478"/>
    <w:rsid w:val="00EF54F0"/>
    <w:rsid w:val="00EF5A38"/>
    <w:rsid w:val="00EF5C2D"/>
    <w:rsid w:val="00EF6323"/>
    <w:rsid w:val="00EF7492"/>
    <w:rsid w:val="00EF75FC"/>
    <w:rsid w:val="00F0028D"/>
    <w:rsid w:val="00F00650"/>
    <w:rsid w:val="00F009DE"/>
    <w:rsid w:val="00F00A68"/>
    <w:rsid w:val="00F01376"/>
    <w:rsid w:val="00F01CAD"/>
    <w:rsid w:val="00F0245B"/>
    <w:rsid w:val="00F02E76"/>
    <w:rsid w:val="00F02F9E"/>
    <w:rsid w:val="00F03BD5"/>
    <w:rsid w:val="00F03CB2"/>
    <w:rsid w:val="00F05368"/>
    <w:rsid w:val="00F05729"/>
    <w:rsid w:val="00F05E78"/>
    <w:rsid w:val="00F0639E"/>
    <w:rsid w:val="00F067B7"/>
    <w:rsid w:val="00F06906"/>
    <w:rsid w:val="00F06BC1"/>
    <w:rsid w:val="00F06FDD"/>
    <w:rsid w:val="00F076DE"/>
    <w:rsid w:val="00F0793F"/>
    <w:rsid w:val="00F1009A"/>
    <w:rsid w:val="00F10120"/>
    <w:rsid w:val="00F1037B"/>
    <w:rsid w:val="00F10B59"/>
    <w:rsid w:val="00F10E0D"/>
    <w:rsid w:val="00F10E4A"/>
    <w:rsid w:val="00F115D5"/>
    <w:rsid w:val="00F11C9F"/>
    <w:rsid w:val="00F12996"/>
    <w:rsid w:val="00F12B9B"/>
    <w:rsid w:val="00F13338"/>
    <w:rsid w:val="00F13AFB"/>
    <w:rsid w:val="00F13B40"/>
    <w:rsid w:val="00F13C74"/>
    <w:rsid w:val="00F146B2"/>
    <w:rsid w:val="00F1523A"/>
    <w:rsid w:val="00F1529C"/>
    <w:rsid w:val="00F155CA"/>
    <w:rsid w:val="00F1592B"/>
    <w:rsid w:val="00F162E7"/>
    <w:rsid w:val="00F166BD"/>
    <w:rsid w:val="00F174CC"/>
    <w:rsid w:val="00F17E6C"/>
    <w:rsid w:val="00F20359"/>
    <w:rsid w:val="00F22188"/>
    <w:rsid w:val="00F22778"/>
    <w:rsid w:val="00F2312E"/>
    <w:rsid w:val="00F23919"/>
    <w:rsid w:val="00F23A26"/>
    <w:rsid w:val="00F23ADB"/>
    <w:rsid w:val="00F23B9A"/>
    <w:rsid w:val="00F24483"/>
    <w:rsid w:val="00F24B45"/>
    <w:rsid w:val="00F251F0"/>
    <w:rsid w:val="00F259B4"/>
    <w:rsid w:val="00F25F7A"/>
    <w:rsid w:val="00F26212"/>
    <w:rsid w:val="00F27BC3"/>
    <w:rsid w:val="00F27C8D"/>
    <w:rsid w:val="00F30FD7"/>
    <w:rsid w:val="00F32138"/>
    <w:rsid w:val="00F322E2"/>
    <w:rsid w:val="00F32FB7"/>
    <w:rsid w:val="00F342C1"/>
    <w:rsid w:val="00F34514"/>
    <w:rsid w:val="00F34DEE"/>
    <w:rsid w:val="00F353B7"/>
    <w:rsid w:val="00F35842"/>
    <w:rsid w:val="00F36256"/>
    <w:rsid w:val="00F37178"/>
    <w:rsid w:val="00F40309"/>
    <w:rsid w:val="00F405E5"/>
    <w:rsid w:val="00F4144F"/>
    <w:rsid w:val="00F41953"/>
    <w:rsid w:val="00F420AD"/>
    <w:rsid w:val="00F4293D"/>
    <w:rsid w:val="00F42B37"/>
    <w:rsid w:val="00F42D69"/>
    <w:rsid w:val="00F42D9E"/>
    <w:rsid w:val="00F4463E"/>
    <w:rsid w:val="00F4478C"/>
    <w:rsid w:val="00F44FA0"/>
    <w:rsid w:val="00F45444"/>
    <w:rsid w:val="00F45C72"/>
    <w:rsid w:val="00F46C48"/>
    <w:rsid w:val="00F46C58"/>
    <w:rsid w:val="00F473D2"/>
    <w:rsid w:val="00F47CA4"/>
    <w:rsid w:val="00F47E90"/>
    <w:rsid w:val="00F50173"/>
    <w:rsid w:val="00F519CE"/>
    <w:rsid w:val="00F519EE"/>
    <w:rsid w:val="00F51A36"/>
    <w:rsid w:val="00F52F58"/>
    <w:rsid w:val="00F53872"/>
    <w:rsid w:val="00F5412D"/>
    <w:rsid w:val="00F545BA"/>
    <w:rsid w:val="00F54760"/>
    <w:rsid w:val="00F54C66"/>
    <w:rsid w:val="00F5543C"/>
    <w:rsid w:val="00F55BDF"/>
    <w:rsid w:val="00F56449"/>
    <w:rsid w:val="00F56796"/>
    <w:rsid w:val="00F603A0"/>
    <w:rsid w:val="00F61533"/>
    <w:rsid w:val="00F6177F"/>
    <w:rsid w:val="00F617FB"/>
    <w:rsid w:val="00F61940"/>
    <w:rsid w:val="00F61A53"/>
    <w:rsid w:val="00F61A9A"/>
    <w:rsid w:val="00F61ED9"/>
    <w:rsid w:val="00F623AB"/>
    <w:rsid w:val="00F62AC8"/>
    <w:rsid w:val="00F6303D"/>
    <w:rsid w:val="00F6449A"/>
    <w:rsid w:val="00F6457C"/>
    <w:rsid w:val="00F65FA6"/>
    <w:rsid w:val="00F66160"/>
    <w:rsid w:val="00F669F1"/>
    <w:rsid w:val="00F67395"/>
    <w:rsid w:val="00F67617"/>
    <w:rsid w:val="00F67CFB"/>
    <w:rsid w:val="00F7000B"/>
    <w:rsid w:val="00F7040F"/>
    <w:rsid w:val="00F70869"/>
    <w:rsid w:val="00F70DD7"/>
    <w:rsid w:val="00F70EB0"/>
    <w:rsid w:val="00F71226"/>
    <w:rsid w:val="00F71BFF"/>
    <w:rsid w:val="00F71D47"/>
    <w:rsid w:val="00F72DA1"/>
    <w:rsid w:val="00F73A6B"/>
    <w:rsid w:val="00F73DEA"/>
    <w:rsid w:val="00F73FE6"/>
    <w:rsid w:val="00F74037"/>
    <w:rsid w:val="00F74B85"/>
    <w:rsid w:val="00F755D9"/>
    <w:rsid w:val="00F75C3D"/>
    <w:rsid w:val="00F76421"/>
    <w:rsid w:val="00F77748"/>
    <w:rsid w:val="00F77C38"/>
    <w:rsid w:val="00F8168E"/>
    <w:rsid w:val="00F820DB"/>
    <w:rsid w:val="00F82D5C"/>
    <w:rsid w:val="00F8420A"/>
    <w:rsid w:val="00F84580"/>
    <w:rsid w:val="00F85443"/>
    <w:rsid w:val="00F860B7"/>
    <w:rsid w:val="00F87547"/>
    <w:rsid w:val="00F9134B"/>
    <w:rsid w:val="00F91E2E"/>
    <w:rsid w:val="00F9321C"/>
    <w:rsid w:val="00F9355B"/>
    <w:rsid w:val="00F935A5"/>
    <w:rsid w:val="00F93749"/>
    <w:rsid w:val="00F93D3F"/>
    <w:rsid w:val="00F945E9"/>
    <w:rsid w:val="00F946D4"/>
    <w:rsid w:val="00F94956"/>
    <w:rsid w:val="00F95BD0"/>
    <w:rsid w:val="00FA0333"/>
    <w:rsid w:val="00FA0ADA"/>
    <w:rsid w:val="00FA0C40"/>
    <w:rsid w:val="00FA1389"/>
    <w:rsid w:val="00FA1DAC"/>
    <w:rsid w:val="00FA2168"/>
    <w:rsid w:val="00FA2188"/>
    <w:rsid w:val="00FA246B"/>
    <w:rsid w:val="00FA2A7A"/>
    <w:rsid w:val="00FA30B6"/>
    <w:rsid w:val="00FA316F"/>
    <w:rsid w:val="00FA3D9A"/>
    <w:rsid w:val="00FA427C"/>
    <w:rsid w:val="00FA474C"/>
    <w:rsid w:val="00FA5770"/>
    <w:rsid w:val="00FA75AD"/>
    <w:rsid w:val="00FA7A35"/>
    <w:rsid w:val="00FB017C"/>
    <w:rsid w:val="00FB0197"/>
    <w:rsid w:val="00FB0CFA"/>
    <w:rsid w:val="00FB0ED4"/>
    <w:rsid w:val="00FB0EF1"/>
    <w:rsid w:val="00FB18E0"/>
    <w:rsid w:val="00FB1C35"/>
    <w:rsid w:val="00FB29F8"/>
    <w:rsid w:val="00FB3326"/>
    <w:rsid w:val="00FB33C1"/>
    <w:rsid w:val="00FB3DA9"/>
    <w:rsid w:val="00FB3F14"/>
    <w:rsid w:val="00FB41AB"/>
    <w:rsid w:val="00FB43AD"/>
    <w:rsid w:val="00FB484B"/>
    <w:rsid w:val="00FB4F22"/>
    <w:rsid w:val="00FB4F42"/>
    <w:rsid w:val="00FB6017"/>
    <w:rsid w:val="00FB6255"/>
    <w:rsid w:val="00FB62D6"/>
    <w:rsid w:val="00FB704B"/>
    <w:rsid w:val="00FB7F4F"/>
    <w:rsid w:val="00FC007B"/>
    <w:rsid w:val="00FC02ED"/>
    <w:rsid w:val="00FC0817"/>
    <w:rsid w:val="00FC0DEC"/>
    <w:rsid w:val="00FC10E7"/>
    <w:rsid w:val="00FC18F1"/>
    <w:rsid w:val="00FC1E16"/>
    <w:rsid w:val="00FC2300"/>
    <w:rsid w:val="00FC23D7"/>
    <w:rsid w:val="00FC25B1"/>
    <w:rsid w:val="00FC2697"/>
    <w:rsid w:val="00FC2AFE"/>
    <w:rsid w:val="00FC3099"/>
    <w:rsid w:val="00FC3541"/>
    <w:rsid w:val="00FC3715"/>
    <w:rsid w:val="00FC4129"/>
    <w:rsid w:val="00FC4C17"/>
    <w:rsid w:val="00FC50D4"/>
    <w:rsid w:val="00FC5C27"/>
    <w:rsid w:val="00FC68A2"/>
    <w:rsid w:val="00FC6F01"/>
    <w:rsid w:val="00FC70EB"/>
    <w:rsid w:val="00FC710F"/>
    <w:rsid w:val="00FC7575"/>
    <w:rsid w:val="00FD05A3"/>
    <w:rsid w:val="00FD083F"/>
    <w:rsid w:val="00FD13C1"/>
    <w:rsid w:val="00FD1522"/>
    <w:rsid w:val="00FD24E1"/>
    <w:rsid w:val="00FD368D"/>
    <w:rsid w:val="00FD424D"/>
    <w:rsid w:val="00FD42FA"/>
    <w:rsid w:val="00FD5130"/>
    <w:rsid w:val="00FD57D4"/>
    <w:rsid w:val="00FD5BAD"/>
    <w:rsid w:val="00FD5CD4"/>
    <w:rsid w:val="00FD5FD4"/>
    <w:rsid w:val="00FD655D"/>
    <w:rsid w:val="00FD738A"/>
    <w:rsid w:val="00FD76CB"/>
    <w:rsid w:val="00FD76CE"/>
    <w:rsid w:val="00FD77A4"/>
    <w:rsid w:val="00FD7D5E"/>
    <w:rsid w:val="00FE0118"/>
    <w:rsid w:val="00FE0229"/>
    <w:rsid w:val="00FE03E3"/>
    <w:rsid w:val="00FE2597"/>
    <w:rsid w:val="00FE2B29"/>
    <w:rsid w:val="00FE3162"/>
    <w:rsid w:val="00FE4A20"/>
    <w:rsid w:val="00FE4E89"/>
    <w:rsid w:val="00FE56F5"/>
    <w:rsid w:val="00FE5888"/>
    <w:rsid w:val="00FE5ABC"/>
    <w:rsid w:val="00FE5C1B"/>
    <w:rsid w:val="00FE741B"/>
    <w:rsid w:val="00FE77B3"/>
    <w:rsid w:val="00FE7A13"/>
    <w:rsid w:val="00FE7E53"/>
    <w:rsid w:val="00FF2A20"/>
    <w:rsid w:val="00FF30B0"/>
    <w:rsid w:val="00FF400D"/>
    <w:rsid w:val="00FF5825"/>
    <w:rsid w:val="00FF6A5C"/>
    <w:rsid w:val="295D22E9"/>
    <w:rsid w:val="35C5768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name="endnote reference"/>
    <w:lsdException w:unhideWhenUsed="0" w:uiPriority="0" w:semiHidden="0" w:name="endnote text"/>
    <w:lsdException w:qFormat="1" w:unhideWhenUsed="0" w:uiPriority="0" w:semiHidden="0" w:name="table of authorities"/>
    <w:lsdException w:qFormat="1" w:unhideWhenUsed="0"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nhideWhenUsed="0" w:uiPriority="99" w:name="Balloon Text"/>
    <w:lsdException w:qFormat="1" w:unhideWhenUsed="0" w:uiPriority="59" w:semiHidden="0" w:name="Table Grid"/>
    <w:lsdException w:qFormat="1" w:uiPriority="0" w:name="Table Theme"/>
    <w:lsdException w:qFormat="1" w:unhideWhenUsed="0" w:uiPriority="99" w:name="Placeholder Text"/>
    <w:lsdException w:qFormat="1" w:unhideWhenUsed="0" w:uiPriority="1" w:semiHidden="0" w:name="No Spacing"/>
    <w:lsdException w:qFormat="1" w:uiPriority="60" w:name="Light Shading"/>
    <w:lsdException w:qFormat="1" w:uiPriority="61" w:name="Light List"/>
    <w:lsdException w:qFormat="1" w:uiPriority="62" w:name="Light Grid"/>
    <w:lsdException w:qFormat="1" w:uiPriority="63" w:name="Medium Shading 1"/>
    <w:lsdException w:qFormat="1" w:uiPriority="64" w:name="Medium Shading 2"/>
    <w:lsdException w:qFormat="1" w:uiPriority="65" w:name="Medium List 1"/>
    <w:lsdException w:qFormat="1" w:uiPriority="66" w:name="Medium List 2"/>
    <w:lsdException w:qFormat="1" w:uiPriority="67" w:name="Medium Grid 1"/>
    <w:lsdException w:qFormat="1" w:uiPriority="68" w:name="Medium Grid 2"/>
    <w:lsdException w:qFormat="1" w:uiPriority="69" w:name="Medium Grid 3"/>
    <w:lsdException w:qFormat="1" w:uiPriority="70" w:name="Dark List"/>
    <w:lsdException w:qFormat="1" w:uiPriority="71" w:name="Colorful Shading"/>
    <w:lsdException w:qFormat="1" w:uiPriority="72" w:name="Colorful List"/>
    <w:lsdException w:qFormat="1" w:uiPriority="73" w:name="Colorful Grid"/>
    <w:lsdException w:qFormat="1" w:uiPriority="60" w:name="Light Shading Accent 1"/>
    <w:lsdException w:qFormat="1" w:uiPriority="61" w:name="Light List Accent 1"/>
    <w:lsdException w:qFormat="1" w:uiPriority="62" w:name="Light Grid Accent 1"/>
    <w:lsdException w:qFormat="1" w:uiPriority="63" w:name="Medium Shading 1 Accent 1"/>
    <w:lsdException w:qFormat="1" w:uiPriority="64" w:name="Medium Shading 2 Accent 1"/>
    <w:lsdException w:qFormat="1" w:uiPriority="65"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iPriority="66" w:name="Medium List 2 Accent 1"/>
    <w:lsdException w:qFormat="1" w:uiPriority="67" w:name="Medium Grid 1 Accent 1"/>
    <w:lsdException w:qFormat="1" w:uiPriority="68" w:name="Medium Grid 2 Accent 1"/>
    <w:lsdException w:qFormat="1" w:uiPriority="69" w:name="Medium Grid 3 Accent 1"/>
    <w:lsdException w:uiPriority="70" w:name="Dark List Accent 1"/>
    <w:lsdException w:qFormat="1" w:uiPriority="71" w:name="Colorful Shading Accent 1"/>
    <w:lsdException w:qFormat="1" w:uiPriority="72" w:name="Colorful List Accent 1"/>
    <w:lsdException w:qFormat="1" w:uiPriority="73" w:name="Colorful Grid Accent 1"/>
    <w:lsdException w:qFormat="1" w:uiPriority="60" w:name="Light Shading Accent 2"/>
    <w:lsdException w:qFormat="1" w:uiPriority="61" w:name="Light List Accent 2"/>
    <w:lsdException w:qFormat="1" w:uiPriority="62" w:name="Light Grid Accent 2"/>
    <w:lsdException w:qFormat="1" w:uiPriority="63" w:name="Medium Shading 1 Accent 2"/>
    <w:lsdException w:qFormat="1" w:uiPriority="64" w:name="Medium Shading 2 Accent 2"/>
    <w:lsdException w:qFormat="1" w:uiPriority="65" w:name="Medium List 1 Accent 2"/>
    <w:lsdException w:qFormat="1" w:uiPriority="66" w:name="Medium List 2 Accent 2"/>
    <w:lsdException w:qFormat="1" w:uiPriority="67" w:name="Medium Grid 1 Accent 2"/>
    <w:lsdException w:qFormat="1" w:uiPriority="68" w:name="Medium Grid 2 Accent 2"/>
    <w:lsdException w:qFormat="1" w:uiPriority="69" w:name="Medium Grid 3 Accent 2"/>
    <w:lsdException w:qFormat="1" w:uiPriority="70" w:name="Dark List Accent 2"/>
    <w:lsdException w:uiPriority="71" w:name="Colorful Shading Accent 2"/>
    <w:lsdException w:qFormat="1" w:uiPriority="72" w:name="Colorful List Accent 2"/>
    <w:lsdException w:qFormat="1" w:uiPriority="73" w:name="Colorful Grid Accent 2"/>
    <w:lsdException w:qFormat="1" w:uiPriority="60" w:name="Light Shading Accent 3"/>
    <w:lsdException w:qFormat="1" w:uiPriority="61" w:name="Light List Accent 3"/>
    <w:lsdException w:qFormat="1" w:uiPriority="62" w:name="Light Grid Accent 3"/>
    <w:lsdException w:qFormat="1" w:uiPriority="63" w:name="Medium Shading 1 Accent 3"/>
    <w:lsdException w:qFormat="1" w:uiPriority="64" w:name="Medium Shading 2 Accent 3"/>
    <w:lsdException w:qFormat="1" w:uiPriority="65" w:name="Medium List 1 Accent 3"/>
    <w:lsdException w:qFormat="1" w:uiPriority="66" w:name="Medium List 2 Accent 3"/>
    <w:lsdException w:qFormat="1" w:uiPriority="67" w:name="Medium Grid 1 Accent 3"/>
    <w:lsdException w:qFormat="1" w:uiPriority="68" w:name="Medium Grid 2 Accent 3"/>
    <w:lsdException w:qFormat="1" w:uiPriority="69" w:name="Medium Grid 3 Accent 3"/>
    <w:lsdException w:uiPriority="70" w:name="Dark List Accent 3"/>
    <w:lsdException w:uiPriority="71" w:name="Colorful Shading Accent 3"/>
    <w:lsdException w:qFormat="1" w:uiPriority="72" w:name="Colorful List Accent 3"/>
    <w:lsdException w:qFormat="1" w:uiPriority="73" w:name="Colorful Grid Accent 3"/>
    <w:lsdException w:qFormat="1" w:uiPriority="60" w:name="Light Shading Accent 4"/>
    <w:lsdException w:qFormat="1" w:uiPriority="61" w:name="Light List Accent 4"/>
    <w:lsdException w:qFormat="1" w:uiPriority="62" w:name="Light Grid Accent 4"/>
    <w:lsdException w:qFormat="1" w:uiPriority="63" w:name="Medium Shading 1 Accent 4"/>
    <w:lsdException w:qFormat="1" w:uiPriority="64" w:name="Medium Shading 2 Accent 4"/>
    <w:lsdException w:qFormat="1" w:uiPriority="65" w:name="Medium List 1 Accent 4"/>
    <w:lsdException w:qFormat="1" w:uiPriority="66" w:name="Medium List 2 Accent 4"/>
    <w:lsdException w:qFormat="1" w:uiPriority="67" w:name="Medium Grid 1 Accent 4"/>
    <w:lsdException w:qFormat="1" w:uiPriority="68" w:name="Medium Grid 2 Accent 4"/>
    <w:lsdException w:qFormat="1" w:uiPriority="69" w:name="Medium Grid 3 Accent 4"/>
    <w:lsdException w:uiPriority="70" w:name="Dark List Accent 4"/>
    <w:lsdException w:qFormat="1" w:uiPriority="71" w:name="Colorful Shading Accent 4"/>
    <w:lsdException w:qFormat="1" w:uiPriority="72" w:name="Colorful List Accent 4"/>
    <w:lsdException w:qFormat="1" w:uiPriority="73" w:name="Colorful Grid Accent 4"/>
    <w:lsdException w:qFormat="1" w:uiPriority="60" w:name="Light Shading Accent 5"/>
    <w:lsdException w:qFormat="1" w:uiPriority="61" w:name="Light List Accent 5"/>
    <w:lsdException w:qFormat="1" w:uiPriority="62" w:name="Light Grid Accent 5"/>
    <w:lsdException w:qFormat="1" w:uiPriority="63" w:name="Medium Shading 1 Accent 5"/>
    <w:lsdException w:qFormat="1" w:uiPriority="64" w:name="Medium Shading 2 Accent 5"/>
    <w:lsdException w:qFormat="1" w:uiPriority="65" w:name="Medium List 1 Accent 5"/>
    <w:lsdException w:qFormat="1" w:uiPriority="66" w:name="Medium List 2 Accent 5"/>
    <w:lsdException w:qFormat="1" w:uiPriority="67" w:name="Medium Grid 1 Accent 5"/>
    <w:lsdException w:qFormat="1" w:uiPriority="68" w:name="Medium Grid 2 Accent 5"/>
    <w:lsdException w:qFormat="1" w:uiPriority="69" w:name="Medium Grid 3 Accent 5"/>
    <w:lsdException w:uiPriority="70" w:name="Dark List Accent 5"/>
    <w:lsdException w:qFormat="1" w:uiPriority="71" w:name="Colorful Shading Accent 5"/>
    <w:lsdException w:qFormat="1" w:uiPriority="72" w:name="Colorful List Accent 5"/>
    <w:lsdException w:qFormat="1" w:uiPriority="73" w:name="Colorful Grid Accent 5"/>
    <w:lsdException w:qFormat="1" w:uiPriority="60" w:name="Light Shading Accent 6"/>
    <w:lsdException w:qFormat="1" w:uiPriority="61" w:name="Light List Accent 6"/>
    <w:lsdException w:qFormat="1" w:uiPriority="62" w:name="Light Grid Accent 6"/>
    <w:lsdException w:qFormat="1" w:uiPriority="63" w:name="Medium Shading 1 Accent 6"/>
    <w:lsdException w:qFormat="1" w:uiPriority="64" w:name="Medium Shading 2 Accent 6"/>
    <w:lsdException w:qFormat="1" w:uiPriority="65" w:name="Medium List 1 Accent 6"/>
    <w:lsdException w:qFormat="1" w:uiPriority="66" w:name="Medium List 2 Accent 6"/>
    <w:lsdException w:qFormat="1" w:uiPriority="67" w:name="Medium Grid 1 Accent 6"/>
    <w:lsdException w:qFormat="1" w:uiPriority="68" w:name="Medium Grid 2 Accent 6"/>
    <w:lsdException w:qFormat="1" w:uiPriority="69" w:name="Medium Grid 3 Accent 6"/>
    <w:lsdException w:uiPriority="70" w:name="Dark List Accent 6"/>
    <w:lsdException w:qFormat="1" w:uiPriority="71" w:name="Colorful Shading Accent 6"/>
    <w:lsdException w:qFormat="1" w:uiPriority="72" w:name="Colorful List Accent 6"/>
    <w:lsdException w:qFormat="1" w:uiPriority="73" w:name="Colorful Grid Accent 6"/>
  </w:latentStyles>
  <w:style w:type="paragraph" w:default="1" w:styleId="1">
    <w:name w:val="Normal"/>
    <w:qFormat/>
    <w:uiPriority w:val="0"/>
    <w:rPr>
      <w:rFonts w:ascii="Times New Roman" w:hAnsi="Times New Roman" w:eastAsia="宋体" w:cs="Times New Roman"/>
      <w:sz w:val="24"/>
      <w:szCs w:val="24"/>
      <w:lang w:val="en-US" w:eastAsia="en-US" w:bidi="ar-SA"/>
    </w:rPr>
  </w:style>
  <w:style w:type="paragraph" w:styleId="3">
    <w:name w:val="heading 1"/>
    <w:basedOn w:val="1"/>
    <w:next w:val="1"/>
    <w:link w:val="249"/>
    <w:autoRedefine/>
    <w:qFormat/>
    <w:uiPriority w:val="0"/>
    <w:pPr>
      <w:keepNext/>
      <w:keepLines/>
      <w:spacing w:before="480" w:line="276" w:lineRule="auto"/>
      <w:outlineLvl w:val="0"/>
    </w:pPr>
    <w:rPr>
      <w:rFonts w:ascii="Cambria" w:hAnsi="Cambria" w:cs="Angsana New"/>
      <w:b/>
      <w:bCs/>
      <w:color w:val="365F91"/>
      <w:sz w:val="28"/>
      <w:szCs w:val="28"/>
    </w:rPr>
  </w:style>
  <w:style w:type="paragraph" w:styleId="4">
    <w:name w:val="heading 2"/>
    <w:basedOn w:val="1"/>
    <w:next w:val="1"/>
    <w:link w:val="250"/>
    <w:qFormat/>
    <w:uiPriority w:val="0"/>
    <w:pPr>
      <w:keepNext/>
      <w:keepLines/>
      <w:spacing w:before="260" w:after="260" w:line="416" w:lineRule="auto"/>
      <w:outlineLvl w:val="1"/>
    </w:pPr>
    <w:rPr>
      <w:rFonts w:ascii="Cambria" w:hAnsi="Cambria"/>
      <w:b/>
      <w:bCs/>
      <w:sz w:val="32"/>
      <w:szCs w:val="32"/>
      <w:lang w:val="zh-CN"/>
    </w:rPr>
  </w:style>
  <w:style w:type="paragraph" w:styleId="5">
    <w:name w:val="heading 3"/>
    <w:basedOn w:val="1"/>
    <w:next w:val="1"/>
    <w:link w:val="251"/>
    <w:autoRedefine/>
    <w:qFormat/>
    <w:uiPriority w:val="0"/>
    <w:pPr>
      <w:keepNext/>
      <w:tabs>
        <w:tab w:val="left" w:pos="567"/>
        <w:tab w:val="left" w:pos="720"/>
      </w:tabs>
      <w:suppressAutoHyphens/>
      <w:spacing w:before="240" w:after="120" w:line="240" w:lineRule="exact"/>
      <w:ind w:left="720" w:hanging="720"/>
      <w:outlineLvl w:val="2"/>
    </w:pPr>
    <w:rPr>
      <w:szCs w:val="20"/>
      <w:lang w:eastAsia="zh-CN"/>
    </w:rPr>
  </w:style>
  <w:style w:type="paragraph" w:styleId="6">
    <w:name w:val="heading 4"/>
    <w:basedOn w:val="1"/>
    <w:next w:val="1"/>
    <w:link w:val="252"/>
    <w:autoRedefine/>
    <w:qFormat/>
    <w:uiPriority w:val="0"/>
    <w:pPr>
      <w:keepNext/>
      <w:tabs>
        <w:tab w:val="left" w:pos="864"/>
      </w:tabs>
      <w:spacing w:before="240" w:after="60"/>
      <w:ind w:left="864" w:hanging="864"/>
      <w:outlineLvl w:val="3"/>
    </w:pPr>
    <w:rPr>
      <w:rFonts w:ascii="Arial" w:hAnsi="Arial"/>
      <w:b/>
      <w:szCs w:val="20"/>
      <w:lang w:eastAsia="zh-CN"/>
    </w:rPr>
  </w:style>
  <w:style w:type="paragraph" w:styleId="7">
    <w:name w:val="heading 5"/>
    <w:basedOn w:val="1"/>
    <w:next w:val="1"/>
    <w:link w:val="507"/>
    <w:qFormat/>
    <w:uiPriority w:val="0"/>
    <w:pPr>
      <w:tabs>
        <w:tab w:val="left" w:pos="1008"/>
      </w:tabs>
      <w:spacing w:before="240" w:after="60"/>
      <w:ind w:left="1008" w:hanging="1008"/>
      <w:outlineLvl w:val="4"/>
    </w:pPr>
    <w:rPr>
      <w:sz w:val="22"/>
      <w:szCs w:val="20"/>
      <w:lang w:eastAsia="zh-CN"/>
    </w:rPr>
  </w:style>
  <w:style w:type="paragraph" w:styleId="8">
    <w:name w:val="heading 6"/>
    <w:basedOn w:val="1"/>
    <w:next w:val="1"/>
    <w:link w:val="508"/>
    <w:autoRedefine/>
    <w:qFormat/>
    <w:uiPriority w:val="0"/>
    <w:pPr>
      <w:tabs>
        <w:tab w:val="left" w:pos="1152"/>
      </w:tabs>
      <w:spacing w:before="240" w:after="60"/>
      <w:ind w:left="1152" w:hanging="1152"/>
      <w:outlineLvl w:val="5"/>
    </w:pPr>
    <w:rPr>
      <w:i/>
      <w:sz w:val="22"/>
      <w:szCs w:val="20"/>
      <w:lang w:eastAsia="zh-CN"/>
    </w:rPr>
  </w:style>
  <w:style w:type="paragraph" w:styleId="9">
    <w:name w:val="heading 7"/>
    <w:basedOn w:val="1"/>
    <w:next w:val="1"/>
    <w:link w:val="509"/>
    <w:autoRedefine/>
    <w:qFormat/>
    <w:uiPriority w:val="0"/>
    <w:pPr>
      <w:tabs>
        <w:tab w:val="left" w:pos="1296"/>
      </w:tabs>
      <w:spacing w:before="240" w:after="60"/>
      <w:ind w:left="1296" w:hanging="1296"/>
      <w:outlineLvl w:val="6"/>
    </w:pPr>
    <w:rPr>
      <w:rFonts w:ascii="Arial" w:hAnsi="Arial"/>
      <w:sz w:val="20"/>
      <w:szCs w:val="20"/>
      <w:lang w:eastAsia="zh-CN"/>
    </w:rPr>
  </w:style>
  <w:style w:type="paragraph" w:styleId="10">
    <w:name w:val="heading 8"/>
    <w:basedOn w:val="1"/>
    <w:next w:val="1"/>
    <w:link w:val="510"/>
    <w:autoRedefine/>
    <w:qFormat/>
    <w:uiPriority w:val="0"/>
    <w:pPr>
      <w:tabs>
        <w:tab w:val="left" w:pos="1440"/>
      </w:tabs>
      <w:spacing w:before="240" w:after="60"/>
      <w:ind w:left="1440" w:hanging="1440"/>
      <w:outlineLvl w:val="7"/>
    </w:pPr>
    <w:rPr>
      <w:rFonts w:ascii="Arial" w:hAnsi="Arial"/>
      <w:i/>
      <w:sz w:val="20"/>
      <w:szCs w:val="20"/>
      <w:lang w:eastAsia="zh-CN"/>
    </w:rPr>
  </w:style>
  <w:style w:type="paragraph" w:styleId="11">
    <w:name w:val="heading 9"/>
    <w:basedOn w:val="1"/>
    <w:next w:val="1"/>
    <w:link w:val="511"/>
    <w:qFormat/>
    <w:uiPriority w:val="0"/>
    <w:pPr>
      <w:tabs>
        <w:tab w:val="left" w:pos="1584"/>
      </w:tabs>
      <w:spacing w:before="240" w:after="60"/>
      <w:ind w:left="1584" w:hanging="1584"/>
      <w:outlineLvl w:val="8"/>
    </w:pPr>
    <w:rPr>
      <w:rFonts w:ascii="Arial" w:hAnsi="Arial"/>
      <w:b/>
      <w:i/>
      <w:sz w:val="18"/>
      <w:szCs w:val="20"/>
      <w:lang w:eastAsia="zh-CN"/>
    </w:rPr>
  </w:style>
  <w:style w:type="character" w:default="1" w:styleId="231">
    <w:name w:val="Default Paragraph Font"/>
    <w:autoRedefine/>
    <w:semiHidden/>
    <w:unhideWhenUsed/>
    <w:qFormat/>
    <w:uiPriority w:val="1"/>
  </w:style>
  <w:style w:type="table" w:default="1" w:styleId="88">
    <w:name w:val="Normal Table"/>
    <w:autoRedefine/>
    <w:semiHidden/>
    <w:unhideWhenUsed/>
    <w:qFormat/>
    <w:uiPriority w:val="99"/>
    <w:tblPr>
      <w:tblCellMar>
        <w:top w:w="0" w:type="dxa"/>
        <w:left w:w="108" w:type="dxa"/>
        <w:bottom w:w="0" w:type="dxa"/>
        <w:right w:w="108" w:type="dxa"/>
      </w:tblCellMar>
    </w:tblPr>
  </w:style>
  <w:style w:type="paragraph" w:styleId="2">
    <w:name w:val="macro"/>
    <w:link w:val="513"/>
    <w:autoRedefine/>
    <w:semiHidden/>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MS Mincho" w:cs="Courier New"/>
      <w:lang w:val="en-US" w:eastAsia="en-US" w:bidi="ar-SA"/>
    </w:rPr>
  </w:style>
  <w:style w:type="paragraph" w:styleId="12">
    <w:name w:val="List 3"/>
    <w:basedOn w:val="1"/>
    <w:autoRedefine/>
    <w:qFormat/>
    <w:uiPriority w:val="0"/>
    <w:pPr>
      <w:ind w:left="1080" w:hanging="360"/>
      <w:contextualSpacing/>
    </w:pPr>
  </w:style>
  <w:style w:type="paragraph" w:styleId="13">
    <w:name w:val="toc 7"/>
    <w:basedOn w:val="1"/>
    <w:next w:val="1"/>
    <w:autoRedefine/>
    <w:qFormat/>
    <w:uiPriority w:val="0"/>
    <w:pPr>
      <w:spacing w:after="100"/>
      <w:ind w:left="1440"/>
    </w:pPr>
  </w:style>
  <w:style w:type="paragraph" w:styleId="14">
    <w:name w:val="List Number 2"/>
    <w:basedOn w:val="1"/>
    <w:autoRedefine/>
    <w:qFormat/>
    <w:uiPriority w:val="0"/>
    <w:pPr>
      <w:numPr>
        <w:ilvl w:val="0"/>
        <w:numId w:val="1"/>
      </w:numPr>
      <w:contextualSpacing/>
    </w:pPr>
  </w:style>
  <w:style w:type="paragraph" w:styleId="15">
    <w:name w:val="table of authorities"/>
    <w:basedOn w:val="1"/>
    <w:next w:val="1"/>
    <w:autoRedefine/>
    <w:qFormat/>
    <w:uiPriority w:val="0"/>
    <w:pPr>
      <w:ind w:left="240" w:hanging="240"/>
    </w:pPr>
  </w:style>
  <w:style w:type="paragraph" w:styleId="16">
    <w:name w:val="Note Heading"/>
    <w:basedOn w:val="1"/>
    <w:next w:val="1"/>
    <w:link w:val="638"/>
    <w:autoRedefine/>
    <w:qFormat/>
    <w:uiPriority w:val="0"/>
  </w:style>
  <w:style w:type="paragraph" w:styleId="17">
    <w:name w:val="List Bullet 4"/>
    <w:basedOn w:val="1"/>
    <w:autoRedefine/>
    <w:qFormat/>
    <w:uiPriority w:val="0"/>
    <w:pPr>
      <w:numPr>
        <w:ilvl w:val="0"/>
        <w:numId w:val="2"/>
      </w:numPr>
      <w:contextualSpacing/>
    </w:pPr>
  </w:style>
  <w:style w:type="paragraph" w:styleId="18">
    <w:name w:val="index 8"/>
    <w:basedOn w:val="1"/>
    <w:next w:val="1"/>
    <w:autoRedefine/>
    <w:qFormat/>
    <w:uiPriority w:val="0"/>
    <w:pPr>
      <w:ind w:left="1920" w:hanging="240"/>
    </w:pPr>
  </w:style>
  <w:style w:type="paragraph" w:styleId="19">
    <w:name w:val="E-mail Signature"/>
    <w:basedOn w:val="1"/>
    <w:link w:val="527"/>
    <w:autoRedefine/>
    <w:qFormat/>
    <w:uiPriority w:val="0"/>
  </w:style>
  <w:style w:type="paragraph" w:styleId="20">
    <w:name w:val="List Number"/>
    <w:basedOn w:val="1"/>
    <w:autoRedefine/>
    <w:qFormat/>
    <w:uiPriority w:val="0"/>
    <w:pPr>
      <w:numPr>
        <w:ilvl w:val="0"/>
        <w:numId w:val="3"/>
      </w:numPr>
      <w:contextualSpacing/>
    </w:pPr>
  </w:style>
  <w:style w:type="paragraph" w:styleId="21">
    <w:name w:val="Normal Indent"/>
    <w:basedOn w:val="1"/>
    <w:autoRedefine/>
    <w:qFormat/>
    <w:uiPriority w:val="0"/>
    <w:pPr>
      <w:ind w:left="720"/>
    </w:pPr>
  </w:style>
  <w:style w:type="paragraph" w:styleId="22">
    <w:name w:val="caption"/>
    <w:basedOn w:val="1"/>
    <w:next w:val="1"/>
    <w:autoRedefine/>
    <w:qFormat/>
    <w:uiPriority w:val="0"/>
    <w:pPr>
      <w:overflowPunct w:val="0"/>
      <w:autoSpaceDE w:val="0"/>
      <w:autoSpaceDN w:val="0"/>
      <w:adjustRightInd w:val="0"/>
      <w:spacing w:before="60" w:after="60"/>
      <w:textAlignment w:val="baseline"/>
    </w:pPr>
    <w:rPr>
      <w:sz w:val="18"/>
      <w:szCs w:val="20"/>
      <w:lang w:eastAsia="zh-CN"/>
    </w:rPr>
  </w:style>
  <w:style w:type="paragraph" w:styleId="23">
    <w:name w:val="index 5"/>
    <w:basedOn w:val="1"/>
    <w:next w:val="1"/>
    <w:autoRedefine/>
    <w:qFormat/>
    <w:uiPriority w:val="0"/>
    <w:pPr>
      <w:ind w:left="1200" w:hanging="240"/>
    </w:pPr>
  </w:style>
  <w:style w:type="paragraph" w:styleId="24">
    <w:name w:val="List Bullet"/>
    <w:basedOn w:val="1"/>
    <w:autoRedefine/>
    <w:qFormat/>
    <w:uiPriority w:val="0"/>
    <w:pPr>
      <w:numPr>
        <w:ilvl w:val="0"/>
        <w:numId w:val="4"/>
      </w:numPr>
      <w:contextualSpacing/>
    </w:pPr>
  </w:style>
  <w:style w:type="paragraph" w:styleId="25">
    <w:name w:val="envelope address"/>
    <w:basedOn w:val="1"/>
    <w:uiPriority w:val="0"/>
    <w:pPr>
      <w:framePr w:w="7920" w:h="1980" w:hRule="exact" w:hSpace="180" w:wrap="auto" w:vAnchor="margin" w:hAnchor="page" w:xAlign="center" w:yAlign="bottom"/>
      <w:ind w:left="2880"/>
    </w:pPr>
    <w:rPr>
      <w:rFonts w:asciiTheme="majorHAnsi" w:hAnsiTheme="majorHAnsi" w:eastAsiaTheme="majorEastAsia" w:cstheme="majorBidi"/>
    </w:rPr>
  </w:style>
  <w:style w:type="paragraph" w:styleId="26">
    <w:name w:val="Document Map"/>
    <w:basedOn w:val="1"/>
    <w:link w:val="514"/>
    <w:autoRedefine/>
    <w:qFormat/>
    <w:uiPriority w:val="0"/>
    <w:rPr>
      <w:rFonts w:ascii="Tahoma" w:hAnsi="Tahoma" w:cs="Tahoma"/>
      <w:sz w:val="16"/>
      <w:szCs w:val="16"/>
      <w:lang w:eastAsia="zh-CN"/>
    </w:rPr>
  </w:style>
  <w:style w:type="paragraph" w:styleId="27">
    <w:name w:val="toa heading"/>
    <w:basedOn w:val="1"/>
    <w:next w:val="1"/>
    <w:autoRedefine/>
    <w:qFormat/>
    <w:uiPriority w:val="0"/>
    <w:pPr>
      <w:spacing w:before="120"/>
    </w:pPr>
    <w:rPr>
      <w:rFonts w:asciiTheme="majorHAnsi" w:hAnsiTheme="majorHAnsi" w:eastAsiaTheme="majorEastAsia" w:cstheme="majorBidi"/>
      <w:b/>
      <w:bCs/>
    </w:rPr>
  </w:style>
  <w:style w:type="paragraph" w:styleId="28">
    <w:name w:val="annotation text"/>
    <w:basedOn w:val="1"/>
    <w:link w:val="265"/>
    <w:autoRedefine/>
    <w:qFormat/>
    <w:uiPriority w:val="99"/>
    <w:rPr>
      <w:rFonts w:ascii="Tahoma" w:hAnsi="Tahoma" w:cs="Tahoma"/>
      <w:sz w:val="16"/>
    </w:rPr>
  </w:style>
  <w:style w:type="paragraph" w:styleId="29">
    <w:name w:val="index 6"/>
    <w:basedOn w:val="1"/>
    <w:next w:val="1"/>
    <w:autoRedefine/>
    <w:qFormat/>
    <w:uiPriority w:val="0"/>
    <w:pPr>
      <w:ind w:left="1440" w:hanging="240"/>
    </w:pPr>
  </w:style>
  <w:style w:type="paragraph" w:styleId="30">
    <w:name w:val="Salutation"/>
    <w:basedOn w:val="1"/>
    <w:next w:val="1"/>
    <w:link w:val="647"/>
    <w:autoRedefine/>
    <w:qFormat/>
    <w:uiPriority w:val="0"/>
  </w:style>
  <w:style w:type="paragraph" w:styleId="31">
    <w:name w:val="Body Text 3"/>
    <w:basedOn w:val="1"/>
    <w:link w:val="520"/>
    <w:autoRedefine/>
    <w:qFormat/>
    <w:uiPriority w:val="0"/>
    <w:pPr>
      <w:spacing w:after="120"/>
    </w:pPr>
    <w:rPr>
      <w:sz w:val="16"/>
      <w:szCs w:val="16"/>
    </w:rPr>
  </w:style>
  <w:style w:type="paragraph" w:styleId="32">
    <w:name w:val="Closing"/>
    <w:basedOn w:val="1"/>
    <w:link w:val="525"/>
    <w:autoRedefine/>
    <w:qFormat/>
    <w:uiPriority w:val="0"/>
    <w:pPr>
      <w:ind w:left="4320"/>
    </w:pPr>
  </w:style>
  <w:style w:type="paragraph" w:styleId="33">
    <w:name w:val="List Bullet 3"/>
    <w:basedOn w:val="1"/>
    <w:autoRedefine/>
    <w:qFormat/>
    <w:uiPriority w:val="0"/>
    <w:pPr>
      <w:numPr>
        <w:ilvl w:val="0"/>
        <w:numId w:val="5"/>
      </w:numPr>
      <w:contextualSpacing/>
    </w:pPr>
  </w:style>
  <w:style w:type="paragraph" w:styleId="34">
    <w:name w:val="Body Text"/>
    <w:basedOn w:val="1"/>
    <w:link w:val="264"/>
    <w:autoRedefine/>
    <w:qFormat/>
    <w:uiPriority w:val="0"/>
    <w:pPr>
      <w:tabs>
        <w:tab w:val="left" w:pos="720"/>
        <w:tab w:val="decimal" w:pos="1296"/>
      </w:tabs>
    </w:pPr>
    <w:rPr>
      <w:rFonts w:cs="Angsana New"/>
      <w:szCs w:val="20"/>
      <w:lang w:eastAsia="ko-KR"/>
    </w:rPr>
  </w:style>
  <w:style w:type="paragraph" w:styleId="35">
    <w:name w:val="Body Text Indent"/>
    <w:basedOn w:val="1"/>
    <w:link w:val="516"/>
    <w:autoRedefine/>
    <w:qFormat/>
    <w:uiPriority w:val="0"/>
    <w:pPr>
      <w:spacing w:after="120"/>
      <w:ind w:left="420" w:leftChars="200"/>
    </w:pPr>
    <w:rPr>
      <w:sz w:val="20"/>
      <w:szCs w:val="20"/>
      <w:lang w:eastAsia="zh-CN"/>
    </w:rPr>
  </w:style>
  <w:style w:type="paragraph" w:styleId="36">
    <w:name w:val="List Number 3"/>
    <w:basedOn w:val="1"/>
    <w:autoRedefine/>
    <w:qFormat/>
    <w:uiPriority w:val="0"/>
    <w:pPr>
      <w:numPr>
        <w:ilvl w:val="0"/>
        <w:numId w:val="6"/>
      </w:numPr>
      <w:contextualSpacing/>
    </w:pPr>
  </w:style>
  <w:style w:type="paragraph" w:styleId="37">
    <w:name w:val="List 2"/>
    <w:basedOn w:val="1"/>
    <w:autoRedefine/>
    <w:qFormat/>
    <w:uiPriority w:val="0"/>
    <w:pPr>
      <w:ind w:left="720" w:hanging="360"/>
      <w:contextualSpacing/>
    </w:pPr>
  </w:style>
  <w:style w:type="paragraph" w:styleId="38">
    <w:name w:val="List Continue"/>
    <w:basedOn w:val="1"/>
    <w:autoRedefine/>
    <w:qFormat/>
    <w:uiPriority w:val="0"/>
    <w:pPr>
      <w:spacing w:after="120"/>
      <w:ind w:left="360"/>
      <w:contextualSpacing/>
    </w:pPr>
  </w:style>
  <w:style w:type="paragraph" w:styleId="39">
    <w:name w:val="Block Text"/>
    <w:basedOn w:val="1"/>
    <w:autoRedefine/>
    <w:qFormat/>
    <w:uiPriority w:val="0"/>
    <w:pPr>
      <w:pBdr>
        <w:top w:val="single" w:color="4472C4" w:themeColor="accent1" w:sz="2" w:space="10"/>
        <w:left w:val="single" w:color="4472C4" w:themeColor="accent1" w:sz="2" w:space="10"/>
        <w:bottom w:val="single" w:color="4472C4" w:themeColor="accent1" w:sz="2" w:space="10"/>
        <w:right w:val="single" w:color="4472C4" w:themeColor="accent1" w:sz="2" w:space="10"/>
      </w:pBdr>
      <w:ind w:left="1152" w:right="1152"/>
    </w:pPr>
    <w:rPr>
      <w:rFonts w:asciiTheme="minorHAnsi" w:hAnsiTheme="minorHAnsi" w:eastAsiaTheme="minorEastAsia" w:cstheme="minorBidi"/>
      <w:i/>
      <w:iCs/>
      <w:color w:val="4472C4" w:themeColor="accent1"/>
      <w14:textFill>
        <w14:solidFill>
          <w14:schemeClr w14:val="accent1"/>
        </w14:solidFill>
      </w14:textFill>
    </w:rPr>
  </w:style>
  <w:style w:type="paragraph" w:styleId="40">
    <w:name w:val="List Bullet 2"/>
    <w:basedOn w:val="1"/>
    <w:autoRedefine/>
    <w:qFormat/>
    <w:uiPriority w:val="0"/>
    <w:pPr>
      <w:numPr>
        <w:ilvl w:val="0"/>
        <w:numId w:val="7"/>
      </w:numPr>
    </w:pPr>
    <w:rPr>
      <w:sz w:val="20"/>
      <w:szCs w:val="20"/>
      <w:lang w:eastAsia="zh-CN"/>
    </w:rPr>
  </w:style>
  <w:style w:type="paragraph" w:styleId="41">
    <w:name w:val="HTML Address"/>
    <w:basedOn w:val="1"/>
    <w:link w:val="580"/>
    <w:autoRedefine/>
    <w:qFormat/>
    <w:uiPriority w:val="0"/>
    <w:rPr>
      <w:i/>
      <w:iCs/>
    </w:rPr>
  </w:style>
  <w:style w:type="paragraph" w:styleId="42">
    <w:name w:val="index 4"/>
    <w:basedOn w:val="1"/>
    <w:next w:val="1"/>
    <w:autoRedefine/>
    <w:qFormat/>
    <w:uiPriority w:val="0"/>
    <w:pPr>
      <w:ind w:left="960" w:hanging="240"/>
    </w:pPr>
  </w:style>
  <w:style w:type="paragraph" w:styleId="43">
    <w:name w:val="toc 5"/>
    <w:basedOn w:val="1"/>
    <w:next w:val="1"/>
    <w:autoRedefine/>
    <w:qFormat/>
    <w:uiPriority w:val="0"/>
    <w:pPr>
      <w:spacing w:after="100"/>
      <w:ind w:left="960"/>
    </w:pPr>
  </w:style>
  <w:style w:type="paragraph" w:styleId="44">
    <w:name w:val="toc 3"/>
    <w:basedOn w:val="1"/>
    <w:next w:val="1"/>
    <w:autoRedefine/>
    <w:qFormat/>
    <w:uiPriority w:val="0"/>
    <w:pPr>
      <w:spacing w:after="100"/>
      <w:ind w:left="480"/>
    </w:pPr>
  </w:style>
  <w:style w:type="paragraph" w:styleId="45">
    <w:name w:val="Plain Text"/>
    <w:basedOn w:val="1"/>
    <w:link w:val="644"/>
    <w:autoRedefine/>
    <w:qFormat/>
    <w:uiPriority w:val="0"/>
    <w:rPr>
      <w:rFonts w:ascii="Consolas" w:hAnsi="Consolas"/>
      <w:sz w:val="21"/>
      <w:szCs w:val="21"/>
    </w:rPr>
  </w:style>
  <w:style w:type="paragraph" w:styleId="46">
    <w:name w:val="List Bullet 5"/>
    <w:basedOn w:val="1"/>
    <w:autoRedefine/>
    <w:qFormat/>
    <w:uiPriority w:val="0"/>
    <w:pPr>
      <w:numPr>
        <w:ilvl w:val="0"/>
        <w:numId w:val="8"/>
      </w:numPr>
      <w:contextualSpacing/>
    </w:pPr>
  </w:style>
  <w:style w:type="paragraph" w:styleId="47">
    <w:name w:val="List Number 4"/>
    <w:basedOn w:val="1"/>
    <w:autoRedefine/>
    <w:qFormat/>
    <w:uiPriority w:val="0"/>
    <w:pPr>
      <w:numPr>
        <w:ilvl w:val="0"/>
        <w:numId w:val="9"/>
      </w:numPr>
      <w:contextualSpacing/>
    </w:pPr>
  </w:style>
  <w:style w:type="paragraph" w:styleId="48">
    <w:name w:val="toc 8"/>
    <w:basedOn w:val="1"/>
    <w:next w:val="1"/>
    <w:autoRedefine/>
    <w:qFormat/>
    <w:uiPriority w:val="0"/>
    <w:pPr>
      <w:spacing w:after="100"/>
      <w:ind w:left="1680"/>
    </w:pPr>
  </w:style>
  <w:style w:type="paragraph" w:styleId="49">
    <w:name w:val="index 3"/>
    <w:basedOn w:val="1"/>
    <w:next w:val="1"/>
    <w:autoRedefine/>
    <w:qFormat/>
    <w:uiPriority w:val="0"/>
    <w:pPr>
      <w:ind w:left="720" w:hanging="240"/>
    </w:pPr>
  </w:style>
  <w:style w:type="paragraph" w:styleId="50">
    <w:name w:val="Date"/>
    <w:basedOn w:val="1"/>
    <w:next w:val="1"/>
    <w:link w:val="526"/>
    <w:uiPriority w:val="0"/>
  </w:style>
  <w:style w:type="paragraph" w:styleId="51">
    <w:name w:val="Body Text Indent 2"/>
    <w:basedOn w:val="1"/>
    <w:link w:val="515"/>
    <w:autoRedefine/>
    <w:qFormat/>
    <w:uiPriority w:val="0"/>
    <w:pPr>
      <w:spacing w:after="120" w:line="480" w:lineRule="auto"/>
      <w:ind w:left="420" w:leftChars="200"/>
    </w:pPr>
    <w:rPr>
      <w:sz w:val="20"/>
      <w:szCs w:val="20"/>
      <w:lang w:eastAsia="zh-CN"/>
    </w:rPr>
  </w:style>
  <w:style w:type="paragraph" w:styleId="52">
    <w:name w:val="endnote text"/>
    <w:basedOn w:val="1"/>
    <w:link w:val="528"/>
    <w:uiPriority w:val="0"/>
    <w:rPr>
      <w:sz w:val="20"/>
      <w:szCs w:val="20"/>
    </w:rPr>
  </w:style>
  <w:style w:type="paragraph" w:styleId="53">
    <w:name w:val="List Continue 5"/>
    <w:basedOn w:val="1"/>
    <w:autoRedefine/>
    <w:qFormat/>
    <w:uiPriority w:val="0"/>
    <w:pPr>
      <w:spacing w:after="120"/>
      <w:ind w:left="1800"/>
      <w:contextualSpacing/>
    </w:pPr>
  </w:style>
  <w:style w:type="paragraph" w:styleId="54">
    <w:name w:val="Balloon Text"/>
    <w:basedOn w:val="1"/>
    <w:link w:val="257"/>
    <w:autoRedefine/>
    <w:semiHidden/>
    <w:qFormat/>
    <w:uiPriority w:val="99"/>
    <w:rPr>
      <w:rFonts w:ascii="Tahoma" w:hAnsi="Tahoma" w:cs="Tahoma"/>
      <w:sz w:val="16"/>
      <w:szCs w:val="16"/>
    </w:rPr>
  </w:style>
  <w:style w:type="paragraph" w:styleId="55">
    <w:name w:val="footer"/>
    <w:basedOn w:val="1"/>
    <w:link w:val="254"/>
    <w:autoRedefine/>
    <w:qFormat/>
    <w:uiPriority w:val="99"/>
    <w:pPr>
      <w:tabs>
        <w:tab w:val="center" w:pos="4153"/>
        <w:tab w:val="right" w:pos="8306"/>
      </w:tabs>
      <w:snapToGrid w:val="0"/>
    </w:pPr>
    <w:rPr>
      <w:kern w:val="2"/>
      <w:sz w:val="18"/>
      <w:szCs w:val="18"/>
      <w:lang w:eastAsia="zh-CN"/>
    </w:rPr>
  </w:style>
  <w:style w:type="paragraph" w:styleId="56">
    <w:name w:val="envelope return"/>
    <w:basedOn w:val="1"/>
    <w:autoRedefine/>
    <w:qFormat/>
    <w:uiPriority w:val="0"/>
    <w:rPr>
      <w:rFonts w:asciiTheme="majorHAnsi" w:hAnsiTheme="majorHAnsi" w:eastAsiaTheme="majorEastAsia" w:cstheme="majorBidi"/>
      <w:sz w:val="20"/>
      <w:szCs w:val="20"/>
    </w:rPr>
  </w:style>
  <w:style w:type="paragraph" w:styleId="57">
    <w:name w:val="header"/>
    <w:basedOn w:val="1"/>
    <w:link w:val="253"/>
    <w:autoRedefine/>
    <w:qFormat/>
    <w:uiPriority w:val="99"/>
    <w:pPr>
      <w:pBdr>
        <w:bottom w:val="single" w:color="auto" w:sz="6" w:space="1"/>
      </w:pBdr>
      <w:tabs>
        <w:tab w:val="center" w:pos="4153"/>
        <w:tab w:val="right" w:pos="8306"/>
      </w:tabs>
      <w:snapToGrid w:val="0"/>
      <w:jc w:val="center"/>
    </w:pPr>
    <w:rPr>
      <w:kern w:val="2"/>
      <w:sz w:val="18"/>
      <w:szCs w:val="18"/>
      <w:lang w:eastAsia="zh-CN"/>
    </w:rPr>
  </w:style>
  <w:style w:type="paragraph" w:styleId="58">
    <w:name w:val="Signature"/>
    <w:basedOn w:val="1"/>
    <w:link w:val="648"/>
    <w:autoRedefine/>
    <w:qFormat/>
    <w:uiPriority w:val="0"/>
    <w:pPr>
      <w:ind w:left="4320"/>
    </w:pPr>
  </w:style>
  <w:style w:type="paragraph" w:styleId="59">
    <w:name w:val="toc 1"/>
    <w:basedOn w:val="1"/>
    <w:next w:val="1"/>
    <w:autoRedefine/>
    <w:qFormat/>
    <w:uiPriority w:val="0"/>
    <w:pPr>
      <w:spacing w:after="100"/>
    </w:pPr>
  </w:style>
  <w:style w:type="paragraph" w:styleId="60">
    <w:name w:val="List Continue 4"/>
    <w:basedOn w:val="1"/>
    <w:autoRedefine/>
    <w:qFormat/>
    <w:uiPriority w:val="0"/>
    <w:pPr>
      <w:spacing w:after="120"/>
      <w:ind w:left="1440"/>
      <w:contextualSpacing/>
    </w:pPr>
  </w:style>
  <w:style w:type="paragraph" w:styleId="61">
    <w:name w:val="toc 4"/>
    <w:basedOn w:val="1"/>
    <w:next w:val="1"/>
    <w:autoRedefine/>
    <w:qFormat/>
    <w:uiPriority w:val="0"/>
    <w:pPr>
      <w:spacing w:after="100"/>
      <w:ind w:left="720"/>
    </w:pPr>
  </w:style>
  <w:style w:type="paragraph" w:styleId="62">
    <w:name w:val="index heading"/>
    <w:basedOn w:val="1"/>
    <w:next w:val="63"/>
    <w:autoRedefine/>
    <w:qFormat/>
    <w:uiPriority w:val="0"/>
    <w:rPr>
      <w:rFonts w:asciiTheme="majorHAnsi" w:hAnsiTheme="majorHAnsi" w:eastAsiaTheme="majorEastAsia" w:cstheme="majorBidi"/>
      <w:b/>
      <w:bCs/>
    </w:rPr>
  </w:style>
  <w:style w:type="paragraph" w:styleId="63">
    <w:name w:val="index 1"/>
    <w:basedOn w:val="1"/>
    <w:next w:val="1"/>
    <w:autoRedefine/>
    <w:qFormat/>
    <w:uiPriority w:val="0"/>
    <w:pPr>
      <w:ind w:left="240" w:hanging="240"/>
    </w:pPr>
  </w:style>
  <w:style w:type="paragraph" w:styleId="64">
    <w:name w:val="Subtitle"/>
    <w:basedOn w:val="1"/>
    <w:next w:val="1"/>
    <w:link w:val="651"/>
    <w:autoRedefine/>
    <w:qFormat/>
    <w:uiPriority w:val="0"/>
    <w:pPr>
      <w:spacing w:after="160"/>
    </w:pPr>
    <w:rPr>
      <w:rFonts w:asciiTheme="minorHAnsi" w:hAnsiTheme="minorHAnsi" w:eastAsiaTheme="minorEastAsia" w:cstheme="minorBidi"/>
      <w:color w:val="595959" w:themeColor="text1" w:themeTint="A6"/>
      <w:spacing w:val="15"/>
      <w:sz w:val="22"/>
      <w:szCs w:val="22"/>
      <w14:textFill>
        <w14:solidFill>
          <w14:schemeClr w14:val="tx1">
            <w14:lumMod w14:val="65000"/>
            <w14:lumOff w14:val="35000"/>
          </w14:schemeClr>
        </w14:solidFill>
      </w14:textFill>
    </w:rPr>
  </w:style>
  <w:style w:type="paragraph" w:styleId="65">
    <w:name w:val="List Number 5"/>
    <w:basedOn w:val="1"/>
    <w:autoRedefine/>
    <w:qFormat/>
    <w:uiPriority w:val="0"/>
    <w:pPr>
      <w:numPr>
        <w:ilvl w:val="0"/>
        <w:numId w:val="10"/>
      </w:numPr>
      <w:contextualSpacing/>
    </w:pPr>
  </w:style>
  <w:style w:type="paragraph" w:styleId="66">
    <w:name w:val="List"/>
    <w:basedOn w:val="1"/>
    <w:autoRedefine/>
    <w:qFormat/>
    <w:uiPriority w:val="0"/>
    <w:pPr>
      <w:ind w:left="360" w:hanging="360"/>
      <w:contextualSpacing/>
    </w:pPr>
  </w:style>
  <w:style w:type="paragraph" w:styleId="67">
    <w:name w:val="footnote text"/>
    <w:basedOn w:val="1"/>
    <w:link w:val="529"/>
    <w:uiPriority w:val="0"/>
    <w:rPr>
      <w:sz w:val="20"/>
      <w:szCs w:val="20"/>
    </w:rPr>
  </w:style>
  <w:style w:type="paragraph" w:styleId="68">
    <w:name w:val="toc 6"/>
    <w:basedOn w:val="1"/>
    <w:next w:val="1"/>
    <w:autoRedefine/>
    <w:qFormat/>
    <w:uiPriority w:val="0"/>
    <w:pPr>
      <w:spacing w:after="100"/>
      <w:ind w:left="1200"/>
    </w:pPr>
  </w:style>
  <w:style w:type="paragraph" w:styleId="69">
    <w:name w:val="List 5"/>
    <w:basedOn w:val="1"/>
    <w:autoRedefine/>
    <w:qFormat/>
    <w:uiPriority w:val="0"/>
    <w:pPr>
      <w:ind w:left="1800" w:hanging="360"/>
      <w:contextualSpacing/>
    </w:pPr>
  </w:style>
  <w:style w:type="paragraph" w:styleId="70">
    <w:name w:val="Body Text Indent 3"/>
    <w:basedOn w:val="1"/>
    <w:link w:val="523"/>
    <w:autoRedefine/>
    <w:qFormat/>
    <w:uiPriority w:val="0"/>
    <w:pPr>
      <w:spacing w:after="120"/>
      <w:ind w:left="360"/>
    </w:pPr>
    <w:rPr>
      <w:sz w:val="16"/>
      <w:szCs w:val="16"/>
    </w:rPr>
  </w:style>
  <w:style w:type="paragraph" w:styleId="71">
    <w:name w:val="index 7"/>
    <w:basedOn w:val="1"/>
    <w:next w:val="1"/>
    <w:autoRedefine/>
    <w:qFormat/>
    <w:uiPriority w:val="0"/>
    <w:pPr>
      <w:ind w:left="1680" w:hanging="240"/>
    </w:pPr>
  </w:style>
  <w:style w:type="paragraph" w:styleId="72">
    <w:name w:val="index 9"/>
    <w:basedOn w:val="1"/>
    <w:next w:val="1"/>
    <w:autoRedefine/>
    <w:qFormat/>
    <w:uiPriority w:val="0"/>
    <w:pPr>
      <w:ind w:left="2160" w:hanging="240"/>
    </w:pPr>
  </w:style>
  <w:style w:type="paragraph" w:styleId="73">
    <w:name w:val="table of figures"/>
    <w:basedOn w:val="1"/>
    <w:next w:val="1"/>
    <w:autoRedefine/>
    <w:qFormat/>
    <w:uiPriority w:val="0"/>
  </w:style>
  <w:style w:type="paragraph" w:styleId="74">
    <w:name w:val="toc 2"/>
    <w:basedOn w:val="1"/>
    <w:next w:val="1"/>
    <w:autoRedefine/>
    <w:qFormat/>
    <w:uiPriority w:val="0"/>
    <w:pPr>
      <w:spacing w:after="100"/>
      <w:ind w:left="240"/>
    </w:pPr>
  </w:style>
  <w:style w:type="paragraph" w:styleId="75">
    <w:name w:val="toc 9"/>
    <w:basedOn w:val="1"/>
    <w:next w:val="1"/>
    <w:autoRedefine/>
    <w:qFormat/>
    <w:uiPriority w:val="0"/>
    <w:pPr>
      <w:spacing w:after="100"/>
      <w:ind w:left="1920"/>
    </w:pPr>
  </w:style>
  <w:style w:type="paragraph" w:styleId="76">
    <w:name w:val="Body Text 2"/>
    <w:basedOn w:val="1"/>
    <w:link w:val="518"/>
    <w:autoRedefine/>
    <w:qFormat/>
    <w:uiPriority w:val="0"/>
    <w:pPr>
      <w:spacing w:after="120" w:line="480" w:lineRule="auto"/>
    </w:pPr>
  </w:style>
  <w:style w:type="paragraph" w:styleId="77">
    <w:name w:val="List 4"/>
    <w:basedOn w:val="1"/>
    <w:autoRedefine/>
    <w:qFormat/>
    <w:uiPriority w:val="0"/>
    <w:pPr>
      <w:ind w:left="1440" w:hanging="360"/>
      <w:contextualSpacing/>
    </w:pPr>
  </w:style>
  <w:style w:type="paragraph" w:styleId="78">
    <w:name w:val="List Continue 2"/>
    <w:basedOn w:val="1"/>
    <w:autoRedefine/>
    <w:qFormat/>
    <w:uiPriority w:val="0"/>
    <w:pPr>
      <w:spacing w:after="120"/>
      <w:ind w:left="720"/>
      <w:contextualSpacing/>
    </w:pPr>
  </w:style>
  <w:style w:type="paragraph" w:styleId="79">
    <w:name w:val="Message Header"/>
    <w:basedOn w:val="1"/>
    <w:link w:val="636"/>
    <w:autoRedefine/>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Theme="majorHAnsi" w:hAnsiTheme="majorHAnsi" w:eastAsiaTheme="majorEastAsia" w:cstheme="majorBidi"/>
    </w:rPr>
  </w:style>
  <w:style w:type="paragraph" w:styleId="80">
    <w:name w:val="HTML Preformatted"/>
    <w:basedOn w:val="1"/>
    <w:link w:val="517"/>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lang w:eastAsia="zh-CN"/>
    </w:rPr>
  </w:style>
  <w:style w:type="paragraph" w:styleId="81">
    <w:name w:val="Normal (Web)"/>
    <w:basedOn w:val="1"/>
    <w:autoRedefine/>
    <w:qFormat/>
    <w:uiPriority w:val="99"/>
    <w:pPr>
      <w:spacing w:before="100" w:beforeAutospacing="1" w:after="100" w:afterAutospacing="1"/>
    </w:pPr>
    <w:rPr>
      <w:rFonts w:cs="Angsana New"/>
      <w:lang w:val="en-GB"/>
    </w:rPr>
  </w:style>
  <w:style w:type="paragraph" w:styleId="82">
    <w:name w:val="List Continue 3"/>
    <w:basedOn w:val="1"/>
    <w:autoRedefine/>
    <w:qFormat/>
    <w:uiPriority w:val="0"/>
    <w:pPr>
      <w:spacing w:after="120"/>
      <w:ind w:left="1080"/>
      <w:contextualSpacing/>
    </w:pPr>
  </w:style>
  <w:style w:type="paragraph" w:styleId="83">
    <w:name w:val="index 2"/>
    <w:basedOn w:val="1"/>
    <w:next w:val="1"/>
    <w:autoRedefine/>
    <w:qFormat/>
    <w:uiPriority w:val="0"/>
    <w:pPr>
      <w:ind w:left="480" w:hanging="240"/>
    </w:pPr>
  </w:style>
  <w:style w:type="paragraph" w:styleId="84">
    <w:name w:val="Title"/>
    <w:basedOn w:val="1"/>
    <w:next w:val="1"/>
    <w:link w:val="378"/>
    <w:autoRedefine/>
    <w:qFormat/>
    <w:uiPriority w:val="0"/>
    <w:pPr>
      <w:spacing w:before="240" w:after="60"/>
      <w:jc w:val="center"/>
      <w:outlineLvl w:val="0"/>
    </w:pPr>
    <w:rPr>
      <w:rFonts w:ascii="Cambria" w:hAnsi="Cambria"/>
      <w:b/>
      <w:bCs/>
      <w:sz w:val="32"/>
      <w:szCs w:val="32"/>
      <w:lang w:val="zh-CN"/>
    </w:rPr>
  </w:style>
  <w:style w:type="paragraph" w:styleId="85">
    <w:name w:val="annotation subject"/>
    <w:basedOn w:val="28"/>
    <w:next w:val="28"/>
    <w:link w:val="512"/>
    <w:autoRedefine/>
    <w:semiHidden/>
    <w:qFormat/>
    <w:uiPriority w:val="0"/>
    <w:rPr>
      <w:b/>
      <w:bCs/>
    </w:rPr>
  </w:style>
  <w:style w:type="paragraph" w:styleId="86">
    <w:name w:val="Body Text First Indent"/>
    <w:basedOn w:val="34"/>
    <w:link w:val="521"/>
    <w:autoRedefine/>
    <w:qFormat/>
    <w:uiPriority w:val="0"/>
    <w:pPr>
      <w:tabs>
        <w:tab w:val="clear" w:pos="720"/>
        <w:tab w:val="clear" w:pos="1296"/>
      </w:tabs>
      <w:ind w:firstLine="360"/>
    </w:pPr>
    <w:rPr>
      <w:rFonts w:cs="Times New Roman"/>
      <w:szCs w:val="24"/>
      <w:lang w:eastAsia="en-US"/>
    </w:rPr>
  </w:style>
  <w:style w:type="paragraph" w:styleId="87">
    <w:name w:val="Body Text First Indent 2"/>
    <w:basedOn w:val="35"/>
    <w:link w:val="522"/>
    <w:autoRedefine/>
    <w:qFormat/>
    <w:uiPriority w:val="0"/>
    <w:pPr>
      <w:spacing w:after="0"/>
      <w:ind w:left="360" w:leftChars="0" w:firstLine="360"/>
    </w:pPr>
    <w:rPr>
      <w:sz w:val="24"/>
      <w:szCs w:val="24"/>
      <w:lang w:eastAsia="en-US"/>
    </w:rPr>
  </w:style>
  <w:style w:type="table" w:styleId="89">
    <w:name w:val="Table Grid"/>
    <w:basedOn w:val="88"/>
    <w:autoRedefine/>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autoRedefine/>
    <w:semiHidden/>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autoRedefine/>
    <w:semiHidden/>
    <w:unhideWhenUsed/>
    <w:qFormat/>
    <w:uiPriority w:val="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autoRedefine/>
    <w:semiHidden/>
    <w:unhideWhenUsed/>
    <w:qFormat/>
    <w:uiPriority w:val="0"/>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autoRedefine/>
    <w:semiHidden/>
    <w:unhideWhenUsed/>
    <w:qFormat/>
    <w:uiPriority w:val="0"/>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autoRedefine/>
    <w:semiHidden/>
    <w:unhideWhenUsed/>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autoRedefine/>
    <w:semiHidden/>
    <w:unhideWhenUsed/>
    <w:qFormat/>
    <w:uiPriority w:val="0"/>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autoRedefine/>
    <w:semiHidden/>
    <w:unhideWhenUsed/>
    <w:qFormat/>
    <w:uiPriority w:val="0"/>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autoRedefine/>
    <w:semiHidden/>
    <w:unhideWhenUsed/>
    <w:qFormat/>
    <w:uiPriority w:val="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autoRedefine/>
    <w:semiHidden/>
    <w:unhideWhenUsed/>
    <w:qFormat/>
    <w:uiPriority w:val="0"/>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0"/>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autoRedefine/>
    <w:semiHidden/>
    <w:unhideWhenUsed/>
    <w:qFormat/>
    <w:uiPriority w:val="0"/>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autoRedefine/>
    <w:semiHidden/>
    <w:unhideWhenUsed/>
    <w:qFormat/>
    <w:uiPriority w:val="0"/>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autoRedefine/>
    <w:semiHidden/>
    <w:unhideWhenUsed/>
    <w:qFormat/>
    <w:uiPriority w:val="0"/>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autoRedefine/>
    <w:semiHidden/>
    <w:unhideWhenUsed/>
    <w:qFormat/>
    <w:uiPriority w:val="0"/>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autoRedefine/>
    <w:semiHidden/>
    <w:unhideWhenUsed/>
    <w:qFormat/>
    <w:uiPriority w:val="0"/>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autoRedefine/>
    <w:semiHidden/>
    <w:unhideWhenUsed/>
    <w:qFormat/>
    <w:uiPriority w:val="0"/>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autoRedefine/>
    <w:semiHidden/>
    <w:unhideWhenUsed/>
    <w:qFormat/>
    <w:uiPriority w:val="0"/>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autoRedefine/>
    <w:semiHidden/>
    <w:unhideWhenUsed/>
    <w:qFormat/>
    <w:uiPriority w:val="0"/>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autoRedefine/>
    <w:semiHidden/>
    <w:unhideWhenUsed/>
    <w:qFormat/>
    <w:uiPriority w:val="0"/>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autoRedefine/>
    <w:semiHidden/>
    <w:unhideWhenUsed/>
    <w:qFormat/>
    <w:uiPriority w:val="0"/>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autoRedefine/>
    <w:semiHidden/>
    <w:unhideWhenUsed/>
    <w:qFormat/>
    <w:uiPriority w:val="0"/>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autoRedefine/>
    <w:semiHidden/>
    <w:unhideWhenUsed/>
    <w:qFormat/>
    <w:uiPriority w:val="0"/>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autoRedefine/>
    <w:semiHidden/>
    <w:unhideWhenUsed/>
    <w:qFormat/>
    <w:uiPriority w:val="0"/>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autoRedefine/>
    <w:semiHidden/>
    <w:unhideWhenUsed/>
    <w:qFormat/>
    <w:uiPriority w:val="0"/>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0"/>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autoRedefine/>
    <w:semiHidden/>
    <w:unhideWhenUsed/>
    <w:qFormat/>
    <w:uiPriority w:val="0"/>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autoRedefine/>
    <w:semiHidden/>
    <w:unhideWhenUsed/>
    <w:qFormat/>
    <w:uiPriority w:val="0"/>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autoRedefine/>
    <w:semiHidden/>
    <w:unhideWhenUsed/>
    <w:qFormat/>
    <w:uiPriority w:val="0"/>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autoRedefine/>
    <w:semiHidden/>
    <w:unhideWhenUsed/>
    <w:qFormat/>
    <w:uiPriority w:val="0"/>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autoRedefine/>
    <w:semiHidden/>
    <w:unhideWhenUsed/>
    <w:qFormat/>
    <w:uiPriority w:val="0"/>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autoRedefine/>
    <w:semiHidden/>
    <w:unhideWhenUsed/>
    <w:qFormat/>
    <w:uiPriority w:val="0"/>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autoRedefine/>
    <w:semiHidden/>
    <w:unhideWhenUsed/>
    <w:qFormat/>
    <w:uiPriority w:val="0"/>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autoRedefine/>
    <w:semiHidden/>
    <w:unhideWhenUsed/>
    <w:qFormat/>
    <w:uiPriority w:val="0"/>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autoRedefine/>
    <w:semiHidden/>
    <w:unhideWhenUsed/>
    <w:qFormat/>
    <w:uiPriority w:val="0"/>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autoRedefine/>
    <w:semiHidden/>
    <w:unhideWhenUsed/>
    <w:qFormat/>
    <w:uiPriority w:val="0"/>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autoRedefine/>
    <w:semiHidden/>
    <w:unhideWhenUsed/>
    <w:qFormat/>
    <w:uiPriority w:val="0"/>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autoRedefine/>
    <w:semiHidden/>
    <w:unhideWhenUsed/>
    <w:qFormat/>
    <w:uiPriority w:val="0"/>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autoRedefine/>
    <w:semiHidden/>
    <w:unhideWhenUsed/>
    <w:qFormat/>
    <w:uiPriority w:val="0"/>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autoRedefine/>
    <w:semiHidden/>
    <w:unhideWhenUsed/>
    <w:qFormat/>
    <w:uiPriority w:val="0"/>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autoRedefine/>
    <w:semiHidden/>
    <w:unhideWhenUsed/>
    <w:qFormat/>
    <w:uiPriority w:val="0"/>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autoRedefine/>
    <w:semiHidden/>
    <w:unhideWhenUsed/>
    <w:qFormat/>
    <w:uiPriority w:val="0"/>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autoRedefine/>
    <w:semiHidden/>
    <w:unhideWhenUsed/>
    <w:qFormat/>
    <w:uiPriority w:val="0"/>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autoRedefine/>
    <w:semiHidden/>
    <w:unhideWhenUsed/>
    <w:qFormat/>
    <w:uiPriority w:val="0"/>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autoRedefine/>
    <w:semiHidden/>
    <w:unhideWhenUsed/>
    <w:qFormat/>
    <w:uiPriority w:val="60"/>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134">
    <w:name w:val="Light Shading Accent 1"/>
    <w:basedOn w:val="88"/>
    <w:autoRedefine/>
    <w:semiHidden/>
    <w:unhideWhenUsed/>
    <w:qFormat/>
    <w:uiPriority w:val="60"/>
    <w:rPr>
      <w:color w:val="2F5597" w:themeColor="accent1" w:themeShade="BF"/>
    </w:rPr>
    <w:tblPr>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CF0" w:themeFill="accent1" w:themeFillTint="3F"/>
      </w:tcPr>
    </w:tblStylePr>
    <w:tblStylePr w:type="band1Horz">
      <w:tblPr/>
      <w:tcPr>
        <w:tcBorders>
          <w:left w:val="nil"/>
          <w:right w:val="nil"/>
          <w:insideH w:val="nil"/>
          <w:insideV w:val="nil"/>
        </w:tcBorders>
        <w:shd w:val="clear" w:color="auto" w:fill="D0DCF0" w:themeFill="accent1" w:themeFillTint="3F"/>
      </w:tcPr>
    </w:tblStylePr>
  </w:style>
  <w:style w:type="table" w:styleId="135">
    <w:name w:val="Light Shading Accent 2"/>
    <w:basedOn w:val="88"/>
    <w:autoRedefine/>
    <w:semiHidden/>
    <w:unhideWhenUsed/>
    <w:qFormat/>
    <w:uiPriority w:val="60"/>
    <w:rPr>
      <w:color w:val="C55A11" w:themeColor="accent2" w:themeShade="BF"/>
    </w:rPr>
    <w:tblPr>
      <w:tblBorders>
        <w:top w:val="single" w:color="ED7D31" w:themeColor="accent2" w:sz="8" w:space="0"/>
        <w:bottom w:val="single" w:color="ED7D31" w:themeColor="accent2" w:sz="8" w:space="0"/>
      </w:tblBorders>
    </w:tblPr>
    <w:tblStylePr w:type="firstRow">
      <w:pPr>
        <w:spacing w:before="0" w:after="0" w:line="24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lastRow">
      <w:pPr>
        <w:spacing w:before="0" w:after="0" w:line="24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C" w:themeFill="accent2" w:themeFillTint="3F"/>
      </w:tcPr>
    </w:tblStylePr>
    <w:tblStylePr w:type="band1Horz">
      <w:tblPr/>
      <w:tcPr>
        <w:tcBorders>
          <w:left w:val="nil"/>
          <w:right w:val="nil"/>
          <w:insideH w:val="nil"/>
          <w:insideV w:val="nil"/>
        </w:tcBorders>
        <w:shd w:val="clear" w:color="auto" w:fill="FADECC" w:themeFill="accent2" w:themeFillTint="3F"/>
      </w:tcPr>
    </w:tblStylePr>
  </w:style>
  <w:style w:type="table" w:styleId="136">
    <w:name w:val="Light Shading Accent 3"/>
    <w:basedOn w:val="88"/>
    <w:autoRedefine/>
    <w:semiHidden/>
    <w:unhideWhenUsed/>
    <w:qFormat/>
    <w:uiPriority w:val="60"/>
    <w:rPr>
      <w:color w:val="7C7C7C" w:themeColor="accent3" w:themeShade="BF"/>
    </w:rPr>
    <w:tblPr>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137">
    <w:name w:val="Light Shading Accent 4"/>
    <w:basedOn w:val="88"/>
    <w:autoRedefine/>
    <w:semiHidden/>
    <w:unhideWhenUsed/>
    <w:qFormat/>
    <w:uiPriority w:val="60"/>
    <w:rPr>
      <w:color w:val="BF9000" w:themeColor="accent4" w:themeShade="BF"/>
    </w:rPr>
    <w:tblPr>
      <w:tblBorders>
        <w:top w:val="single" w:color="FFC000" w:themeColor="accent4" w:sz="8" w:space="0"/>
        <w:bottom w:val="single" w:color="FFC000" w:themeColor="accent4" w:sz="8" w:space="0"/>
      </w:tblBorders>
    </w:tblPr>
    <w:tblStylePr w:type="fir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la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BF" w:themeFill="accent4" w:themeFillTint="3F"/>
      </w:tcPr>
    </w:tblStylePr>
    <w:tblStylePr w:type="band1Horz">
      <w:tblPr/>
      <w:tcPr>
        <w:tcBorders>
          <w:left w:val="nil"/>
          <w:right w:val="nil"/>
          <w:insideH w:val="nil"/>
          <w:insideV w:val="nil"/>
        </w:tcBorders>
        <w:shd w:val="clear" w:color="auto" w:fill="FFEFBF" w:themeFill="accent4" w:themeFillTint="3F"/>
      </w:tcPr>
    </w:tblStylePr>
  </w:style>
  <w:style w:type="table" w:styleId="138">
    <w:name w:val="Light Shading Accent 5"/>
    <w:basedOn w:val="88"/>
    <w:autoRedefine/>
    <w:semiHidden/>
    <w:unhideWhenUsed/>
    <w:qFormat/>
    <w:uiPriority w:val="60"/>
    <w:rPr>
      <w:color w:val="2E75B6" w:themeColor="accent5" w:themeShade="BF"/>
    </w:rPr>
    <w:tblPr>
      <w:tblBorders>
        <w:top w:val="single" w:color="5B9BD5" w:themeColor="accent5" w:sz="8" w:space="0"/>
        <w:bottom w:val="single" w:color="5B9BD5" w:themeColor="accent5" w:sz="8" w:space="0"/>
      </w:tblBorders>
    </w:tblPr>
    <w:tblStylePr w:type="fir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la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139">
    <w:name w:val="Light Shading Accent 6"/>
    <w:basedOn w:val="88"/>
    <w:autoRedefine/>
    <w:semiHidden/>
    <w:unhideWhenUsed/>
    <w:qFormat/>
    <w:uiPriority w:val="60"/>
    <w:rPr>
      <w:color w:val="548235" w:themeColor="accent6" w:themeShade="BF"/>
    </w:rPr>
    <w:tblPr>
      <w:tblBorders>
        <w:top w:val="single" w:color="70AD47" w:themeColor="accent6" w:sz="8" w:space="0"/>
        <w:bottom w:val="single" w:color="70AD47" w:themeColor="accent6" w:sz="8" w:space="0"/>
      </w:tblBorders>
    </w:tblPr>
    <w:tblStylePr w:type="fir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la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140">
    <w:name w:val="Light List"/>
    <w:basedOn w:val="88"/>
    <w:autoRedefine/>
    <w:semiHidden/>
    <w:unhideWhenUsed/>
    <w:qFormat/>
    <w:uiPriority w:val="61"/>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141">
    <w:name w:val="Light List Accent 1"/>
    <w:basedOn w:val="88"/>
    <w:autoRedefine/>
    <w:semiHidden/>
    <w:unhideWhenUsed/>
    <w:qFormat/>
    <w:uiPriority w:val="61"/>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472C4" w:themeFill="accent1"/>
      </w:tcPr>
    </w:tblStylePr>
    <w:tblStylePr w:type="lastRow">
      <w:pPr>
        <w:spacing w:before="0" w:after="0" w:line="240" w:lineRule="auto"/>
      </w:pPr>
      <w:rPr>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StylePr>
    <w:tblStylePr w:type="lastCol">
      <w:rPr>
        <w:b/>
        <w:bCs/>
      </w:r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styleId="142">
    <w:name w:val="Light List Accent 2"/>
    <w:basedOn w:val="88"/>
    <w:autoRedefine/>
    <w:semiHidden/>
    <w:unhideWhenUsed/>
    <w:qFormat/>
    <w:uiPriority w:val="61"/>
    <w:tblPr>
      <w:tblBorders>
        <w:top w:val="single" w:color="ED7D31" w:themeColor="accent2" w:sz="8" w:space="0"/>
        <w:left w:val="single" w:color="ED7D31" w:themeColor="accent2" w:sz="8" w:space="0"/>
        <w:bottom w:val="single" w:color="ED7D31" w:themeColor="accent2" w:sz="8" w:space="0"/>
        <w:right w:val="single" w:color="ED7D31"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ED7D31" w:themeFill="accent2"/>
      </w:tcPr>
    </w:tblStylePr>
    <w:tblStylePr w:type="lastRow">
      <w:pPr>
        <w:spacing w:before="0" w:after="0" w:line="240" w:lineRule="auto"/>
      </w:pPr>
      <w:rPr>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tcBorders>
      </w:tcPr>
    </w:tblStylePr>
    <w:tblStylePr w:type="firstCol">
      <w:rPr>
        <w:b/>
        <w:bCs/>
      </w:rPr>
    </w:tblStylePr>
    <w:tblStylePr w:type="lastCol">
      <w:rPr>
        <w:b/>
        <w:bCs/>
      </w:r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style>
  <w:style w:type="table" w:styleId="143">
    <w:name w:val="Light List Accent 3"/>
    <w:basedOn w:val="88"/>
    <w:autoRedefine/>
    <w:semiHidden/>
    <w:unhideWhenUsed/>
    <w:qFormat/>
    <w:uiPriority w:val="61"/>
    <w:tblPr>
      <w:tblBorders>
        <w:top w:val="single" w:color="A5A5A5" w:themeColor="accent3" w:sz="8" w:space="0"/>
        <w:left w:val="single" w:color="A5A5A5" w:themeColor="accent3" w:sz="8" w:space="0"/>
        <w:bottom w:val="single" w:color="A5A5A5" w:themeColor="accent3" w:sz="8" w:space="0"/>
        <w:right w:val="single" w:color="A5A5A5"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A5A5A5" w:themeFill="accent3"/>
      </w:tcPr>
    </w:tblStylePr>
    <w:tblStylePr w:type="lastRow">
      <w:pPr>
        <w:spacing w:before="0" w:after="0" w:line="240" w:lineRule="auto"/>
      </w:pPr>
      <w:rPr>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tcBorders>
      </w:tcPr>
    </w:tblStylePr>
    <w:tblStylePr w:type="firstCol">
      <w:rPr>
        <w:b/>
        <w:bCs/>
      </w:rPr>
    </w:tblStylePr>
    <w:tblStylePr w:type="lastCol">
      <w:rPr>
        <w:b/>
        <w:bCs/>
      </w:r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style>
  <w:style w:type="table" w:styleId="144">
    <w:name w:val="Light List Accent 4"/>
    <w:basedOn w:val="88"/>
    <w:autoRedefine/>
    <w:semiHidden/>
    <w:unhideWhenUsed/>
    <w:qFormat/>
    <w:uiPriority w:val="61"/>
    <w:tblPr>
      <w:tblBorders>
        <w:top w:val="single" w:color="FFC000" w:themeColor="accent4" w:sz="8" w:space="0"/>
        <w:left w:val="single" w:color="FFC000" w:themeColor="accent4" w:sz="8" w:space="0"/>
        <w:bottom w:val="single" w:color="FFC000" w:themeColor="accent4" w:sz="8" w:space="0"/>
        <w:right w:val="single" w:color="FFC000"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FC000" w:themeFill="accent4"/>
      </w:tcPr>
    </w:tblStylePr>
    <w:tblStylePr w:type="lastRow">
      <w:pPr>
        <w:spacing w:before="0" w:after="0" w:line="240" w:lineRule="auto"/>
      </w:pPr>
      <w:rPr>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tcBorders>
      </w:tcPr>
    </w:tblStylePr>
    <w:tblStylePr w:type="firstCol">
      <w:rPr>
        <w:b/>
        <w:bCs/>
      </w:rPr>
    </w:tblStylePr>
    <w:tblStylePr w:type="lastCol">
      <w:rPr>
        <w:b/>
        <w:bCs/>
      </w:r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style>
  <w:style w:type="table" w:styleId="145">
    <w:name w:val="Light List Accent 5"/>
    <w:basedOn w:val="88"/>
    <w:autoRedefine/>
    <w:semiHidden/>
    <w:unhideWhenUsed/>
    <w:qFormat/>
    <w:uiPriority w:val="61"/>
    <w:tblPr>
      <w:tblBorders>
        <w:top w:val="single" w:color="5B9BD5" w:themeColor="accent5" w:sz="8" w:space="0"/>
        <w:left w:val="single" w:color="5B9BD5" w:themeColor="accent5" w:sz="8" w:space="0"/>
        <w:bottom w:val="single" w:color="5B9BD5" w:themeColor="accent5" w:sz="8" w:space="0"/>
        <w:right w:val="single" w:color="5B9BD5"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5B9BD5" w:themeFill="accent5"/>
      </w:tcPr>
    </w:tblStylePr>
    <w:tblStylePr w:type="lastRow">
      <w:pPr>
        <w:spacing w:before="0" w:after="0" w:line="240" w:lineRule="auto"/>
      </w:pPr>
      <w:rPr>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tcBorders>
      </w:tcPr>
    </w:tblStylePr>
    <w:tblStylePr w:type="firstCol">
      <w:rPr>
        <w:b/>
        <w:bCs/>
      </w:rPr>
    </w:tblStylePr>
    <w:tblStylePr w:type="lastCol">
      <w:rPr>
        <w:b/>
        <w:bCs/>
      </w:r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style>
  <w:style w:type="table" w:styleId="146">
    <w:name w:val="Light List Accent 6"/>
    <w:basedOn w:val="88"/>
    <w:autoRedefine/>
    <w:semiHidden/>
    <w:unhideWhenUsed/>
    <w:qFormat/>
    <w:uiPriority w:val="61"/>
    <w:tblPr>
      <w:tblBorders>
        <w:top w:val="single" w:color="70AD47" w:themeColor="accent6" w:sz="8" w:space="0"/>
        <w:left w:val="single" w:color="70AD47" w:themeColor="accent6" w:sz="8" w:space="0"/>
        <w:bottom w:val="single" w:color="70AD47" w:themeColor="accent6" w:sz="8" w:space="0"/>
        <w:right w:val="single" w:color="70AD47"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70AD47" w:themeFill="accent6"/>
      </w:tcPr>
    </w:tblStylePr>
    <w:tblStylePr w:type="lastRow">
      <w:pPr>
        <w:spacing w:before="0" w:after="0" w:line="240" w:lineRule="auto"/>
      </w:pPr>
      <w:rPr>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tcBorders>
      </w:tcPr>
    </w:tblStylePr>
    <w:tblStylePr w:type="firstCol">
      <w:rPr>
        <w:b/>
        <w:bCs/>
      </w:rPr>
    </w:tblStylePr>
    <w:tblStylePr w:type="lastCol">
      <w:rPr>
        <w:b/>
        <w:bCs/>
      </w:r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style>
  <w:style w:type="table" w:styleId="147">
    <w:name w:val="Light Grid"/>
    <w:basedOn w:val="88"/>
    <w:autoRedefine/>
    <w:semiHidden/>
    <w:unhideWhenUsed/>
    <w:qFormat/>
    <w:uiPriority w:val="62"/>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148">
    <w:name w:val="Light Grid Accent 1"/>
    <w:basedOn w:val="88"/>
    <w:autoRedefine/>
    <w:semiHidden/>
    <w:unhideWhenUsed/>
    <w:qFormat/>
    <w:uiPriority w:val="62"/>
    <w:tblPr>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18" w:space="0"/>
          <w:right w:val="single" w:color="4472C4"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shd w:val="clear" w:color="auto" w:fill="D0DCF0" w:themeFill="accent1" w:themeFillTint="3F"/>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sz="8" w:space="0"/>
        </w:tcBorders>
        <w:shd w:val="clear" w:color="auto" w:fill="D0DCF0" w:themeFill="accent1" w:themeFillTint="3F"/>
      </w:tcPr>
    </w:tblStylePr>
    <w:tblStylePr w:type="band2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sz="8" w:space="0"/>
        </w:tcBorders>
      </w:tcPr>
    </w:tblStylePr>
  </w:style>
  <w:style w:type="table" w:styleId="149">
    <w:name w:val="Light Grid Accent 2"/>
    <w:basedOn w:val="88"/>
    <w:autoRedefine/>
    <w:semiHidden/>
    <w:unhideWhenUsed/>
    <w:qFormat/>
    <w:uiPriority w:val="62"/>
    <w:tblPr>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18" w:space="0"/>
          <w:right w:val="single" w:color="ED7D31"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shd w:val="clear" w:color="auto" w:fill="FADECC" w:themeFill="accent2" w:themeFillTint="3F"/>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shd w:val="clear" w:color="auto" w:fill="FADECC" w:themeFill="accent2" w:themeFillTint="3F"/>
      </w:tcPr>
    </w:tblStylePr>
    <w:tblStylePr w:type="band2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tcPr>
    </w:tblStylePr>
  </w:style>
  <w:style w:type="table" w:styleId="150">
    <w:name w:val="Light Grid Accent 3"/>
    <w:basedOn w:val="88"/>
    <w:autoRedefine/>
    <w:semiHidden/>
    <w:unhideWhenUsed/>
    <w:qFormat/>
    <w:uiPriority w:val="62"/>
    <w:tblPr>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18" w:space="0"/>
          <w:right w:val="single" w:color="A5A5A5"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shd w:val="clear" w:color="auto" w:fill="E8E8E8" w:themeFill="accent3" w:themeFillTint="3F"/>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sz="8" w:space="0"/>
        </w:tcBorders>
        <w:shd w:val="clear" w:color="auto" w:fill="E8E8E8" w:themeFill="accent3" w:themeFillTint="3F"/>
      </w:tcPr>
    </w:tblStylePr>
    <w:tblStylePr w:type="band2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sz="8" w:space="0"/>
        </w:tcBorders>
      </w:tcPr>
    </w:tblStylePr>
  </w:style>
  <w:style w:type="table" w:styleId="151">
    <w:name w:val="Light Grid Accent 4"/>
    <w:basedOn w:val="88"/>
    <w:autoRedefine/>
    <w:semiHidden/>
    <w:unhideWhenUsed/>
    <w:qFormat/>
    <w:uiPriority w:val="62"/>
    <w:tblPr>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18" w:space="0"/>
          <w:right w:val="single" w:color="FFC000"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shd w:val="clear" w:color="auto" w:fill="FFEFBF" w:themeFill="accent4" w:themeFillTint="3F"/>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sz="8" w:space="0"/>
        </w:tcBorders>
        <w:shd w:val="clear" w:color="auto" w:fill="FFEFBF" w:themeFill="accent4" w:themeFillTint="3F"/>
      </w:tcPr>
    </w:tblStylePr>
    <w:tblStylePr w:type="band2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sz="8" w:space="0"/>
        </w:tcBorders>
      </w:tcPr>
    </w:tblStylePr>
  </w:style>
  <w:style w:type="table" w:styleId="152">
    <w:name w:val="Light Grid Accent 5"/>
    <w:basedOn w:val="88"/>
    <w:autoRedefine/>
    <w:semiHidden/>
    <w:unhideWhenUsed/>
    <w:qFormat/>
    <w:uiPriority w:val="62"/>
    <w:tblPr>
      <w:tblBorders>
        <w:top w:val="single" w:color="5B9BD5" w:themeColor="accent5" w:sz="8" w:space="0"/>
        <w:left w:val="single" w:color="5B9BD5" w:themeColor="accent5" w:sz="8" w:space="0"/>
        <w:bottom w:val="single" w:color="5B9BD5" w:themeColor="accent5" w:sz="8" w:space="0"/>
        <w:right w:val="single" w:color="5B9BD5" w:themeColor="accent5" w:sz="8" w:space="0"/>
        <w:insideH w:val="single" w:color="5B9BD5" w:themeColor="accent5" w:sz="8" w:space="0"/>
        <w:insideV w:val="single" w:color="5B9BD5"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18" w:space="0"/>
          <w:right w:val="single" w:color="5B9BD5"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shd w:val="clear" w:color="auto" w:fill="D6E6F4" w:themeFill="accent5" w:themeFillTint="3F"/>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sz="8" w:space="0"/>
        </w:tcBorders>
        <w:shd w:val="clear" w:color="auto" w:fill="D6E6F4" w:themeFill="accent5" w:themeFillTint="3F"/>
      </w:tcPr>
    </w:tblStylePr>
    <w:tblStylePr w:type="band2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sz="8" w:space="0"/>
        </w:tcBorders>
      </w:tcPr>
    </w:tblStylePr>
  </w:style>
  <w:style w:type="table" w:styleId="153">
    <w:name w:val="Light Grid Accent 6"/>
    <w:basedOn w:val="88"/>
    <w:autoRedefine/>
    <w:semiHidden/>
    <w:unhideWhenUsed/>
    <w:qFormat/>
    <w:uiPriority w:val="62"/>
    <w:tblPr>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18" w:space="0"/>
          <w:right w:val="single" w:color="70AD47"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shd w:val="clear" w:color="auto" w:fill="DBEBD0" w:themeFill="accent6" w:themeFillTint="3F"/>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sz="8" w:space="0"/>
        </w:tcBorders>
        <w:shd w:val="clear" w:color="auto" w:fill="DBEBD0" w:themeFill="accent6" w:themeFillTint="3F"/>
      </w:tcPr>
    </w:tblStylePr>
    <w:tblStylePr w:type="band2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sz="8" w:space="0"/>
        </w:tcBorders>
      </w:tcPr>
    </w:tblStylePr>
  </w:style>
  <w:style w:type="table" w:styleId="154">
    <w:name w:val="Medium Shading 1"/>
    <w:basedOn w:val="88"/>
    <w:autoRedefine/>
    <w:semiHidden/>
    <w:unhideWhenUsed/>
    <w:qFormat/>
    <w:uiPriority w:val="63"/>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155">
    <w:name w:val="Medium Shading 1 Accent 1"/>
    <w:basedOn w:val="88"/>
    <w:autoRedefine/>
    <w:semiHidden/>
    <w:unhideWhenUsed/>
    <w:qFormat/>
    <w:uiPriority w:val="63"/>
    <w:tblPr>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shd w:val="clear" w:color="auto" w:fill="4472C4" w:themeFill="accent1"/>
      </w:tcPr>
    </w:tblStylePr>
    <w:tblStylePr w:type="lastRow">
      <w:pPr>
        <w:spacing w:before="0" w:after="0" w:line="240" w:lineRule="auto"/>
      </w:pPr>
      <w:rPr>
        <w:b/>
        <w:bCs/>
      </w:rPr>
      <w:tblPr/>
      <w:tcPr>
        <w:tcBorders>
          <w:top w:val="double" w:color="7295D2" w:themeColor="accent1" w:themeTint="BF" w:sz="6"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0DCF0" w:themeFill="accent1" w:themeFillTint="3F"/>
      </w:tcPr>
    </w:tblStylePr>
    <w:tblStylePr w:type="band1Horz">
      <w:tblPr/>
      <w:tcPr>
        <w:tcBorders>
          <w:insideH w:val="nil"/>
          <w:insideV w:val="nil"/>
        </w:tcBorders>
        <w:shd w:val="clear" w:color="auto" w:fill="D0DCF0" w:themeFill="accent1" w:themeFillTint="3F"/>
      </w:tcPr>
    </w:tblStylePr>
    <w:tblStylePr w:type="band2Horz">
      <w:tblPr/>
      <w:tcPr>
        <w:tcBorders>
          <w:insideH w:val="nil"/>
          <w:insideV w:val="nil"/>
        </w:tcBorders>
      </w:tcPr>
    </w:tblStylePr>
  </w:style>
  <w:style w:type="table" w:styleId="156">
    <w:name w:val="Medium Shading 1 Accent 2"/>
    <w:basedOn w:val="88"/>
    <w:autoRedefine/>
    <w:semiHidden/>
    <w:unhideWhenUsed/>
    <w:qFormat/>
    <w:uiPriority w:val="63"/>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nil"/>
          <w:insideV w:val="nil"/>
        </w:tcBorders>
        <w:shd w:val="clear" w:color="auto" w:fill="ED7D31" w:themeFill="accent2"/>
      </w:tcPr>
    </w:tblStylePr>
    <w:tblStylePr w:type="lastRow">
      <w:pPr>
        <w:spacing w:before="0" w:after="0" w:line="240" w:lineRule="auto"/>
      </w:pPr>
      <w:rPr>
        <w:b/>
        <w:bCs/>
      </w:rPr>
      <w:tblPr/>
      <w:tcPr>
        <w:tcBorders>
          <w:top w:val="double" w:color="F19D64" w:themeColor="accent2" w:themeTint="BF" w:sz="6" w:space="0"/>
          <w:left w:val="single" w:color="F19D64" w:themeColor="accent2" w:themeTint="BF" w:sz="8" w:space="0"/>
          <w:bottom w:val="single" w:color="F19D64" w:themeColor="accent2" w:themeTint="BF" w:sz="8" w:space="0"/>
          <w:right w:val="single" w:color="F19D64"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ADECC" w:themeFill="accent2" w:themeFillTint="3F"/>
      </w:tcPr>
    </w:tblStylePr>
    <w:tblStylePr w:type="band1Horz">
      <w:tblPr/>
      <w:tcPr>
        <w:tcBorders>
          <w:insideH w:val="nil"/>
          <w:insideV w:val="nil"/>
        </w:tcBorders>
        <w:shd w:val="clear" w:color="auto" w:fill="FADECC" w:themeFill="accent2" w:themeFillTint="3F"/>
      </w:tcPr>
    </w:tblStylePr>
    <w:tblStylePr w:type="band2Horz">
      <w:tblPr/>
      <w:tcPr>
        <w:tcBorders>
          <w:insideH w:val="nil"/>
          <w:insideV w:val="nil"/>
        </w:tcBorders>
      </w:tcPr>
    </w:tblStylePr>
  </w:style>
  <w:style w:type="table" w:styleId="157">
    <w:name w:val="Medium Shading 1 Accent 3"/>
    <w:basedOn w:val="88"/>
    <w:autoRedefine/>
    <w:semiHidden/>
    <w:unhideWhenUsed/>
    <w:qFormat/>
    <w:uiPriority w:val="63"/>
    <w:tblPr>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shd w:val="clear" w:color="auto" w:fill="A5A5A5" w:themeFill="accent3"/>
      </w:tcPr>
    </w:tblStylePr>
    <w:tblStylePr w:type="lastRow">
      <w:pPr>
        <w:spacing w:before="0" w:after="0" w:line="240" w:lineRule="auto"/>
      </w:pPr>
      <w:rPr>
        <w:b/>
        <w:bCs/>
      </w:rPr>
      <w:tblPr/>
      <w:tcPr>
        <w:tcBorders>
          <w:top w:val="double" w:color="BBBBBB" w:themeColor="accent3" w:themeTint="BF" w:sz="6"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58">
    <w:name w:val="Medium Shading 1 Accent 4"/>
    <w:basedOn w:val="88"/>
    <w:autoRedefine/>
    <w:semiHidden/>
    <w:unhideWhenUsed/>
    <w:qFormat/>
    <w:uiPriority w:val="63"/>
    <w:tblPr>
      <w:tbl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single" w:color="FFCF3F"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nil"/>
          <w:insideV w:val="nil"/>
        </w:tcBorders>
        <w:shd w:val="clear" w:color="auto" w:fill="FFC000" w:themeFill="accent4"/>
      </w:tcPr>
    </w:tblStylePr>
    <w:tblStylePr w:type="lastRow">
      <w:pPr>
        <w:spacing w:before="0" w:after="0" w:line="240" w:lineRule="auto"/>
      </w:pPr>
      <w:rPr>
        <w:b/>
        <w:bCs/>
      </w:rPr>
      <w:tblPr/>
      <w:tcPr>
        <w:tcBorders>
          <w:top w:val="double" w:color="FFCF3F" w:themeColor="accent4" w:themeTint="BF" w:sz="6" w:space="0"/>
          <w:left w:val="single" w:color="FFCF3F" w:themeColor="accent4" w:themeTint="BF" w:sz="8" w:space="0"/>
          <w:bottom w:val="single" w:color="FFCF3F" w:themeColor="accent4" w:themeTint="BF" w:sz="8" w:space="0"/>
          <w:right w:val="single" w:color="FFCF3F"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FFEFBF" w:themeFill="accent4" w:themeFillTint="3F"/>
      </w:tcPr>
    </w:tblStylePr>
    <w:tblStylePr w:type="band1Horz">
      <w:tblPr/>
      <w:tcPr>
        <w:tcBorders>
          <w:insideH w:val="nil"/>
          <w:insideV w:val="nil"/>
        </w:tcBorders>
        <w:shd w:val="clear" w:color="auto" w:fill="FFEFBF" w:themeFill="accent4" w:themeFillTint="3F"/>
      </w:tcPr>
    </w:tblStylePr>
    <w:tblStylePr w:type="band2Horz">
      <w:tblPr/>
      <w:tcPr>
        <w:tcBorders>
          <w:insideH w:val="nil"/>
          <w:insideV w:val="nil"/>
        </w:tcBorders>
      </w:tcPr>
    </w:tblStylePr>
  </w:style>
  <w:style w:type="table" w:styleId="159">
    <w:name w:val="Medium Shading 1 Accent 5"/>
    <w:basedOn w:val="88"/>
    <w:autoRedefine/>
    <w:semiHidden/>
    <w:unhideWhenUsed/>
    <w:qFormat/>
    <w:uiPriority w:val="63"/>
    <w:tblPr>
      <w:tbl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single" w:color="84B4DF"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nil"/>
          <w:insideV w:val="nil"/>
        </w:tcBorders>
        <w:shd w:val="clear" w:color="auto" w:fill="5B9BD5" w:themeFill="accent5"/>
      </w:tcPr>
    </w:tblStylePr>
    <w:tblStylePr w:type="lastRow">
      <w:pPr>
        <w:spacing w:before="0" w:after="0" w:line="240" w:lineRule="auto"/>
      </w:pPr>
      <w:rPr>
        <w:b/>
        <w:bCs/>
      </w:rPr>
      <w:tblPr/>
      <w:tcPr>
        <w:tcBorders>
          <w:top w:val="double" w:color="84B4DF" w:themeColor="accent5" w:themeTint="BF" w:sz="6" w:space="0"/>
          <w:left w:val="single" w:color="84B4DF" w:themeColor="accent5" w:themeTint="BF" w:sz="8" w:space="0"/>
          <w:bottom w:val="single" w:color="84B4DF" w:themeColor="accent5" w:themeTint="BF" w:sz="8" w:space="0"/>
          <w:right w:val="single" w:color="84B4DF"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0">
    <w:name w:val="Medium Shading 1 Accent 6"/>
    <w:basedOn w:val="88"/>
    <w:autoRedefine/>
    <w:semiHidden/>
    <w:unhideWhenUsed/>
    <w:qFormat/>
    <w:uiPriority w:val="63"/>
    <w:tblPr>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24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161">
    <w:name w:val="Medium Shading 2"/>
    <w:basedOn w:val="88"/>
    <w:autoRedefine/>
    <w:semiHidden/>
    <w:unhideWhenUsed/>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autoRedefine/>
    <w:semiHidden/>
    <w:unhideWhenUsed/>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472C4"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autoRedefine/>
    <w:semiHidden/>
    <w:unhideWhenUsed/>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ED7D31"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autoRedefine/>
    <w:semiHidden/>
    <w:unhideWhenUsed/>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A5A5A5"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autoRedefine/>
    <w:semiHidden/>
    <w:unhideWhenUsed/>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FC000"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autoRedefine/>
    <w:semiHidden/>
    <w:unhideWhenUsed/>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5B9BD5"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autoRedefine/>
    <w:semiHidden/>
    <w:unhideWhenUsed/>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70AD47"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autoRedefine/>
    <w:semiHidden/>
    <w:unhideWhenUsed/>
    <w:qFormat/>
    <w:uiPriority w:val="65"/>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169">
    <w:name w:val="Medium List 1 Accent 1"/>
    <w:basedOn w:val="88"/>
    <w:autoRedefine/>
    <w:semiHidden/>
    <w:unhideWhenUsed/>
    <w:qFormat/>
    <w:uiPriority w:val="65"/>
    <w:rPr>
      <w:color w:val="000000" w:themeColor="text1"/>
      <w14:textFill>
        <w14:solidFill>
          <w14:schemeClr w14:val="tx1"/>
        </w14:solidFill>
      </w14:textFill>
    </w:rPr>
    <w:tblPr>
      <w:tblBorders>
        <w:top w:val="single" w:color="4472C4" w:themeColor="accent1" w:sz="8" w:space="0"/>
        <w:bottom w:val="single" w:color="4472C4" w:themeColor="accent1" w:sz="8" w:space="0"/>
      </w:tblBorders>
    </w:tblPr>
    <w:tblStylePr w:type="firstRow">
      <w:rPr>
        <w:rFonts w:asciiTheme="majorHAnsi" w:hAnsiTheme="majorHAnsi" w:eastAsiaTheme="majorEastAsia" w:cstheme="majorBidi"/>
      </w:rPr>
      <w:tblPr/>
      <w:tcPr>
        <w:tcBorders>
          <w:top w:val="nil"/>
          <w:bottom w:val="single" w:color="4472C4" w:themeColor="accent1" w:sz="8" w:space="0"/>
        </w:tcBorders>
      </w:tcPr>
    </w:tblStylePr>
    <w:tblStylePr w:type="lastRow">
      <w:rPr>
        <w:b/>
        <w:bCs/>
        <w:color w:val="44546A" w:themeColor="text2"/>
        <w14:textFill>
          <w14:solidFill>
            <w14:schemeClr w14:val="tx2"/>
          </w14:solidFill>
        </w14:textFill>
      </w:rPr>
      <w:tblPr/>
      <w:tcPr>
        <w:tcBorders>
          <w:top w:val="single" w:color="4472C4" w:themeColor="accent1" w:sz="8" w:space="0"/>
          <w:bottom w:val="single" w:color="4472C4" w:themeColor="accent1" w:sz="8" w:space="0"/>
        </w:tcBorders>
      </w:tcPr>
    </w:tblStylePr>
    <w:tblStylePr w:type="firstCol">
      <w:rPr>
        <w:b/>
        <w:bCs/>
      </w:rPr>
    </w:tblStylePr>
    <w:tblStylePr w:type="lastCol">
      <w:rPr>
        <w:b/>
        <w:bCs/>
      </w:rPr>
      <w:tblPr/>
      <w:tcPr>
        <w:tcBorders>
          <w:top w:val="single" w:color="4472C4" w:themeColor="accent1" w:sz="8" w:space="0"/>
          <w:bottom w:val="single" w:color="4472C4" w:themeColor="accent1" w:sz="8" w:space="0"/>
        </w:tcBorders>
      </w:tcPr>
    </w:tblStylePr>
    <w:tblStylePr w:type="band1Vert">
      <w:tblPr/>
      <w:tcPr>
        <w:shd w:val="clear" w:color="auto" w:fill="D0DCF0" w:themeFill="accent1" w:themeFillTint="3F"/>
      </w:tcPr>
    </w:tblStylePr>
    <w:tblStylePr w:type="band1Horz">
      <w:tblPr/>
      <w:tcPr>
        <w:shd w:val="clear" w:color="auto" w:fill="D0DCF0" w:themeFill="accent1" w:themeFillTint="3F"/>
      </w:tcPr>
    </w:tblStylePr>
  </w:style>
  <w:style w:type="table" w:styleId="170">
    <w:name w:val="Medium List 1 Accent 2"/>
    <w:basedOn w:val="88"/>
    <w:autoRedefine/>
    <w:semiHidden/>
    <w:unhideWhenUsed/>
    <w:qFormat/>
    <w:uiPriority w:val="65"/>
    <w:rPr>
      <w:color w:val="000000" w:themeColor="text1"/>
      <w14:textFill>
        <w14:solidFill>
          <w14:schemeClr w14:val="tx1"/>
        </w14:solidFill>
      </w14:textFill>
    </w:rPr>
    <w:tblPr>
      <w:tblBorders>
        <w:top w:val="single" w:color="ED7D31" w:themeColor="accent2" w:sz="8" w:space="0"/>
        <w:bottom w:val="single" w:color="ED7D31" w:themeColor="accent2" w:sz="8" w:space="0"/>
      </w:tblBorders>
    </w:tblPr>
    <w:tblStylePr w:type="firstRow">
      <w:rPr>
        <w:rFonts w:asciiTheme="majorHAnsi" w:hAnsiTheme="majorHAnsi" w:eastAsiaTheme="majorEastAsia" w:cstheme="majorBidi"/>
      </w:rPr>
      <w:tblPr/>
      <w:tcPr>
        <w:tcBorders>
          <w:top w:val="nil"/>
          <w:bottom w:val="single" w:color="ED7D31" w:themeColor="accent2" w:sz="8" w:space="0"/>
        </w:tcBorders>
      </w:tcPr>
    </w:tblStylePr>
    <w:tblStylePr w:type="lastRow">
      <w:rPr>
        <w:b/>
        <w:bCs/>
        <w:color w:val="44546A" w:themeColor="text2"/>
        <w14:textFill>
          <w14:solidFill>
            <w14:schemeClr w14:val="tx2"/>
          </w14:solidFill>
        </w14:textFill>
      </w:rPr>
      <w:tblPr/>
      <w:tcPr>
        <w:tcBorders>
          <w:top w:val="single" w:color="ED7D31" w:themeColor="accent2" w:sz="8" w:space="0"/>
          <w:bottom w:val="single" w:color="ED7D31" w:themeColor="accent2" w:sz="8" w:space="0"/>
        </w:tcBorders>
      </w:tcPr>
    </w:tblStylePr>
    <w:tblStylePr w:type="firstCol">
      <w:rPr>
        <w:b/>
        <w:bCs/>
      </w:rPr>
    </w:tblStylePr>
    <w:tblStylePr w:type="lastCol">
      <w:rPr>
        <w:b/>
        <w:bCs/>
      </w:rPr>
      <w:tblPr/>
      <w:tcPr>
        <w:tcBorders>
          <w:top w:val="single" w:color="ED7D31" w:themeColor="accent2" w:sz="8" w:space="0"/>
          <w:bottom w:val="single" w:color="ED7D31" w:themeColor="accent2" w:sz="8" w:space="0"/>
        </w:tcBorders>
      </w:tcPr>
    </w:tblStylePr>
    <w:tblStylePr w:type="band1Vert">
      <w:tblPr/>
      <w:tcPr>
        <w:shd w:val="clear" w:color="auto" w:fill="FADECC" w:themeFill="accent2" w:themeFillTint="3F"/>
      </w:tcPr>
    </w:tblStylePr>
    <w:tblStylePr w:type="band1Horz">
      <w:tblPr/>
      <w:tcPr>
        <w:shd w:val="clear" w:color="auto" w:fill="FADECC" w:themeFill="accent2" w:themeFillTint="3F"/>
      </w:tcPr>
    </w:tblStylePr>
  </w:style>
  <w:style w:type="table" w:styleId="171">
    <w:name w:val="Medium List 1 Accent 3"/>
    <w:basedOn w:val="88"/>
    <w:autoRedefine/>
    <w:semiHidden/>
    <w:unhideWhenUsed/>
    <w:qFormat/>
    <w:uiPriority w:val="65"/>
    <w:rPr>
      <w:color w:val="000000" w:themeColor="text1"/>
      <w14:textFill>
        <w14:solidFill>
          <w14:schemeClr w14:val="tx1"/>
        </w14:solidFill>
      </w14:textFill>
    </w:rPr>
    <w:tblPr>
      <w:tblBorders>
        <w:top w:val="single" w:color="A5A5A5" w:themeColor="accent3" w:sz="8" w:space="0"/>
        <w:bottom w:val="single" w:color="A5A5A5" w:themeColor="accent3" w:sz="8" w:space="0"/>
      </w:tblBorders>
    </w:tblPr>
    <w:tblStylePr w:type="firstRow">
      <w:rPr>
        <w:rFonts w:asciiTheme="majorHAnsi" w:hAnsiTheme="majorHAnsi" w:eastAsiaTheme="majorEastAsia" w:cstheme="majorBidi"/>
      </w:rPr>
      <w:tblPr/>
      <w:tcPr>
        <w:tcBorders>
          <w:top w:val="nil"/>
          <w:bottom w:val="single" w:color="A5A5A5" w:themeColor="accent3" w:sz="8" w:space="0"/>
        </w:tcBorders>
      </w:tcPr>
    </w:tblStylePr>
    <w:tblStylePr w:type="lastRow">
      <w:rPr>
        <w:b/>
        <w:bCs/>
        <w:color w:val="44546A" w:themeColor="text2"/>
        <w14:textFill>
          <w14:solidFill>
            <w14:schemeClr w14:val="tx2"/>
          </w14:solidFill>
        </w14:textFill>
      </w:rPr>
      <w:tblPr/>
      <w:tcPr>
        <w:tcBorders>
          <w:top w:val="single" w:color="A5A5A5" w:themeColor="accent3" w:sz="8" w:space="0"/>
          <w:bottom w:val="single" w:color="A5A5A5" w:themeColor="accent3" w:sz="8" w:space="0"/>
        </w:tcBorders>
      </w:tcPr>
    </w:tblStylePr>
    <w:tblStylePr w:type="firstCol">
      <w:rPr>
        <w:b/>
        <w:bCs/>
      </w:rPr>
    </w:tblStylePr>
    <w:tblStylePr w:type="lastCol">
      <w:rPr>
        <w:b/>
        <w:bCs/>
      </w:rPr>
      <w:tblPr/>
      <w:tcPr>
        <w:tcBorders>
          <w:top w:val="single" w:color="A5A5A5" w:themeColor="accent3" w:sz="8" w:space="0"/>
          <w:bottom w:val="single" w:color="A5A5A5" w:themeColor="accent3" w:sz="8" w:space="0"/>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72">
    <w:name w:val="Medium List 1 Accent 4"/>
    <w:basedOn w:val="88"/>
    <w:autoRedefine/>
    <w:semiHidden/>
    <w:unhideWhenUsed/>
    <w:qFormat/>
    <w:uiPriority w:val="65"/>
    <w:rPr>
      <w:color w:val="000000" w:themeColor="text1"/>
      <w14:textFill>
        <w14:solidFill>
          <w14:schemeClr w14:val="tx1"/>
        </w14:solidFill>
      </w14:textFill>
    </w:rPr>
    <w:tblPr>
      <w:tblBorders>
        <w:top w:val="single" w:color="FFC000" w:themeColor="accent4" w:sz="8" w:space="0"/>
        <w:bottom w:val="single" w:color="FFC000" w:themeColor="accent4" w:sz="8" w:space="0"/>
      </w:tblBorders>
    </w:tblPr>
    <w:tblStylePr w:type="firstRow">
      <w:rPr>
        <w:rFonts w:asciiTheme="majorHAnsi" w:hAnsiTheme="majorHAnsi" w:eastAsiaTheme="majorEastAsia" w:cstheme="majorBidi"/>
      </w:rPr>
      <w:tblPr/>
      <w:tcPr>
        <w:tcBorders>
          <w:top w:val="nil"/>
          <w:bottom w:val="single" w:color="FFC000" w:themeColor="accent4" w:sz="8" w:space="0"/>
        </w:tcBorders>
      </w:tcPr>
    </w:tblStylePr>
    <w:tblStylePr w:type="lastRow">
      <w:rPr>
        <w:b/>
        <w:bCs/>
        <w:color w:val="44546A" w:themeColor="text2"/>
        <w14:textFill>
          <w14:solidFill>
            <w14:schemeClr w14:val="tx2"/>
          </w14:solidFill>
        </w14:textFill>
      </w:rPr>
      <w:tblPr/>
      <w:tcPr>
        <w:tcBorders>
          <w:top w:val="single" w:color="FFC000" w:themeColor="accent4" w:sz="8" w:space="0"/>
          <w:bottom w:val="single" w:color="FFC000" w:themeColor="accent4" w:sz="8" w:space="0"/>
        </w:tcBorders>
      </w:tcPr>
    </w:tblStylePr>
    <w:tblStylePr w:type="firstCol">
      <w:rPr>
        <w:b/>
        <w:bCs/>
      </w:rPr>
    </w:tblStylePr>
    <w:tblStylePr w:type="lastCol">
      <w:rPr>
        <w:b/>
        <w:bCs/>
      </w:rPr>
      <w:tblPr/>
      <w:tcPr>
        <w:tcBorders>
          <w:top w:val="single" w:color="FFC000" w:themeColor="accent4" w:sz="8" w:space="0"/>
          <w:bottom w:val="single" w:color="FFC000" w:themeColor="accent4" w:sz="8" w:space="0"/>
        </w:tcBorders>
      </w:tcPr>
    </w:tblStylePr>
    <w:tblStylePr w:type="band1Vert">
      <w:tblPr/>
      <w:tcPr>
        <w:shd w:val="clear" w:color="auto" w:fill="FFEFBF" w:themeFill="accent4" w:themeFillTint="3F"/>
      </w:tcPr>
    </w:tblStylePr>
    <w:tblStylePr w:type="band1Horz">
      <w:tblPr/>
      <w:tcPr>
        <w:shd w:val="clear" w:color="auto" w:fill="FFEFBF" w:themeFill="accent4" w:themeFillTint="3F"/>
      </w:tcPr>
    </w:tblStylePr>
  </w:style>
  <w:style w:type="table" w:styleId="173">
    <w:name w:val="Medium List 1 Accent 5"/>
    <w:basedOn w:val="88"/>
    <w:autoRedefine/>
    <w:semiHidden/>
    <w:unhideWhenUsed/>
    <w:qFormat/>
    <w:uiPriority w:val="65"/>
    <w:rPr>
      <w:color w:val="000000" w:themeColor="text1"/>
      <w14:textFill>
        <w14:solidFill>
          <w14:schemeClr w14:val="tx1"/>
        </w14:solidFill>
      </w14:textFill>
    </w:rPr>
    <w:tblPr>
      <w:tblBorders>
        <w:top w:val="single" w:color="5B9BD5" w:themeColor="accent5" w:sz="8" w:space="0"/>
        <w:bottom w:val="single" w:color="5B9BD5" w:themeColor="accent5" w:sz="8" w:space="0"/>
      </w:tblBorders>
    </w:tblPr>
    <w:tblStylePr w:type="firstRow">
      <w:rPr>
        <w:rFonts w:asciiTheme="majorHAnsi" w:hAnsiTheme="majorHAnsi" w:eastAsiaTheme="majorEastAsia" w:cstheme="majorBidi"/>
      </w:rPr>
      <w:tblPr/>
      <w:tcPr>
        <w:tcBorders>
          <w:top w:val="nil"/>
          <w:bottom w:val="single" w:color="5B9BD5" w:themeColor="accent5" w:sz="8" w:space="0"/>
        </w:tcBorders>
      </w:tcPr>
    </w:tblStylePr>
    <w:tblStylePr w:type="lastRow">
      <w:rPr>
        <w:b/>
        <w:bCs/>
        <w:color w:val="44546A" w:themeColor="text2"/>
        <w14:textFill>
          <w14:solidFill>
            <w14:schemeClr w14:val="tx2"/>
          </w14:solidFill>
        </w14:textFill>
      </w:rPr>
      <w:tblPr/>
      <w:tcPr>
        <w:tcBorders>
          <w:top w:val="single" w:color="5B9BD5" w:themeColor="accent5" w:sz="8" w:space="0"/>
          <w:bottom w:val="single" w:color="5B9BD5" w:themeColor="accent5" w:sz="8" w:space="0"/>
        </w:tcBorders>
      </w:tcPr>
    </w:tblStylePr>
    <w:tblStylePr w:type="firstCol">
      <w:rPr>
        <w:b/>
        <w:bCs/>
      </w:rPr>
    </w:tblStylePr>
    <w:tblStylePr w:type="lastCol">
      <w:rPr>
        <w:b/>
        <w:bCs/>
      </w:rPr>
      <w:tblPr/>
      <w:tcPr>
        <w:tcBorders>
          <w:top w:val="single" w:color="5B9BD5" w:themeColor="accent5" w:sz="8" w:space="0"/>
          <w:bottom w:val="single" w:color="5B9BD5" w:themeColor="accent5" w:sz="8" w:space="0"/>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74">
    <w:name w:val="Medium List 1 Accent 6"/>
    <w:basedOn w:val="88"/>
    <w:autoRedefine/>
    <w:semiHidden/>
    <w:unhideWhenUsed/>
    <w:qFormat/>
    <w:uiPriority w:val="65"/>
    <w:rPr>
      <w:color w:val="000000" w:themeColor="text1"/>
      <w14:textFill>
        <w14:solidFill>
          <w14:schemeClr w14:val="tx1"/>
        </w14:solidFill>
      </w14:textFill>
    </w:rPr>
    <w:tblPr>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14:textFill>
          <w14:solidFill>
            <w14:schemeClr w14:val="tx2"/>
          </w14:solidFill>
        </w14:textFill>
      </w:rPr>
      <w:tblPr/>
      <w:tcPr>
        <w:tcBorders>
          <w:top w:val="single" w:color="70AD47" w:themeColor="accent6" w:sz="8" w:space="0"/>
          <w:bottom w:val="single" w:color="70AD47" w:themeColor="accent6" w:sz="8" w:space="0"/>
        </w:tcBorders>
      </w:tcPr>
    </w:tblStylePr>
    <w:tblStylePr w:type="firstCol">
      <w:rPr>
        <w:b/>
        <w:bCs/>
      </w:r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175">
    <w:name w:val="Medium List 2"/>
    <w:basedOn w:val="88"/>
    <w:autoRedefine/>
    <w:semiHidden/>
    <w:unhideWhenUsed/>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76">
    <w:name w:val="Medium List 2 Accent 1"/>
    <w:basedOn w:val="88"/>
    <w:autoRedefine/>
    <w:semiHidden/>
    <w:unhideWhenUsed/>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rPr>
        <w:sz w:val="24"/>
        <w:szCs w:val="24"/>
      </w:rPr>
      <w:tblPr/>
      <w:tcPr>
        <w:tcBorders>
          <w:top w:val="nil"/>
          <w:left w:val="nil"/>
          <w:bottom w:val="single" w:color="4472C4" w:themeColor="accent1" w:sz="24" w:space="0"/>
          <w:right w:val="nil"/>
          <w:insideH w:val="nil"/>
          <w:insideV w:val="nil"/>
        </w:tcBorders>
        <w:shd w:val="clear" w:color="auto" w:fill="FFFFFF" w:themeFill="background1"/>
      </w:tcPr>
    </w:tblStylePr>
    <w:tblStylePr w:type="lastRow">
      <w:tblPr/>
      <w:tcPr>
        <w:tcBorders>
          <w:top w:val="single" w:color="4472C4"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472C4" w:themeColor="accent1" w:sz="8" w:space="0"/>
          <w:insideH w:val="nil"/>
          <w:insideV w:val="nil"/>
        </w:tcBorders>
        <w:shd w:val="clear" w:color="auto" w:fill="FFFFFF" w:themeFill="background1"/>
      </w:tcPr>
    </w:tblStylePr>
    <w:tblStylePr w:type="lastCol">
      <w:tblPr/>
      <w:tcPr>
        <w:tcBorders>
          <w:top w:val="nil"/>
          <w:left w:val="single" w:color="4472C4"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CF0" w:themeFill="accent1" w:themeFillTint="3F"/>
      </w:tcPr>
    </w:tblStylePr>
    <w:tblStylePr w:type="band1Horz">
      <w:tblPr/>
      <w:tcPr>
        <w:tcBorders>
          <w:top w:val="nil"/>
          <w:bottom w:val="nil"/>
          <w:insideH w:val="nil"/>
          <w:insideV w:val="nil"/>
        </w:tcBorders>
        <w:shd w:val="clear" w:color="auto" w:fill="D0DC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177">
    <w:name w:val="Medium List 2 Accent 2"/>
    <w:basedOn w:val="88"/>
    <w:autoRedefine/>
    <w:semiHidden/>
    <w:unhideWhenUsed/>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ED7D31" w:themeColor="accent2" w:sz="8" w:space="0"/>
        <w:left w:val="single" w:color="ED7D31" w:themeColor="accent2" w:sz="8" w:space="0"/>
        <w:bottom w:val="single" w:color="ED7D31" w:themeColor="accent2" w:sz="8" w:space="0"/>
        <w:right w:val="single" w:color="ED7D31" w:themeColor="accent2" w:sz="8" w:space="0"/>
      </w:tblBorders>
    </w:tblPr>
    <w:tblStylePr w:type="firstRow">
      <w:rPr>
        <w:sz w:val="24"/>
        <w:szCs w:val="24"/>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tblPr/>
      <w:tcPr>
        <w:tcBorders>
          <w:top w:val="single" w:color="ED7D31" w:themeColor="accent2" w:sz="8" w:space="0"/>
          <w:left w:val="nil"/>
          <w:right w:val="nil"/>
          <w:insideH w:val="nil"/>
          <w:insideV w:val="nil"/>
        </w:tcBorders>
        <w:shd w:val="clear" w:color="auto" w:fill="FFFFFF" w:themeFill="background1"/>
      </w:tcPr>
    </w:tblStylePr>
    <w:tblStylePr w:type="firstCol">
      <w:tblPr/>
      <w:tcPr>
        <w:tcBorders>
          <w:top w:val="nil"/>
          <w:left w:val="nil"/>
          <w:bottom w:val="nil"/>
          <w:right w:val="single" w:color="ED7D31" w:themeColor="accent2" w:sz="8" w:space="0"/>
          <w:insideH w:val="nil"/>
          <w:insideV w:val="nil"/>
        </w:tcBorders>
        <w:shd w:val="clear" w:color="auto" w:fill="FFFFFF" w:themeFill="background1"/>
      </w:tcPr>
    </w:tblStylePr>
    <w:tblStylePr w:type="lastCol">
      <w:tblPr/>
      <w:tcPr>
        <w:tcBorders>
          <w:top w:val="nil"/>
          <w:left w:val="single" w:color="ED7D31"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C" w:themeFill="accent2" w:themeFillTint="3F"/>
      </w:tcPr>
    </w:tblStylePr>
    <w:tblStylePr w:type="band1Horz">
      <w:tblPr/>
      <w:tcPr>
        <w:tcBorders>
          <w:top w:val="nil"/>
          <w:bottom w:val="nil"/>
          <w:insideH w:val="nil"/>
          <w:insideV w:val="nil"/>
        </w:tcBorders>
        <w:shd w:val="clear" w:color="auto" w:fill="FADE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178">
    <w:name w:val="Medium List 2 Accent 3"/>
    <w:basedOn w:val="88"/>
    <w:autoRedefine/>
    <w:semiHidden/>
    <w:unhideWhenUsed/>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A5A5A5" w:themeColor="accent3" w:sz="8" w:space="0"/>
        <w:left w:val="single" w:color="A5A5A5" w:themeColor="accent3" w:sz="8" w:space="0"/>
        <w:bottom w:val="single" w:color="A5A5A5" w:themeColor="accent3" w:sz="8" w:space="0"/>
        <w:right w:val="single" w:color="A5A5A5" w:themeColor="accent3" w:sz="8" w:space="0"/>
      </w:tblBorders>
    </w:tblPr>
    <w:tblStylePr w:type="firstRow">
      <w:rPr>
        <w:sz w:val="24"/>
        <w:szCs w:val="24"/>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tblPr/>
      <w:tcPr>
        <w:tcBorders>
          <w:top w:val="single" w:color="A5A5A5"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A5A5A5" w:themeColor="accent3" w:sz="8" w:space="0"/>
          <w:insideH w:val="nil"/>
          <w:insideV w:val="nil"/>
        </w:tcBorders>
        <w:shd w:val="clear" w:color="auto" w:fill="FFFFFF" w:themeFill="background1"/>
      </w:tcPr>
    </w:tblStylePr>
    <w:tblStylePr w:type="lastCol">
      <w:tblPr/>
      <w:tcPr>
        <w:tcBorders>
          <w:top w:val="nil"/>
          <w:left w:val="single" w:color="A5A5A5"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179">
    <w:name w:val="Medium List 2 Accent 4"/>
    <w:basedOn w:val="88"/>
    <w:autoRedefine/>
    <w:semiHidden/>
    <w:unhideWhenUsed/>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FFC000" w:themeColor="accent4" w:sz="8" w:space="0"/>
        <w:left w:val="single" w:color="FFC000" w:themeColor="accent4" w:sz="8" w:space="0"/>
        <w:bottom w:val="single" w:color="FFC000" w:themeColor="accent4" w:sz="8" w:space="0"/>
        <w:right w:val="single" w:color="FFC000" w:themeColor="accent4" w:sz="8" w:space="0"/>
      </w:tblBorders>
    </w:tblPr>
    <w:tblStylePr w:type="firstRow">
      <w:rPr>
        <w:sz w:val="24"/>
        <w:szCs w:val="24"/>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tblPr/>
      <w:tcPr>
        <w:tcBorders>
          <w:top w:val="single" w:color="FFC000"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C000" w:themeColor="accent4" w:sz="8" w:space="0"/>
          <w:insideH w:val="nil"/>
          <w:insideV w:val="nil"/>
        </w:tcBorders>
        <w:shd w:val="clear" w:color="auto" w:fill="FFFFFF" w:themeFill="background1"/>
      </w:tcPr>
    </w:tblStylePr>
    <w:tblStylePr w:type="lastCol">
      <w:tblPr/>
      <w:tcPr>
        <w:tcBorders>
          <w:top w:val="nil"/>
          <w:left w:val="single" w:color="FFC000"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BF" w:themeFill="accent4" w:themeFillTint="3F"/>
      </w:tcPr>
    </w:tblStylePr>
    <w:tblStylePr w:type="band1Horz">
      <w:tblPr/>
      <w:tcPr>
        <w:tcBorders>
          <w:top w:val="nil"/>
          <w:bottom w:val="nil"/>
          <w:insideH w:val="nil"/>
          <w:insideV w:val="nil"/>
        </w:tcBorders>
        <w:shd w:val="clear" w:color="auto" w:fill="FFEFB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180">
    <w:name w:val="Medium List 2 Accent 5"/>
    <w:basedOn w:val="88"/>
    <w:autoRedefine/>
    <w:semiHidden/>
    <w:unhideWhenUsed/>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5B9BD5" w:themeColor="accent5" w:sz="8" w:space="0"/>
        <w:left w:val="single" w:color="5B9BD5" w:themeColor="accent5" w:sz="8" w:space="0"/>
        <w:bottom w:val="single" w:color="5B9BD5" w:themeColor="accent5" w:sz="8" w:space="0"/>
        <w:right w:val="single" w:color="5B9BD5" w:themeColor="accent5" w:sz="8" w:space="0"/>
      </w:tblBorders>
    </w:tblPr>
    <w:tblStylePr w:type="firstRow">
      <w:rPr>
        <w:sz w:val="24"/>
        <w:szCs w:val="24"/>
      </w:rPr>
      <w:tblPr/>
      <w:tcPr>
        <w:tcBorders>
          <w:top w:val="nil"/>
          <w:left w:val="nil"/>
          <w:bottom w:val="single" w:color="5B9BD5" w:themeColor="accent5" w:sz="24" w:space="0"/>
          <w:right w:val="nil"/>
          <w:insideH w:val="nil"/>
          <w:insideV w:val="nil"/>
        </w:tcBorders>
        <w:shd w:val="clear" w:color="auto" w:fill="FFFFFF" w:themeFill="background1"/>
      </w:tcPr>
    </w:tblStylePr>
    <w:tblStylePr w:type="lastRow">
      <w:tblPr/>
      <w:tcPr>
        <w:tcBorders>
          <w:top w:val="single" w:color="5B9BD5"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B9BD5" w:themeColor="accent5" w:sz="8" w:space="0"/>
          <w:insideH w:val="nil"/>
          <w:insideV w:val="nil"/>
        </w:tcBorders>
        <w:shd w:val="clear" w:color="auto" w:fill="FFFFFF" w:themeFill="background1"/>
      </w:tcPr>
    </w:tblStylePr>
    <w:tblStylePr w:type="lastCol">
      <w:tblPr/>
      <w:tcPr>
        <w:tcBorders>
          <w:top w:val="nil"/>
          <w:left w:val="single" w:color="5B9BD5"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181">
    <w:name w:val="Medium List 2 Accent 6"/>
    <w:basedOn w:val="88"/>
    <w:autoRedefine/>
    <w:semiHidden/>
    <w:unhideWhenUsed/>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70AD47" w:themeColor="accent6" w:sz="8" w:space="0"/>
        <w:left w:val="single" w:color="70AD47" w:themeColor="accent6" w:sz="8" w:space="0"/>
        <w:bottom w:val="single" w:color="70AD47" w:themeColor="accent6" w:sz="8" w:space="0"/>
        <w:right w:val="single" w:color="70AD47" w:themeColor="accent6" w:sz="8" w:space="0"/>
      </w:tblBorders>
    </w:tblPr>
    <w:tblStylePr w:type="firstRow">
      <w:rPr>
        <w:sz w:val="24"/>
        <w:szCs w:val="24"/>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tblPr/>
      <w:tcPr>
        <w:tcBorders>
          <w:top w:val="single" w:color="70AD47"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0AD47" w:themeColor="accent6" w:sz="8" w:space="0"/>
          <w:insideH w:val="nil"/>
          <w:insideV w:val="nil"/>
        </w:tcBorders>
        <w:shd w:val="clear" w:color="auto" w:fill="FFFFFF" w:themeFill="background1"/>
      </w:tcPr>
    </w:tblStylePr>
    <w:tblStylePr w:type="lastCol">
      <w:tblPr/>
      <w:tcPr>
        <w:tcBorders>
          <w:top w:val="nil"/>
          <w:left w:val="single" w:color="70AD47"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2">
    <w:name w:val="Medium Grid 1"/>
    <w:basedOn w:val="88"/>
    <w:autoRedefine/>
    <w:semiHidden/>
    <w:unhideWhenUsed/>
    <w:qFormat/>
    <w:uiPriority w:val="67"/>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83">
    <w:name w:val="Medium Grid 1 Accent 1"/>
    <w:basedOn w:val="88"/>
    <w:autoRedefine/>
    <w:semiHidden/>
    <w:unhideWhenUsed/>
    <w:qFormat/>
    <w:uiPriority w:val="67"/>
    <w:tblPr>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insideV w:val="single" w:color="7295D2" w:themeColor="accent1" w:themeTint="BF" w:sz="8" w:space="0"/>
      </w:tblBorders>
    </w:tblPr>
    <w:tcPr>
      <w:shd w:val="clear" w:color="auto" w:fill="D0DCF0" w:themeFill="accent1" w:themeFillTint="3F"/>
    </w:tcPr>
    <w:tblStylePr w:type="firstRow">
      <w:rPr>
        <w:b/>
        <w:bCs/>
      </w:rPr>
    </w:tblStylePr>
    <w:tblStylePr w:type="lastRow">
      <w:rPr>
        <w:b/>
        <w:bCs/>
      </w:rPr>
      <w:tblPr/>
      <w:tcPr>
        <w:tcBorders>
          <w:top w:val="single" w:color="7295D2" w:themeColor="accent1" w:themeTint="BF" w:sz="18" w:space="0"/>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84">
    <w:name w:val="Medium Grid 1 Accent 2"/>
    <w:basedOn w:val="88"/>
    <w:autoRedefine/>
    <w:semiHidden/>
    <w:unhideWhenUsed/>
    <w:qFormat/>
    <w:uiPriority w:val="67"/>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insideV w:val="single" w:color="F19D64" w:themeColor="accent2" w:themeTint="BF" w:sz="8" w:space="0"/>
      </w:tblBorders>
    </w:tblPr>
    <w:tcPr>
      <w:shd w:val="clear" w:color="auto" w:fill="FADECC" w:themeFill="accent2" w:themeFillTint="3F"/>
    </w:tcPr>
    <w:tblStylePr w:type="firstRow">
      <w:rPr>
        <w:b/>
        <w:bCs/>
      </w:rPr>
    </w:tblStylePr>
    <w:tblStylePr w:type="lastRow">
      <w:rPr>
        <w:b/>
        <w:bCs/>
      </w:rPr>
      <w:tblPr/>
      <w:tcPr>
        <w:tcBorders>
          <w:top w:val="single" w:color="F19D64" w:themeColor="accent2" w:themeTint="BF" w:sz="18" w:space="0"/>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85">
    <w:name w:val="Medium Grid 1 Accent 3"/>
    <w:basedOn w:val="88"/>
    <w:autoRedefine/>
    <w:semiHidden/>
    <w:unhideWhenUsed/>
    <w:qFormat/>
    <w:uiPriority w:val="67"/>
    <w:tblPr>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insideV w:val="single" w:color="BBBBBB" w:themeColor="accent3" w:themeTint="BF" w:sz="8" w:space="0"/>
      </w:tblBorders>
    </w:tblPr>
    <w:tcPr>
      <w:shd w:val="clear" w:color="auto" w:fill="E8E8E8" w:themeFill="accent3" w:themeFillTint="3F"/>
    </w:tcPr>
    <w:tblStylePr w:type="firstRow">
      <w:rPr>
        <w:b/>
        <w:bCs/>
      </w:rPr>
    </w:tblStylePr>
    <w:tblStylePr w:type="lastRow">
      <w:rPr>
        <w:b/>
        <w:bCs/>
      </w:rPr>
      <w:tblPr/>
      <w:tcPr>
        <w:tcBorders>
          <w:top w:val="single" w:color="BBBBBB" w:themeColor="accent3" w:themeTint="BF" w:sz="18" w:space="0"/>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86">
    <w:name w:val="Medium Grid 1 Accent 4"/>
    <w:basedOn w:val="88"/>
    <w:autoRedefine/>
    <w:semiHidden/>
    <w:unhideWhenUsed/>
    <w:qFormat/>
    <w:uiPriority w:val="67"/>
    <w:tblPr>
      <w:tbl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single" w:color="FFCF3F" w:themeColor="accent4" w:themeTint="BF" w:sz="8" w:space="0"/>
        <w:insideV w:val="single" w:color="FFCF3F" w:themeColor="accent4" w:themeTint="BF" w:sz="8" w:space="0"/>
      </w:tblBorders>
    </w:tblPr>
    <w:tcPr>
      <w:shd w:val="clear" w:color="auto" w:fill="FFEFBF" w:themeFill="accent4" w:themeFillTint="3F"/>
    </w:tcPr>
    <w:tblStylePr w:type="firstRow">
      <w:rPr>
        <w:b/>
        <w:bCs/>
      </w:rPr>
    </w:tblStylePr>
    <w:tblStylePr w:type="lastRow">
      <w:rPr>
        <w:b/>
        <w:bCs/>
      </w:rPr>
      <w:tblPr/>
      <w:tcPr>
        <w:tcBorders>
          <w:top w:val="single" w:color="FFCF3F" w:themeColor="accent4" w:themeTint="BF" w:sz="18" w:space="0"/>
        </w:tcBorders>
      </w:tcPr>
    </w:tblStylePr>
    <w:tblStylePr w:type="firstCol">
      <w:rPr>
        <w:b/>
        <w:bCs/>
      </w:rPr>
    </w:tblStylePr>
    <w:tblStylePr w:type="lastCol">
      <w:rPr>
        <w:b/>
        <w:bCs/>
      </w:rPr>
    </w:tblStylePr>
    <w:tblStylePr w:type="band1Vert">
      <w:tblPr/>
      <w:tcPr>
        <w:shd w:val="clear" w:color="auto" w:fill="FFDF7F" w:themeFill="accent4" w:themeFillTint="7F"/>
      </w:tcPr>
    </w:tblStylePr>
    <w:tblStylePr w:type="band1Horz">
      <w:tblPr/>
      <w:tcPr>
        <w:shd w:val="clear" w:color="auto" w:fill="FFDF7F" w:themeFill="accent4" w:themeFillTint="7F"/>
      </w:tcPr>
    </w:tblStylePr>
  </w:style>
  <w:style w:type="table" w:styleId="187">
    <w:name w:val="Medium Grid 1 Accent 5"/>
    <w:basedOn w:val="88"/>
    <w:autoRedefine/>
    <w:semiHidden/>
    <w:unhideWhenUsed/>
    <w:qFormat/>
    <w:uiPriority w:val="67"/>
    <w:tblPr>
      <w:tbl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single" w:color="84B4DF" w:themeColor="accent5" w:themeTint="BF" w:sz="8" w:space="0"/>
        <w:insideV w:val="single" w:color="84B4DF" w:themeColor="accent5" w:themeTint="BF" w:sz="8" w:space="0"/>
      </w:tblBorders>
    </w:tblPr>
    <w:tcPr>
      <w:shd w:val="clear" w:color="auto" w:fill="D6E6F4" w:themeFill="accent5" w:themeFillTint="3F"/>
    </w:tcPr>
    <w:tblStylePr w:type="firstRow">
      <w:rPr>
        <w:b/>
        <w:bCs/>
      </w:rPr>
    </w:tblStylePr>
    <w:tblStylePr w:type="lastRow">
      <w:rPr>
        <w:b/>
        <w:bCs/>
      </w:rPr>
      <w:tblPr/>
      <w:tcPr>
        <w:tcBorders>
          <w:top w:val="single" w:color="84B4DF" w:themeColor="accent5" w:themeTint="BF" w:sz="18" w:space="0"/>
        </w:tcBorders>
      </w:tcPr>
    </w:tblStylePr>
    <w:tblStylePr w:type="firstCol">
      <w:rPr>
        <w:b/>
        <w:bCs/>
      </w:rPr>
    </w:tblStylePr>
    <w:tblStylePr w:type="lastCol">
      <w:rPr>
        <w:b/>
        <w:bCs/>
      </w:rPr>
    </w:tblStylePr>
    <w:tblStylePr w:type="band1Vert">
      <w:tblPr/>
      <w:tcPr>
        <w:shd w:val="clear" w:color="auto" w:fill="ADCDEA" w:themeFill="accent5" w:themeFillTint="7F"/>
      </w:tcPr>
    </w:tblStylePr>
    <w:tblStylePr w:type="band1Horz">
      <w:tblPr/>
      <w:tcPr>
        <w:shd w:val="clear" w:color="auto" w:fill="ADCDEA" w:themeFill="accent5" w:themeFillTint="7F"/>
      </w:tcPr>
    </w:tblStylePr>
  </w:style>
  <w:style w:type="table" w:styleId="188">
    <w:name w:val="Medium Grid 1 Accent 6"/>
    <w:basedOn w:val="88"/>
    <w:autoRedefine/>
    <w:semiHidden/>
    <w:unhideWhenUsed/>
    <w:qFormat/>
    <w:uiPriority w:val="67"/>
    <w:tblPr>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insideV w:val="single" w:color="93C571" w:themeColor="accent6" w:themeTint="BF" w:sz="8" w:space="0"/>
      </w:tblBorders>
    </w:tblPr>
    <w:tcPr>
      <w:shd w:val="clear" w:color="auto" w:fill="DBEBD0" w:themeFill="accent6" w:themeFillTint="3F"/>
    </w:tcPr>
    <w:tblStylePr w:type="firstRow">
      <w:rPr>
        <w:b/>
        <w:bCs/>
      </w:rPr>
    </w:tblStylePr>
    <w:tblStylePr w:type="lastRow">
      <w:rPr>
        <w:b/>
        <w:bCs/>
      </w:rPr>
      <w:tblPr/>
      <w:tcPr>
        <w:tcBorders>
          <w:top w:val="single" w:color="93C571" w:themeColor="accent6" w:themeTint="BF" w:sz="18" w:space="0"/>
        </w:tcBorders>
      </w:tcPr>
    </w:tblStylePr>
    <w:tblStylePr w:type="firstCol">
      <w:rPr>
        <w:b/>
        <w:bCs/>
      </w:rPr>
    </w:tblStylePr>
    <w:tblStylePr w:type="lastCol">
      <w:rPr>
        <w:b/>
        <w:bCs/>
      </w:rPr>
    </w:tblStylePr>
    <w:tblStylePr w:type="band1Vert">
      <w:tblPr/>
      <w:tcPr>
        <w:shd w:val="clear" w:color="auto" w:fill="B7D8A1" w:themeFill="accent6" w:themeFillTint="7F"/>
      </w:tcPr>
    </w:tblStylePr>
    <w:tblStylePr w:type="band1Horz">
      <w:tblPr/>
      <w:tcPr>
        <w:shd w:val="clear" w:color="auto" w:fill="B7D8A1" w:themeFill="accent6" w:themeFillTint="7F"/>
      </w:tcPr>
    </w:tblStylePr>
  </w:style>
  <w:style w:type="table" w:styleId="189">
    <w:name w:val="Medium Grid 2"/>
    <w:basedOn w:val="88"/>
    <w:autoRedefine/>
    <w:semiHidden/>
    <w:unhideWhenUsed/>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190">
    <w:name w:val="Medium Grid 2 Accent 1"/>
    <w:basedOn w:val="88"/>
    <w:autoRedefine/>
    <w:semiHidden/>
    <w:unhideWhenUsed/>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Pr>
    <w:tcPr>
      <w:shd w:val="clear" w:color="auto" w:fill="D0DCF0" w:themeFill="accent1" w:themeFillTint="3F"/>
    </w:tcPr>
    <w:tblStylePr w:type="firstRow">
      <w:rPr>
        <w:b/>
        <w:bCs/>
        <w:color w:val="000000" w:themeColor="text1"/>
        <w14:textFill>
          <w14:solidFill>
            <w14:schemeClr w14:val="tx1"/>
          </w14:solidFill>
        </w14:textFill>
      </w:rPr>
      <w:tblPr/>
      <w:tcPr>
        <w:shd w:val="clear" w:color="auto" w:fill="ECF1F9"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insideV w:val="single" w:sz="6" w:space="0"/>
        </w:tcBorders>
        <w:shd w:val="clear" w:color="auto" w:fill="A1B8E1" w:themeFill="accent1" w:themeFillTint="7F"/>
      </w:tcPr>
    </w:tblStylePr>
    <w:tblStylePr w:type="nwCell">
      <w:tblPr/>
      <w:tcPr>
        <w:shd w:val="clear" w:color="auto" w:fill="FFFFFF" w:themeFill="background1"/>
      </w:tcPr>
    </w:tblStylePr>
  </w:style>
  <w:style w:type="table" w:styleId="191">
    <w:name w:val="Medium Grid 2 Accent 2"/>
    <w:basedOn w:val="88"/>
    <w:autoRedefine/>
    <w:semiHidden/>
    <w:unhideWhenUsed/>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Pr>
    <w:tcPr>
      <w:shd w:val="clear" w:color="auto" w:fill="FADECC" w:themeFill="accent2" w:themeFillTint="3F"/>
    </w:tcPr>
    <w:tblStylePr w:type="firstRow">
      <w:rPr>
        <w:b/>
        <w:bCs/>
        <w:color w:val="000000" w:themeColor="text1"/>
        <w14:textFill>
          <w14:solidFill>
            <w14:schemeClr w14:val="tx1"/>
          </w14:solidFill>
        </w14:textFill>
      </w:rPr>
      <w:tblPr/>
      <w:tcPr>
        <w:shd w:val="clear" w:color="auto" w:fill="FDF2EA"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insideV w:val="single" w:sz="6" w:space="0"/>
        </w:tcBorders>
        <w:shd w:val="clear" w:color="auto" w:fill="F6BE98" w:themeFill="accent2" w:themeFillTint="7F"/>
      </w:tcPr>
    </w:tblStylePr>
    <w:tblStylePr w:type="nwCell">
      <w:tblPr/>
      <w:tcPr>
        <w:shd w:val="clear" w:color="auto" w:fill="FFFFFF" w:themeFill="background1"/>
      </w:tcPr>
    </w:tblStylePr>
  </w:style>
  <w:style w:type="table" w:styleId="192">
    <w:name w:val="Medium Grid 2 Accent 3"/>
    <w:basedOn w:val="88"/>
    <w:autoRedefine/>
    <w:semiHidden/>
    <w:unhideWhenUsed/>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Pr>
    <w:tcPr>
      <w:shd w:val="clear" w:color="auto" w:fill="E8E8E8" w:themeFill="accent3" w:themeFillTint="3F"/>
    </w:tcPr>
    <w:tblStylePr w:type="firstRow">
      <w:rPr>
        <w:b/>
        <w:bCs/>
        <w:color w:val="000000" w:themeColor="text1"/>
        <w14:textFill>
          <w14:solidFill>
            <w14:schemeClr w14:val="tx1"/>
          </w14:solidFill>
        </w14:textFill>
      </w:rPr>
      <w:tblPr/>
      <w:tcPr>
        <w:shd w:val="clear" w:color="auto" w:fill="F6F6F6"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CECEC" w:themeFill="accent3" w:themeFillTint="33"/>
      </w:tcPr>
    </w:tblStylePr>
    <w:tblStylePr w:type="band1Vert">
      <w:tblPr/>
      <w:tcPr>
        <w:shd w:val="clear" w:color="auto" w:fill="D2D2D2" w:themeFill="accent3" w:themeFillTint="7F"/>
      </w:tcPr>
    </w:tblStylePr>
    <w:tblStylePr w:type="band1Horz">
      <w:tblPr/>
      <w:tcPr>
        <w:tcBorders>
          <w:insideH w:val="single" w:sz="6" w:space="0"/>
          <w:insideV w:val="single" w:sz="6" w:space="0"/>
        </w:tcBorders>
        <w:shd w:val="clear" w:color="auto" w:fill="D2D2D2" w:themeFill="accent3" w:themeFillTint="7F"/>
      </w:tcPr>
    </w:tblStylePr>
    <w:tblStylePr w:type="nwCell">
      <w:tblPr/>
      <w:tcPr>
        <w:shd w:val="clear" w:color="auto" w:fill="FFFFFF" w:themeFill="background1"/>
      </w:tcPr>
    </w:tblStylePr>
  </w:style>
  <w:style w:type="table" w:styleId="193">
    <w:name w:val="Medium Grid 2 Accent 4"/>
    <w:basedOn w:val="88"/>
    <w:autoRedefine/>
    <w:semiHidden/>
    <w:unhideWhenUsed/>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Pr>
    <w:tcPr>
      <w:shd w:val="clear" w:color="auto" w:fill="FFEFBF" w:themeFill="accent4" w:themeFillTint="3F"/>
    </w:tcPr>
    <w:tblStylePr w:type="firstRow">
      <w:rPr>
        <w:b/>
        <w:bCs/>
        <w:color w:val="000000" w:themeColor="text1"/>
        <w14:textFill>
          <w14:solidFill>
            <w14:schemeClr w14:val="tx1"/>
          </w14:solidFill>
        </w14:textFill>
      </w:rPr>
      <w:tblPr/>
      <w:tcPr>
        <w:shd w:val="clear" w:color="auto" w:fill="FFF8E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EF2CC" w:themeFill="accent4" w:themeFillTint="33"/>
      </w:tcPr>
    </w:tblStylePr>
    <w:tblStylePr w:type="band1Vert">
      <w:tblPr/>
      <w:tcPr>
        <w:shd w:val="clear" w:color="auto" w:fill="FFDF7F" w:themeFill="accent4" w:themeFillTint="7F"/>
      </w:tcPr>
    </w:tblStylePr>
    <w:tblStylePr w:type="band1Horz">
      <w:tblPr/>
      <w:tcPr>
        <w:tcBorders>
          <w:insideH w:val="single" w:sz="6" w:space="0"/>
          <w:insideV w:val="single" w:sz="6" w:space="0"/>
        </w:tcBorders>
        <w:shd w:val="clear" w:color="auto" w:fill="FFDF7F" w:themeFill="accent4" w:themeFillTint="7F"/>
      </w:tcPr>
    </w:tblStylePr>
    <w:tblStylePr w:type="nwCell">
      <w:tblPr/>
      <w:tcPr>
        <w:shd w:val="clear" w:color="auto" w:fill="FFFFFF" w:themeFill="background1"/>
      </w:tcPr>
    </w:tblStylePr>
  </w:style>
  <w:style w:type="table" w:styleId="194">
    <w:name w:val="Medium Grid 2 Accent 5"/>
    <w:basedOn w:val="88"/>
    <w:autoRedefine/>
    <w:semiHidden/>
    <w:unhideWhenUsed/>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5B9BD5" w:themeColor="accent5" w:sz="8" w:space="0"/>
        <w:left w:val="single" w:color="5B9BD5" w:themeColor="accent5" w:sz="8" w:space="0"/>
        <w:bottom w:val="single" w:color="5B9BD5" w:themeColor="accent5" w:sz="8" w:space="0"/>
        <w:right w:val="single" w:color="5B9BD5" w:themeColor="accent5" w:sz="8" w:space="0"/>
        <w:insideH w:val="single" w:color="5B9BD5" w:themeColor="accent5" w:sz="8" w:space="0"/>
        <w:insideV w:val="single" w:color="5B9BD5" w:themeColor="accent5" w:sz="8" w:space="0"/>
      </w:tblBorders>
    </w:tblPr>
    <w:tcPr>
      <w:shd w:val="clear" w:color="auto" w:fill="D6E6F4" w:themeFill="accent5" w:themeFillTint="3F"/>
    </w:tcPr>
    <w:tblStylePr w:type="firstRow">
      <w:rPr>
        <w:b/>
        <w:bCs/>
        <w:color w:val="000000" w:themeColor="text1"/>
        <w14:textFill>
          <w14:solidFill>
            <w14:schemeClr w14:val="tx1"/>
          </w14:solidFill>
        </w14:textFill>
      </w:rPr>
      <w:tblPr/>
      <w:tcPr>
        <w:shd w:val="clear" w:color="auto" w:fill="EEF5FA"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DEA" w:themeFill="accent5" w:themeFillTint="7F"/>
      </w:tcPr>
    </w:tblStylePr>
    <w:tblStylePr w:type="band1Horz">
      <w:tblPr/>
      <w:tcPr>
        <w:tcBorders>
          <w:insideH w:val="single" w:sz="6" w:space="0"/>
          <w:insideV w:val="single" w:sz="6" w:space="0"/>
        </w:tcBorders>
        <w:shd w:val="clear" w:color="auto" w:fill="ADCDEA" w:themeFill="accent5" w:themeFillTint="7F"/>
      </w:tcPr>
    </w:tblStylePr>
    <w:tblStylePr w:type="nwCell">
      <w:tblPr/>
      <w:tcPr>
        <w:shd w:val="clear" w:color="auto" w:fill="FFFFFF" w:themeFill="background1"/>
      </w:tcPr>
    </w:tblStylePr>
  </w:style>
  <w:style w:type="table" w:styleId="195">
    <w:name w:val="Medium Grid 2 Accent 6"/>
    <w:basedOn w:val="88"/>
    <w:autoRedefine/>
    <w:semiHidden/>
    <w:unhideWhenUsed/>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cPr>
      <w:shd w:val="clear" w:color="auto" w:fill="DBEBD0" w:themeFill="accent6" w:themeFillTint="3F"/>
    </w:tcPr>
    <w:tblStylePr w:type="firstRow">
      <w:rPr>
        <w:b/>
        <w:bCs/>
        <w:color w:val="000000" w:themeColor="text1"/>
        <w14:textFill>
          <w14:solidFill>
            <w14:schemeClr w14:val="tx1"/>
          </w14:solidFill>
        </w14:textFill>
      </w:rPr>
      <w:tblPr/>
      <w:tcPr>
        <w:shd w:val="clear" w:color="auto" w:fill="F0F7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1" w:themeFill="accent6" w:themeFillTint="7F"/>
      </w:tcPr>
    </w:tblStylePr>
    <w:tblStylePr w:type="band1Horz">
      <w:tblPr/>
      <w:tcPr>
        <w:tcBorders>
          <w:insideH w:val="single" w:sz="6" w:space="0"/>
          <w:insideV w:val="single" w:sz="6" w:space="0"/>
        </w:tcBorders>
        <w:shd w:val="clear" w:color="auto" w:fill="B7D8A1" w:themeFill="accent6" w:themeFillTint="7F"/>
      </w:tcPr>
    </w:tblStylePr>
    <w:tblStylePr w:type="nwCell">
      <w:tblPr/>
      <w:tcPr>
        <w:shd w:val="clear" w:color="auto" w:fill="FFFFFF" w:themeFill="background1"/>
      </w:tcPr>
    </w:tblStylePr>
  </w:style>
  <w:style w:type="table" w:styleId="196">
    <w:name w:val="Medium Grid 3"/>
    <w:basedOn w:val="88"/>
    <w:autoRedefine/>
    <w:semiHidden/>
    <w:unhideWhenUsed/>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97">
    <w:name w:val="Medium Grid 3 Accent 1"/>
    <w:basedOn w:val="88"/>
    <w:autoRedefine/>
    <w:semiHidden/>
    <w:unhideWhenUsed/>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472C4"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472C4"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472C4"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472C4"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1B8E1"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1B8E1" w:themeFill="accent1" w:themeFillTint="7F"/>
      </w:tcPr>
    </w:tblStylePr>
  </w:style>
  <w:style w:type="table" w:styleId="198">
    <w:name w:val="Medium Grid 3 Accent 2"/>
    <w:basedOn w:val="88"/>
    <w:autoRedefine/>
    <w:semiHidden/>
    <w:unhideWhenUsed/>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ED7D31"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ED7D31"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ED7D31"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ED7D31"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6BE98"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6BE98" w:themeFill="accent2" w:themeFillTint="7F"/>
      </w:tcPr>
    </w:tblStylePr>
  </w:style>
  <w:style w:type="table" w:styleId="199">
    <w:name w:val="Medium Grid 3 Accent 3"/>
    <w:basedOn w:val="88"/>
    <w:autoRedefine/>
    <w:semiHidden/>
    <w:unhideWhenUsed/>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A5A5A5"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A5A5A5"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A5A5A5"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A5A5A5"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2D2D2"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2D2D2" w:themeFill="accent3" w:themeFillTint="7F"/>
      </w:tcPr>
    </w:tblStylePr>
  </w:style>
  <w:style w:type="table" w:styleId="200">
    <w:name w:val="Medium Grid 3 Accent 4"/>
    <w:basedOn w:val="88"/>
    <w:autoRedefine/>
    <w:semiHidden/>
    <w:unhideWhenUsed/>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FC000"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FC000"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FC000"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FC000"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DF7F"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FDF7F" w:themeFill="accent4" w:themeFillTint="7F"/>
      </w:tcPr>
    </w:tblStylePr>
  </w:style>
  <w:style w:type="table" w:styleId="201">
    <w:name w:val="Medium Grid 3 Accent 5"/>
    <w:basedOn w:val="88"/>
    <w:autoRedefine/>
    <w:semiHidden/>
    <w:unhideWhenUsed/>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5B9BD5"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5B9BD5"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5B9BD5"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5B9BD5"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DCDE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DCDEA" w:themeFill="accent5" w:themeFillTint="7F"/>
      </w:tcPr>
    </w:tblStylePr>
  </w:style>
  <w:style w:type="table" w:styleId="202">
    <w:name w:val="Medium Grid 3 Accent 6"/>
    <w:basedOn w:val="88"/>
    <w:autoRedefine/>
    <w:semiHidden/>
    <w:unhideWhenUsed/>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70AD47"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70AD47"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70AD47"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70AD47"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7D8A1"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7D8A1" w:themeFill="accent6" w:themeFillTint="7F"/>
      </w:tcPr>
    </w:tblStylePr>
  </w:style>
  <w:style w:type="table" w:styleId="203">
    <w:name w:val="Dark List"/>
    <w:basedOn w:val="88"/>
    <w:autoRedefine/>
    <w:semiHidden/>
    <w:unhideWhenUsed/>
    <w:qFormat/>
    <w:uiPriority w:val="70"/>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204">
    <w:name w:val="Dark List Accent 1"/>
    <w:basedOn w:val="88"/>
    <w:semiHidden/>
    <w:unhideWhenUsed/>
    <w:uiPriority w:val="70"/>
    <w:rPr>
      <w:color w:val="FFFFFF" w:themeColor="background1"/>
      <w14:textFill>
        <w14:solidFill>
          <w14:schemeClr w14:val="bg1"/>
        </w14:solidFill>
      </w14:textFill>
    </w:rPr>
    <w:tblPr>
      <w:tblStyleRowBandSize w:val="1"/>
      <w:tblStyleColBandSize w:val="1"/>
    </w:tblPr>
    <w:tcPr>
      <w:shd w:val="clear" w:color="auto" w:fill="4472C4"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F3863"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2F549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05">
    <w:name w:val="Dark List Accent 2"/>
    <w:basedOn w:val="88"/>
    <w:autoRedefine/>
    <w:semiHidden/>
    <w:unhideWhenUsed/>
    <w:qFormat/>
    <w:uiPriority w:val="70"/>
    <w:rPr>
      <w:color w:val="FFFFFF" w:themeColor="background1"/>
      <w14:textFill>
        <w14:solidFill>
          <w14:schemeClr w14:val="bg1"/>
        </w14:solidFill>
      </w14:textFill>
    </w:rPr>
    <w:tblPr>
      <w:tblStyleRowBandSize w:val="1"/>
      <w:tblStyleColBandSize w:val="1"/>
    </w:tblPr>
    <w:tcPr>
      <w:shd w:val="clear" w:color="auto" w:fill="ED7D31"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C5591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C55911" w:themeFill="accent2" w:themeFillShade="BF"/>
      </w:tcPr>
    </w:tblStylePr>
    <w:tblStylePr w:type="band1Vert">
      <w:tblPr/>
      <w:tcPr>
        <w:tcBorders>
          <w:top w:val="nil"/>
          <w:left w:val="nil"/>
          <w:bottom w:val="nil"/>
          <w:right w:val="nil"/>
          <w:insideH w:val="nil"/>
          <w:insideV w:val="nil"/>
        </w:tcBorders>
        <w:shd w:val="clear" w:color="auto" w:fill="C55911" w:themeFill="accent2" w:themeFillShade="BF"/>
      </w:tcPr>
    </w:tblStylePr>
    <w:tblStylePr w:type="band1Horz">
      <w:tblPr/>
      <w:tcPr>
        <w:tcBorders>
          <w:top w:val="nil"/>
          <w:left w:val="nil"/>
          <w:bottom w:val="nil"/>
          <w:right w:val="nil"/>
          <w:insideH w:val="nil"/>
          <w:insideV w:val="nil"/>
        </w:tcBorders>
        <w:shd w:val="clear" w:color="auto" w:fill="C55911" w:themeFill="accent2" w:themeFillShade="BF"/>
      </w:tcPr>
    </w:tblStylePr>
  </w:style>
  <w:style w:type="table" w:styleId="206">
    <w:name w:val="Dark List Accent 3"/>
    <w:basedOn w:val="88"/>
    <w:semiHidden/>
    <w:unhideWhenUsed/>
    <w:uiPriority w:val="70"/>
    <w:rPr>
      <w:color w:val="FFFFFF" w:themeColor="background1"/>
      <w14:textFill>
        <w14:solidFill>
          <w14:schemeClr w14:val="bg1"/>
        </w14:solidFill>
      </w14:textFill>
    </w:rPr>
    <w:tblPr>
      <w:tblStyleRowBandSize w:val="1"/>
      <w:tblStyleColBandSize w:val="1"/>
    </w:tblPr>
    <w:tcPr>
      <w:shd w:val="clear" w:color="auto" w:fill="A5A5A5"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B7B7B"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207">
    <w:name w:val="Dark List Accent 4"/>
    <w:basedOn w:val="88"/>
    <w:semiHidden/>
    <w:unhideWhenUsed/>
    <w:uiPriority w:val="70"/>
    <w:rPr>
      <w:color w:val="FFFFFF" w:themeColor="background1"/>
      <w14:textFill>
        <w14:solidFill>
          <w14:schemeClr w14:val="bg1"/>
        </w14:solidFill>
      </w14:textFill>
    </w:rPr>
    <w:tblPr>
      <w:tblStyleRowBandSize w:val="1"/>
      <w:tblStyleColBandSize w:val="1"/>
    </w:tblPr>
    <w:tcPr>
      <w:shd w:val="clear" w:color="auto" w:fill="FFC000"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E5F00"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BE8F0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BE8F00" w:themeFill="accent4" w:themeFillShade="BF"/>
      </w:tcPr>
    </w:tblStylePr>
    <w:tblStylePr w:type="band1Vert">
      <w:tblPr/>
      <w:tcPr>
        <w:tcBorders>
          <w:top w:val="nil"/>
          <w:left w:val="nil"/>
          <w:bottom w:val="nil"/>
          <w:right w:val="nil"/>
          <w:insideH w:val="nil"/>
          <w:insideV w:val="nil"/>
        </w:tcBorders>
        <w:shd w:val="clear" w:color="auto" w:fill="BE8F00" w:themeFill="accent4" w:themeFillShade="BF"/>
      </w:tcPr>
    </w:tblStylePr>
    <w:tblStylePr w:type="band1Horz">
      <w:tblPr/>
      <w:tcPr>
        <w:tcBorders>
          <w:top w:val="nil"/>
          <w:left w:val="nil"/>
          <w:bottom w:val="nil"/>
          <w:right w:val="nil"/>
          <w:insideH w:val="nil"/>
          <w:insideV w:val="nil"/>
        </w:tcBorders>
        <w:shd w:val="clear" w:color="auto" w:fill="BE8F00" w:themeFill="accent4" w:themeFillShade="BF"/>
      </w:tcPr>
    </w:tblStylePr>
  </w:style>
  <w:style w:type="table" w:styleId="208">
    <w:name w:val="Dark List Accent 5"/>
    <w:basedOn w:val="88"/>
    <w:semiHidden/>
    <w:unhideWhenUsed/>
    <w:uiPriority w:val="70"/>
    <w:rPr>
      <w:color w:val="FFFFFF" w:themeColor="background1"/>
      <w14:textFill>
        <w14:solidFill>
          <w14:schemeClr w14:val="bg1"/>
        </w14:solidFill>
      </w14:textFill>
    </w:rPr>
    <w:tblPr>
      <w:tblStyleRowBandSize w:val="1"/>
      <w:tblStyleColBandSize w:val="1"/>
    </w:tblPr>
    <w:tcPr>
      <w:shd w:val="clear" w:color="auto" w:fill="5B9BD5"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E4D78"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2E75B5"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2E75B5" w:themeFill="accent5" w:themeFillShade="BF"/>
      </w:tcPr>
    </w:tblStylePr>
    <w:tblStylePr w:type="band1Vert">
      <w:tblPr/>
      <w:tcPr>
        <w:tcBorders>
          <w:top w:val="nil"/>
          <w:left w:val="nil"/>
          <w:bottom w:val="nil"/>
          <w:right w:val="nil"/>
          <w:insideH w:val="nil"/>
          <w:insideV w:val="nil"/>
        </w:tcBorders>
        <w:shd w:val="clear" w:color="auto" w:fill="2E75B5" w:themeFill="accent5" w:themeFillShade="BF"/>
      </w:tcPr>
    </w:tblStylePr>
    <w:tblStylePr w:type="band1Horz">
      <w:tblPr/>
      <w:tcPr>
        <w:tcBorders>
          <w:top w:val="nil"/>
          <w:left w:val="nil"/>
          <w:bottom w:val="nil"/>
          <w:right w:val="nil"/>
          <w:insideH w:val="nil"/>
          <w:insideV w:val="nil"/>
        </w:tcBorders>
        <w:shd w:val="clear" w:color="auto" w:fill="2E75B5" w:themeFill="accent5" w:themeFillShade="BF"/>
      </w:tcPr>
    </w:tblStylePr>
  </w:style>
  <w:style w:type="table" w:styleId="209">
    <w:name w:val="Dark List Accent 6"/>
    <w:basedOn w:val="88"/>
    <w:semiHidden/>
    <w:unhideWhenUsed/>
    <w:uiPriority w:val="70"/>
    <w:rPr>
      <w:color w:val="FFFFFF" w:themeColor="background1"/>
      <w14:textFill>
        <w14:solidFill>
          <w14:schemeClr w14:val="bg1"/>
        </w14:solidFill>
      </w14:textFill>
    </w:rPr>
    <w:tblPr>
      <w:tblStyleRowBandSize w:val="1"/>
      <w:tblStyleColBandSize w:val="1"/>
    </w:tblPr>
    <w:tcPr>
      <w:shd w:val="clear" w:color="auto" w:fill="70AD47"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538135"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210">
    <w:name w:val="Colorful Shading"/>
    <w:basedOn w:val="88"/>
    <w:autoRedefine/>
    <w:semiHidden/>
    <w:unhideWhenUsed/>
    <w:qFormat/>
    <w:uiPriority w:val="71"/>
    <w:rPr>
      <w:color w:val="000000" w:themeColor="text1"/>
      <w14:textFill>
        <w14:solidFill>
          <w14:schemeClr w14:val="tx1"/>
        </w14:solidFill>
      </w14:textFill>
    </w:rPr>
    <w:tblPr>
      <w:tblBorders>
        <w:top w:val="single" w:color="ED7D31"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1">
    <w:name w:val="Colorful Shading Accent 1"/>
    <w:basedOn w:val="88"/>
    <w:autoRedefine/>
    <w:semiHidden/>
    <w:unhideWhenUsed/>
    <w:qFormat/>
    <w:uiPriority w:val="71"/>
    <w:rPr>
      <w:color w:val="000000" w:themeColor="text1"/>
      <w14:textFill>
        <w14:solidFill>
          <w14:schemeClr w14:val="tx1"/>
        </w14:solidFill>
      </w14:textFill>
    </w:rPr>
    <w:tblPr>
      <w:tblBorders>
        <w:top w:val="single" w:color="ED7D31" w:themeColor="accent2" w:sz="24" w:space="0"/>
        <w:left w:val="single" w:color="4472C4" w:themeColor="accent1" w:sz="4" w:space="0"/>
        <w:bottom w:val="single" w:color="4472C4" w:themeColor="accent1" w:sz="4" w:space="0"/>
        <w:right w:val="single" w:color="4472C4" w:themeColor="accent1" w:sz="4" w:space="0"/>
        <w:insideH w:val="single" w:color="FFFFFF" w:themeColor="background1" w:sz="4" w:space="0"/>
        <w:insideV w:val="single" w:color="FFFFFF" w:themeColor="background1" w:sz="4" w:space="0"/>
      </w:tblBorders>
    </w:tblPr>
    <w:tcPr>
      <w:shd w:val="clear" w:color="auto" w:fill="ECF1F9" w:themeFill="accent1"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54378"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54378"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5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2">
    <w:name w:val="Colorful Shading Accent 2"/>
    <w:basedOn w:val="88"/>
    <w:semiHidden/>
    <w:unhideWhenUsed/>
    <w:uiPriority w:val="71"/>
    <w:rPr>
      <w:color w:val="000000" w:themeColor="text1"/>
      <w14:textFill>
        <w14:solidFill>
          <w14:schemeClr w14:val="tx1"/>
        </w14:solidFill>
      </w14:textFill>
    </w:rPr>
    <w:tblPr>
      <w:tblBorders>
        <w:top w:val="single" w:color="ED7D31" w:themeColor="accent2" w:sz="24" w:space="0"/>
        <w:left w:val="single" w:color="ED7D31" w:themeColor="accent2" w:sz="4" w:space="0"/>
        <w:bottom w:val="single" w:color="ED7D31" w:themeColor="accent2" w:sz="4" w:space="0"/>
        <w:right w:val="single" w:color="ED7D31" w:themeColor="accent2" w:sz="4" w:space="0"/>
        <w:insideH w:val="single" w:color="FFFFFF" w:themeColor="background1" w:sz="4" w:space="0"/>
        <w:insideV w:val="single" w:color="FFFFFF" w:themeColor="background1" w:sz="4" w:space="0"/>
      </w:tblBorders>
    </w:tblPr>
    <w:tcPr>
      <w:shd w:val="clear" w:color="auto" w:fill="FDF2EA" w:themeFill="accent2"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9D480D"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9D480D"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9D48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3">
    <w:name w:val="Colorful Shading Accent 3"/>
    <w:basedOn w:val="88"/>
    <w:semiHidden/>
    <w:unhideWhenUsed/>
    <w:uiPriority w:val="71"/>
    <w:rPr>
      <w:color w:val="000000" w:themeColor="text1"/>
      <w14:textFill>
        <w14:solidFill>
          <w14:schemeClr w14:val="tx1"/>
        </w14:solidFill>
      </w14:textFill>
    </w:rPr>
    <w:tblPr>
      <w:tblBorders>
        <w:top w:val="single" w:color="FFC000" w:themeColor="accent4" w:sz="24" w:space="0"/>
        <w:left w:val="single" w:color="A5A5A5" w:themeColor="accent3" w:sz="4" w:space="0"/>
        <w:bottom w:val="single" w:color="A5A5A5" w:themeColor="accent3" w:sz="4" w:space="0"/>
        <w:right w:val="single" w:color="A5A5A5" w:themeColor="accent3" w:sz="4" w:space="0"/>
        <w:insideH w:val="single" w:color="FFFFFF" w:themeColor="background1" w:sz="4" w:space="0"/>
        <w:insideV w:val="single" w:color="FFFFFF" w:themeColor="background1" w:sz="4" w:space="0"/>
      </w:tblBorders>
    </w:tblPr>
    <w:tcPr>
      <w:shd w:val="clear" w:color="auto" w:fill="F6F6F6" w:themeFill="accent3" w:themeFillTint="19"/>
    </w:tcPr>
    <w:tblStylePr w:type="firstRow">
      <w:rPr>
        <w:b/>
        <w:bCs/>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626262"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626262"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626262" w:themeFill="accent3" w:themeFillShade="99"/>
      </w:tcPr>
    </w:tblStylePr>
    <w:tblStylePr w:type="band1Vert">
      <w:tblPr/>
      <w:tcPr>
        <w:shd w:val="clear" w:color="auto" w:fill="DADADA" w:themeFill="accent3" w:themeFillTint="66"/>
      </w:tcPr>
    </w:tblStylePr>
    <w:tblStylePr w:type="band1Horz">
      <w:tblPr/>
      <w:tcPr>
        <w:shd w:val="clear" w:color="auto" w:fill="D2D2D2" w:themeFill="accent3" w:themeFillTint="7F"/>
      </w:tcPr>
    </w:tblStylePr>
  </w:style>
  <w:style w:type="table" w:styleId="214">
    <w:name w:val="Colorful Shading Accent 4"/>
    <w:basedOn w:val="88"/>
    <w:autoRedefine/>
    <w:semiHidden/>
    <w:unhideWhenUsed/>
    <w:qFormat/>
    <w:uiPriority w:val="71"/>
    <w:rPr>
      <w:color w:val="000000" w:themeColor="text1"/>
      <w14:textFill>
        <w14:solidFill>
          <w14:schemeClr w14:val="tx1"/>
        </w14:solidFill>
      </w14:textFill>
    </w:rPr>
    <w:tblPr>
      <w:tblBorders>
        <w:top w:val="single" w:color="A5A5A5" w:themeColor="accent3" w:sz="24" w:space="0"/>
        <w:left w:val="single" w:color="FFC000" w:themeColor="accent4" w:sz="4" w:space="0"/>
        <w:bottom w:val="single" w:color="FFC000" w:themeColor="accent4" w:sz="4" w:space="0"/>
        <w:right w:val="single" w:color="FFC000" w:themeColor="accent4" w:sz="4" w:space="0"/>
        <w:insideH w:val="single" w:color="FFFFFF" w:themeColor="background1" w:sz="4" w:space="0"/>
        <w:insideV w:val="single" w:color="FFFFFF" w:themeColor="background1" w:sz="4" w:space="0"/>
      </w:tblBorders>
    </w:tblPr>
    <w:tcPr>
      <w:shd w:val="clear" w:color="auto" w:fill="FFF8E5" w:themeFill="accent4" w:themeFillTint="19"/>
    </w:tcPr>
    <w:tblStylePr w:type="firstRow">
      <w:rPr>
        <w:b/>
        <w:bCs/>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997300"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997300"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7F"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5">
    <w:name w:val="Colorful Shading Accent 5"/>
    <w:basedOn w:val="88"/>
    <w:autoRedefine/>
    <w:semiHidden/>
    <w:unhideWhenUsed/>
    <w:qFormat/>
    <w:uiPriority w:val="71"/>
    <w:rPr>
      <w:color w:val="000000" w:themeColor="text1"/>
      <w14:textFill>
        <w14:solidFill>
          <w14:schemeClr w14:val="tx1"/>
        </w14:solidFill>
      </w14:textFill>
    </w:rPr>
    <w:tblPr>
      <w:tblBorders>
        <w:top w:val="single" w:color="70AD47" w:themeColor="accent6" w:sz="24" w:space="0"/>
        <w:left w:val="single" w:color="5B9BD5" w:themeColor="accent5" w:sz="4" w:space="0"/>
        <w:bottom w:val="single" w:color="5B9BD5" w:themeColor="accent5" w:sz="4" w:space="0"/>
        <w:right w:val="single" w:color="5B9BD5" w:themeColor="accent5" w:sz="4" w:space="0"/>
        <w:insideH w:val="single" w:color="FFFFFF" w:themeColor="background1" w:sz="4" w:space="0"/>
        <w:insideV w:val="single" w:color="FFFFFF" w:themeColor="background1" w:sz="4" w:space="0"/>
      </w:tblBorders>
    </w:tblPr>
    <w:tcPr>
      <w:shd w:val="clear" w:color="auto" w:fill="EEF5FA" w:themeFill="accent5" w:themeFillTint="19"/>
    </w:tcPr>
    <w:tblStylePr w:type="firstRow">
      <w:rPr>
        <w:b/>
        <w:bCs/>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55D91"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55D91"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DEA"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6">
    <w:name w:val="Colorful Shading Accent 6"/>
    <w:basedOn w:val="88"/>
    <w:autoRedefine/>
    <w:semiHidden/>
    <w:unhideWhenUsed/>
    <w:qFormat/>
    <w:uiPriority w:val="71"/>
    <w:rPr>
      <w:color w:val="000000" w:themeColor="text1"/>
      <w14:textFill>
        <w14:solidFill>
          <w14:schemeClr w14:val="tx1"/>
        </w14:solidFill>
      </w14:textFill>
    </w:rPr>
    <w:tblPr>
      <w:tblBorders>
        <w:top w:val="single" w:color="5B9BD5" w:themeColor="accent5" w:sz="24" w:space="0"/>
        <w:left w:val="single" w:color="70AD47" w:themeColor="accent6" w:sz="4" w:space="0"/>
        <w:bottom w:val="single" w:color="70AD47" w:themeColor="accent6" w:sz="4" w:space="0"/>
        <w:right w:val="single" w:color="70AD47" w:themeColor="accent6" w:sz="4" w:space="0"/>
        <w:insideH w:val="single" w:color="FFFFFF" w:themeColor="background1" w:sz="4" w:space="0"/>
        <w:insideV w:val="single" w:color="FFFFFF" w:themeColor="background1" w:sz="4" w:space="0"/>
      </w:tblBorders>
    </w:tblPr>
    <w:tcPr>
      <w:shd w:val="clear" w:color="auto" w:fill="F0F7EC" w:themeFill="accent6" w:themeFillTint="19"/>
    </w:tcPr>
    <w:tblStylePr w:type="firstRow">
      <w:rPr>
        <w:b/>
        <w:bCs/>
      </w:rPr>
      <w:tblPr/>
      <w:tcPr>
        <w:tcBorders>
          <w:top w:val="nil"/>
          <w:left w:val="nil"/>
          <w:bottom w:val="single" w:color="5B9BD5"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3672A"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3672A"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1"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7">
    <w:name w:val="Colorful List"/>
    <w:basedOn w:val="88"/>
    <w:autoRedefine/>
    <w:semiHidden/>
    <w:unhideWhenUsed/>
    <w:qFormat/>
    <w:uiPriority w:val="72"/>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218">
    <w:name w:val="Colorful List Accent 1"/>
    <w:basedOn w:val="88"/>
    <w:autoRedefine/>
    <w:semiHidden/>
    <w:unhideWhenUsed/>
    <w:qFormat/>
    <w:uiPriority w:val="72"/>
    <w:rPr>
      <w:color w:val="000000" w:themeColor="text1"/>
      <w14:textFill>
        <w14:solidFill>
          <w14:schemeClr w14:val="tx1"/>
        </w14:solidFill>
      </w14:textFill>
    </w:rPr>
    <w:tblPr>
      <w:tblStyleRowBandSize w:val="1"/>
      <w:tblStyleColBandSize w:val="1"/>
    </w:tblPr>
    <w:tcPr>
      <w:shd w:val="clear" w:color="auto" w:fill="ECF1F9"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CF0" w:themeFill="accent1" w:themeFillTint="3F"/>
      </w:tcPr>
    </w:tblStylePr>
    <w:tblStylePr w:type="band1Horz">
      <w:tblPr/>
      <w:tcPr>
        <w:shd w:val="clear" w:color="auto" w:fill="D9E2F3" w:themeFill="accent1" w:themeFillTint="33"/>
      </w:tcPr>
    </w:tblStylePr>
  </w:style>
  <w:style w:type="table" w:styleId="219">
    <w:name w:val="Colorful List Accent 2"/>
    <w:basedOn w:val="88"/>
    <w:autoRedefine/>
    <w:semiHidden/>
    <w:unhideWhenUsed/>
    <w:qFormat/>
    <w:uiPriority w:val="72"/>
    <w:rPr>
      <w:color w:val="000000" w:themeColor="text1"/>
      <w14:textFill>
        <w14:solidFill>
          <w14:schemeClr w14:val="tx1"/>
        </w14:solidFill>
      </w14:textFill>
    </w:rPr>
    <w:tblPr>
      <w:tblStyleRowBandSize w:val="1"/>
      <w:tblStyleColBandSize w:val="1"/>
    </w:tblPr>
    <w:tcPr>
      <w:shd w:val="clear" w:color="auto" w:fill="FDF2EA"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C" w:themeFill="accent2" w:themeFillTint="3F"/>
      </w:tcPr>
    </w:tblStylePr>
    <w:tblStylePr w:type="band1Horz">
      <w:tblPr/>
      <w:tcPr>
        <w:shd w:val="clear" w:color="auto" w:fill="FBE4D5" w:themeFill="accent2" w:themeFillTint="33"/>
      </w:tcPr>
    </w:tblStylePr>
  </w:style>
  <w:style w:type="table" w:styleId="220">
    <w:name w:val="Colorful List Accent 3"/>
    <w:basedOn w:val="88"/>
    <w:autoRedefine/>
    <w:semiHidden/>
    <w:unhideWhenUsed/>
    <w:qFormat/>
    <w:uiPriority w:val="72"/>
    <w:rPr>
      <w:color w:val="000000" w:themeColor="text1"/>
      <w14:textFill>
        <w14:solidFill>
          <w14:schemeClr w14:val="tx1"/>
        </w14:solidFill>
      </w14:textFill>
    </w:rPr>
    <w:tblPr>
      <w:tblStyleRowBandSize w:val="1"/>
      <w:tblStyleColBandSize w:val="1"/>
    </w:tblPr>
    <w:tcPr>
      <w:shd w:val="clear" w:color="auto" w:fill="F6F6F6"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CC9900" w:themeFill="accent4" w:themeFillShade="CC"/>
      </w:tcPr>
    </w:tblStylePr>
    <w:tblStylePr w:type="lastRow">
      <w:rPr>
        <w:b/>
        <w:bCs/>
        <w:color w:val="CC9A00"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CECEC" w:themeFill="accent3" w:themeFillTint="33"/>
      </w:tcPr>
    </w:tblStylePr>
  </w:style>
  <w:style w:type="table" w:styleId="221">
    <w:name w:val="Colorful List Accent 4"/>
    <w:basedOn w:val="88"/>
    <w:autoRedefine/>
    <w:semiHidden/>
    <w:unhideWhenUsed/>
    <w:qFormat/>
    <w:uiPriority w:val="72"/>
    <w:rPr>
      <w:color w:val="000000" w:themeColor="text1"/>
      <w14:textFill>
        <w14:solidFill>
          <w14:schemeClr w14:val="tx1"/>
        </w14:solidFill>
      </w14:textFill>
    </w:rPr>
    <w:tblPr>
      <w:tblStyleRowBandSize w:val="1"/>
      <w:tblStyleColBandSize w:val="1"/>
    </w:tblPr>
    <w:tcPr>
      <w:shd w:val="clear" w:color="auto" w:fill="FFF8E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838383" w:themeFill="accent3" w:themeFillShade="CC"/>
      </w:tcPr>
    </w:tblStylePr>
    <w:tblStylePr w:type="lastRow">
      <w:rPr>
        <w:b/>
        <w:bCs/>
        <w:color w:val="848484"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BF" w:themeFill="accent4" w:themeFillTint="3F"/>
      </w:tcPr>
    </w:tblStylePr>
    <w:tblStylePr w:type="band1Horz">
      <w:tblPr/>
      <w:tcPr>
        <w:shd w:val="clear" w:color="auto" w:fill="FEF2CC" w:themeFill="accent4" w:themeFillTint="33"/>
      </w:tcPr>
    </w:tblStylePr>
  </w:style>
  <w:style w:type="table" w:styleId="222">
    <w:name w:val="Colorful List Accent 5"/>
    <w:basedOn w:val="88"/>
    <w:autoRedefine/>
    <w:semiHidden/>
    <w:unhideWhenUsed/>
    <w:qFormat/>
    <w:uiPriority w:val="72"/>
    <w:rPr>
      <w:color w:val="000000" w:themeColor="text1"/>
      <w14:textFill>
        <w14:solidFill>
          <w14:schemeClr w14:val="tx1"/>
        </w14:solidFill>
      </w14:textFill>
    </w:rPr>
    <w:tblPr>
      <w:tblStyleRowBandSize w:val="1"/>
      <w:tblStyleColBandSize w:val="1"/>
    </w:tblPr>
    <w:tcPr>
      <w:shd w:val="clear" w:color="auto" w:fill="EEF5FA"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598A38" w:themeFill="accent6" w:themeFillShade="CC"/>
      </w:tcPr>
    </w:tblStylePr>
    <w:tblStylePr w:type="lastRow">
      <w:rPr>
        <w:b/>
        <w:bCs/>
        <w:color w:val="5A8A39"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223">
    <w:name w:val="Colorful List Accent 6"/>
    <w:basedOn w:val="88"/>
    <w:autoRedefine/>
    <w:semiHidden/>
    <w:unhideWhenUsed/>
    <w:qFormat/>
    <w:uiPriority w:val="72"/>
    <w:rPr>
      <w:color w:val="000000" w:themeColor="text1"/>
      <w14:textFill>
        <w14:solidFill>
          <w14:schemeClr w14:val="tx1"/>
        </w14:solidFill>
      </w14:textFill>
    </w:rPr>
    <w:tblPr>
      <w:tblStyleRowBandSize w:val="1"/>
      <w:tblStyleColBandSize w:val="1"/>
    </w:tblPr>
    <w:tcPr>
      <w:shd w:val="clear" w:color="auto" w:fill="F0F7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17DC1" w:themeFill="accent5" w:themeFillShade="CC"/>
      </w:tcPr>
    </w:tblStylePr>
    <w:tblStylePr w:type="lastRow">
      <w:rPr>
        <w:b/>
        <w:bCs/>
        <w:color w:val="327DC2"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224">
    <w:name w:val="Colorful Grid"/>
    <w:basedOn w:val="88"/>
    <w:autoRedefine/>
    <w:semiHidden/>
    <w:unhideWhenUsed/>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225">
    <w:name w:val="Colorful Grid Accent 1"/>
    <w:basedOn w:val="88"/>
    <w:autoRedefine/>
    <w:semiHidden/>
    <w:unhideWhenUsed/>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14:textFill>
          <w14:solidFill>
            <w14:schemeClr w14:val="tx1"/>
          </w14:solidFill>
        </w14:textFill>
      </w:rPr>
      <w:tblPr/>
      <w:tcPr>
        <w:shd w:val="clear" w:color="auto" w:fill="B4C6E7" w:themeFill="accent1" w:themeFillTint="66"/>
      </w:tcPr>
    </w:tblStylePr>
    <w:tblStylePr w:type="firstCol">
      <w:rPr>
        <w:color w:val="FFFFFF" w:themeColor="background1"/>
        <w14:textFill>
          <w14:solidFill>
            <w14:schemeClr w14:val="bg1"/>
          </w14:solidFill>
        </w14:textFill>
      </w:rPr>
      <w:tblPr/>
      <w:tcPr>
        <w:shd w:val="clear" w:color="auto" w:fill="2F5496" w:themeFill="accent1" w:themeFillShade="BF"/>
      </w:tcPr>
    </w:tblStylePr>
    <w:tblStylePr w:type="lastCol">
      <w:rPr>
        <w:color w:val="FFFFFF" w:themeColor="background1"/>
        <w14:textFill>
          <w14:solidFill>
            <w14:schemeClr w14:val="bg1"/>
          </w14:solidFill>
        </w14:textFill>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26">
    <w:name w:val="Colorful Grid Accent 2"/>
    <w:basedOn w:val="88"/>
    <w:autoRedefine/>
    <w:semiHidden/>
    <w:unhideWhenUsed/>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14:textFill>
          <w14:solidFill>
            <w14:schemeClr w14:val="tx1"/>
          </w14:solidFill>
        </w14:textFill>
      </w:rPr>
      <w:tblPr/>
      <w:tcPr>
        <w:shd w:val="clear" w:color="auto" w:fill="F7CAAC" w:themeFill="accent2" w:themeFillTint="66"/>
      </w:tcPr>
    </w:tblStylePr>
    <w:tblStylePr w:type="firstCol">
      <w:rPr>
        <w:color w:val="FFFFFF" w:themeColor="background1"/>
        <w14:textFill>
          <w14:solidFill>
            <w14:schemeClr w14:val="bg1"/>
          </w14:solidFill>
        </w14:textFill>
      </w:rPr>
      <w:tblPr/>
      <w:tcPr>
        <w:shd w:val="clear" w:color="auto" w:fill="C55911" w:themeFill="accent2" w:themeFillShade="BF"/>
      </w:tcPr>
    </w:tblStylePr>
    <w:tblStylePr w:type="lastCol">
      <w:rPr>
        <w:color w:val="FFFFFF" w:themeColor="background1"/>
        <w14:textFill>
          <w14:solidFill>
            <w14:schemeClr w14:val="bg1"/>
          </w14:solidFill>
        </w14:textFill>
      </w:rPr>
      <w:tblPr/>
      <w:tcPr>
        <w:shd w:val="clear" w:color="auto" w:fill="C5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227">
    <w:name w:val="Colorful Grid Accent 3"/>
    <w:basedOn w:val="88"/>
    <w:autoRedefine/>
    <w:semiHidden/>
    <w:unhideWhenUsed/>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CECEC" w:themeFill="accent3" w:themeFillTint="33"/>
    </w:tcPr>
    <w:tblStylePr w:type="firstRow">
      <w:rPr>
        <w:b/>
        <w:bCs/>
      </w:rPr>
      <w:tblPr/>
      <w:tcPr>
        <w:shd w:val="clear" w:color="auto" w:fill="DADADA" w:themeFill="accent3" w:themeFillTint="66"/>
      </w:tcPr>
    </w:tblStylePr>
    <w:tblStylePr w:type="lastRow">
      <w:rPr>
        <w:b/>
        <w:bCs/>
        <w:color w:val="000000" w:themeColor="text1"/>
        <w14:textFill>
          <w14:solidFill>
            <w14:schemeClr w14:val="tx1"/>
          </w14:solidFill>
        </w14:textFill>
      </w:rPr>
      <w:tblPr/>
      <w:tcPr>
        <w:shd w:val="clear" w:color="auto" w:fill="DADADA" w:themeFill="accent3" w:themeFillTint="66"/>
      </w:tcPr>
    </w:tblStylePr>
    <w:tblStylePr w:type="firstCol">
      <w:rPr>
        <w:color w:val="FFFFFF" w:themeColor="background1"/>
        <w14:textFill>
          <w14:solidFill>
            <w14:schemeClr w14:val="bg1"/>
          </w14:solidFill>
        </w14:textFill>
      </w:rPr>
      <w:tblPr/>
      <w:tcPr>
        <w:shd w:val="clear" w:color="auto" w:fill="7B7B7B" w:themeFill="accent3" w:themeFillShade="BF"/>
      </w:tcPr>
    </w:tblStylePr>
    <w:tblStylePr w:type="lastCol">
      <w:rPr>
        <w:color w:val="FFFFFF" w:themeColor="background1"/>
        <w14:textFill>
          <w14:solidFill>
            <w14:schemeClr w14:val="bg1"/>
          </w14:solidFill>
        </w14:textFill>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228">
    <w:name w:val="Colorful Grid Accent 4"/>
    <w:basedOn w:val="88"/>
    <w:autoRedefine/>
    <w:semiHidden/>
    <w:unhideWhenUsed/>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EF2CC" w:themeFill="accent4" w:themeFillTint="33"/>
    </w:tcPr>
    <w:tblStylePr w:type="firstRow">
      <w:rPr>
        <w:b/>
        <w:bCs/>
      </w:rPr>
      <w:tblPr/>
      <w:tcPr>
        <w:shd w:val="clear" w:color="auto" w:fill="FFE599" w:themeFill="accent4" w:themeFillTint="66"/>
      </w:tcPr>
    </w:tblStylePr>
    <w:tblStylePr w:type="lastRow">
      <w:rPr>
        <w:b/>
        <w:bCs/>
        <w:color w:val="000000" w:themeColor="text1"/>
        <w14:textFill>
          <w14:solidFill>
            <w14:schemeClr w14:val="tx1"/>
          </w14:solidFill>
        </w14:textFill>
      </w:rPr>
      <w:tblPr/>
      <w:tcPr>
        <w:shd w:val="clear" w:color="auto" w:fill="FFE599" w:themeFill="accent4" w:themeFillTint="66"/>
      </w:tcPr>
    </w:tblStylePr>
    <w:tblStylePr w:type="firstCol">
      <w:rPr>
        <w:color w:val="FFFFFF" w:themeColor="background1"/>
        <w14:textFill>
          <w14:solidFill>
            <w14:schemeClr w14:val="bg1"/>
          </w14:solidFill>
        </w14:textFill>
      </w:rPr>
      <w:tblPr/>
      <w:tcPr>
        <w:shd w:val="clear" w:color="auto" w:fill="BE8F00" w:themeFill="accent4" w:themeFillShade="BF"/>
      </w:tcPr>
    </w:tblStylePr>
    <w:tblStylePr w:type="lastCol">
      <w:rPr>
        <w:color w:val="FFFFFF" w:themeColor="background1"/>
        <w14:textFill>
          <w14:solidFill>
            <w14:schemeClr w14:val="bg1"/>
          </w14:solidFill>
        </w14:textFill>
      </w:rPr>
      <w:tblPr/>
      <w:tcPr>
        <w:shd w:val="clear" w:color="auto" w:fill="BE8F00" w:themeFill="accent4" w:themeFillShade="BF"/>
      </w:tcPr>
    </w:tblStylePr>
    <w:tblStylePr w:type="band1Vert">
      <w:tblPr/>
      <w:tcPr>
        <w:shd w:val="clear" w:color="auto" w:fill="FFDF7F" w:themeFill="accent4" w:themeFillTint="7F"/>
      </w:tcPr>
    </w:tblStylePr>
    <w:tblStylePr w:type="band1Horz">
      <w:tblPr/>
      <w:tcPr>
        <w:shd w:val="clear" w:color="auto" w:fill="FFDF7F" w:themeFill="accent4" w:themeFillTint="7F"/>
      </w:tcPr>
    </w:tblStylePr>
  </w:style>
  <w:style w:type="table" w:styleId="229">
    <w:name w:val="Colorful Grid Accent 5"/>
    <w:basedOn w:val="88"/>
    <w:autoRedefine/>
    <w:semiHidden/>
    <w:unhideWhenUsed/>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14:textFill>
          <w14:solidFill>
            <w14:schemeClr w14:val="tx1"/>
          </w14:solidFill>
        </w14:textFill>
      </w:rPr>
      <w:tblPr/>
      <w:tcPr>
        <w:shd w:val="clear" w:color="auto" w:fill="BDD6EE" w:themeFill="accent5" w:themeFillTint="66"/>
      </w:tcPr>
    </w:tblStylePr>
    <w:tblStylePr w:type="firstCol">
      <w:rPr>
        <w:color w:val="FFFFFF" w:themeColor="background1"/>
        <w14:textFill>
          <w14:solidFill>
            <w14:schemeClr w14:val="bg1"/>
          </w14:solidFill>
        </w14:textFill>
      </w:rPr>
      <w:tblPr/>
      <w:tcPr>
        <w:shd w:val="clear" w:color="auto" w:fill="2E75B5" w:themeFill="accent5" w:themeFillShade="BF"/>
      </w:tcPr>
    </w:tblStylePr>
    <w:tblStylePr w:type="lastCol">
      <w:rPr>
        <w:color w:val="FFFFFF" w:themeColor="background1"/>
        <w14:textFill>
          <w14:solidFill>
            <w14:schemeClr w14:val="bg1"/>
          </w14:solidFill>
        </w14:textFill>
      </w:rPr>
      <w:tblPr/>
      <w:tcPr>
        <w:shd w:val="clear" w:color="auto" w:fill="2E75B5" w:themeFill="accent5" w:themeFillShade="BF"/>
      </w:tcPr>
    </w:tblStylePr>
    <w:tblStylePr w:type="band1Vert">
      <w:tblPr/>
      <w:tcPr>
        <w:shd w:val="clear" w:color="auto" w:fill="ADCDEA" w:themeFill="accent5" w:themeFillTint="7F"/>
      </w:tcPr>
    </w:tblStylePr>
    <w:tblStylePr w:type="band1Horz">
      <w:tblPr/>
      <w:tcPr>
        <w:shd w:val="clear" w:color="auto" w:fill="ADCDEA" w:themeFill="accent5" w:themeFillTint="7F"/>
      </w:tcPr>
    </w:tblStylePr>
  </w:style>
  <w:style w:type="table" w:styleId="230">
    <w:name w:val="Colorful Grid Accent 6"/>
    <w:basedOn w:val="88"/>
    <w:autoRedefine/>
    <w:semiHidden/>
    <w:unhideWhenUsed/>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14:textFill>
          <w14:solidFill>
            <w14:schemeClr w14:val="tx1"/>
          </w14:solidFill>
        </w14:textFill>
      </w:rPr>
      <w:tblPr/>
      <w:tcPr>
        <w:shd w:val="clear" w:color="auto" w:fill="C5E0B3" w:themeFill="accent6" w:themeFillTint="66"/>
      </w:tcPr>
    </w:tblStylePr>
    <w:tblStylePr w:type="firstCol">
      <w:rPr>
        <w:color w:val="FFFFFF" w:themeColor="background1"/>
        <w14:textFill>
          <w14:solidFill>
            <w14:schemeClr w14:val="bg1"/>
          </w14:solidFill>
        </w14:textFill>
      </w:rPr>
      <w:tblPr/>
      <w:tcPr>
        <w:shd w:val="clear" w:color="auto" w:fill="538135" w:themeFill="accent6" w:themeFillShade="BF"/>
      </w:tcPr>
    </w:tblStylePr>
    <w:tblStylePr w:type="lastCol">
      <w:rPr>
        <w:color w:val="FFFFFF" w:themeColor="background1"/>
        <w14:textFill>
          <w14:solidFill>
            <w14:schemeClr w14:val="bg1"/>
          </w14:solidFill>
        </w14:textFill>
      </w:rPr>
      <w:tblPr/>
      <w:tcPr>
        <w:shd w:val="clear" w:color="auto" w:fill="538135" w:themeFill="accent6" w:themeFillShade="BF"/>
      </w:tcPr>
    </w:tblStylePr>
    <w:tblStylePr w:type="band1Vert">
      <w:tblPr/>
      <w:tcPr>
        <w:shd w:val="clear" w:color="auto" w:fill="B7D8A1" w:themeFill="accent6" w:themeFillTint="7F"/>
      </w:tcPr>
    </w:tblStylePr>
    <w:tblStylePr w:type="band1Horz">
      <w:tblPr/>
      <w:tcPr>
        <w:shd w:val="clear" w:color="auto" w:fill="B7D8A1" w:themeFill="accent6" w:themeFillTint="7F"/>
      </w:tcPr>
    </w:tblStylePr>
  </w:style>
  <w:style w:type="character" w:styleId="232">
    <w:name w:val="Strong"/>
    <w:autoRedefine/>
    <w:qFormat/>
    <w:uiPriority w:val="0"/>
    <w:rPr>
      <w:b/>
      <w:bCs/>
    </w:rPr>
  </w:style>
  <w:style w:type="character" w:styleId="233">
    <w:name w:val="endnote reference"/>
    <w:autoRedefine/>
    <w:semiHidden/>
    <w:qFormat/>
    <w:uiPriority w:val="0"/>
    <w:rPr>
      <w:vertAlign w:val="superscript"/>
    </w:rPr>
  </w:style>
  <w:style w:type="character" w:styleId="234">
    <w:name w:val="page number"/>
    <w:basedOn w:val="231"/>
    <w:autoRedefine/>
    <w:qFormat/>
    <w:uiPriority w:val="0"/>
  </w:style>
  <w:style w:type="character" w:styleId="235">
    <w:name w:val="FollowedHyperlink"/>
    <w:autoRedefine/>
    <w:qFormat/>
    <w:uiPriority w:val="0"/>
    <w:rPr>
      <w:color w:val="800080"/>
      <w:u w:val="single"/>
    </w:rPr>
  </w:style>
  <w:style w:type="character" w:styleId="236">
    <w:name w:val="Emphasis"/>
    <w:autoRedefine/>
    <w:qFormat/>
    <w:uiPriority w:val="0"/>
    <w:rPr>
      <w:rFonts w:cs="Times New Roman"/>
      <w:i/>
      <w:iCs/>
    </w:rPr>
  </w:style>
  <w:style w:type="character" w:styleId="237">
    <w:name w:val="line number"/>
    <w:basedOn w:val="231"/>
    <w:autoRedefine/>
    <w:qFormat/>
    <w:uiPriority w:val="0"/>
  </w:style>
  <w:style w:type="character" w:styleId="238">
    <w:name w:val="HTML Definition"/>
    <w:autoRedefine/>
    <w:qFormat/>
    <w:uiPriority w:val="0"/>
    <w:rPr>
      <w:i/>
      <w:iCs/>
    </w:rPr>
  </w:style>
  <w:style w:type="character" w:styleId="239">
    <w:name w:val="HTML Typewriter"/>
    <w:autoRedefine/>
    <w:qFormat/>
    <w:uiPriority w:val="0"/>
    <w:rPr>
      <w:rFonts w:ascii="Courier New" w:hAnsi="Courier New" w:cs="Courier New"/>
      <w:sz w:val="20"/>
      <w:szCs w:val="20"/>
    </w:rPr>
  </w:style>
  <w:style w:type="character" w:styleId="240">
    <w:name w:val="HTML Acronym"/>
    <w:basedOn w:val="231"/>
    <w:autoRedefine/>
    <w:qFormat/>
    <w:uiPriority w:val="0"/>
  </w:style>
  <w:style w:type="character" w:styleId="241">
    <w:name w:val="HTML Variable"/>
    <w:autoRedefine/>
    <w:qFormat/>
    <w:uiPriority w:val="0"/>
    <w:rPr>
      <w:i/>
      <w:iCs/>
    </w:rPr>
  </w:style>
  <w:style w:type="character" w:styleId="242">
    <w:name w:val="Hyperlink"/>
    <w:autoRedefine/>
    <w:qFormat/>
    <w:uiPriority w:val="99"/>
    <w:rPr>
      <w:color w:val="0000FF"/>
      <w:u w:val="single"/>
    </w:rPr>
  </w:style>
  <w:style w:type="character" w:styleId="243">
    <w:name w:val="HTML Code"/>
    <w:autoRedefine/>
    <w:qFormat/>
    <w:uiPriority w:val="0"/>
    <w:rPr>
      <w:rFonts w:ascii="Courier New" w:hAnsi="Courier New" w:cs="Courier New"/>
      <w:sz w:val="20"/>
      <w:szCs w:val="20"/>
    </w:rPr>
  </w:style>
  <w:style w:type="character" w:styleId="244">
    <w:name w:val="annotation reference"/>
    <w:autoRedefine/>
    <w:qFormat/>
    <w:uiPriority w:val="99"/>
    <w:rPr>
      <w:sz w:val="21"/>
      <w:szCs w:val="21"/>
    </w:rPr>
  </w:style>
  <w:style w:type="character" w:styleId="245">
    <w:name w:val="HTML Cite"/>
    <w:autoRedefine/>
    <w:qFormat/>
    <w:uiPriority w:val="0"/>
    <w:rPr>
      <w:i/>
      <w:iCs/>
    </w:rPr>
  </w:style>
  <w:style w:type="character" w:styleId="246">
    <w:name w:val="footnote reference"/>
    <w:autoRedefine/>
    <w:semiHidden/>
    <w:qFormat/>
    <w:uiPriority w:val="0"/>
    <w:rPr>
      <w:vertAlign w:val="superscript"/>
    </w:rPr>
  </w:style>
  <w:style w:type="character" w:styleId="247">
    <w:name w:val="HTML Keyboard"/>
    <w:autoRedefine/>
    <w:qFormat/>
    <w:uiPriority w:val="0"/>
    <w:rPr>
      <w:rFonts w:ascii="Courier New" w:hAnsi="Courier New" w:cs="Courier New"/>
      <w:sz w:val="20"/>
      <w:szCs w:val="20"/>
    </w:rPr>
  </w:style>
  <w:style w:type="character" w:styleId="248">
    <w:name w:val="HTML Sample"/>
    <w:autoRedefine/>
    <w:qFormat/>
    <w:uiPriority w:val="0"/>
    <w:rPr>
      <w:rFonts w:ascii="Courier New" w:hAnsi="Courier New" w:cs="Courier New"/>
    </w:rPr>
  </w:style>
  <w:style w:type="character" w:customStyle="1" w:styleId="249">
    <w:name w:val="标题 1 字符"/>
    <w:link w:val="3"/>
    <w:autoRedefine/>
    <w:qFormat/>
    <w:locked/>
    <w:uiPriority w:val="0"/>
    <w:rPr>
      <w:rFonts w:ascii="Cambria" w:hAnsi="Cambria" w:eastAsia="宋体" w:cs="Angsana New"/>
      <w:b/>
      <w:bCs/>
      <w:color w:val="365F91"/>
      <w:sz w:val="28"/>
      <w:szCs w:val="28"/>
      <w:lang w:val="en-US" w:eastAsia="en-US" w:bidi="ar-SA"/>
    </w:rPr>
  </w:style>
  <w:style w:type="character" w:customStyle="1" w:styleId="250">
    <w:name w:val="标题 2 字符"/>
    <w:link w:val="4"/>
    <w:autoRedefine/>
    <w:qFormat/>
    <w:uiPriority w:val="0"/>
    <w:rPr>
      <w:rFonts w:ascii="Cambria" w:hAnsi="Cambria" w:eastAsia="宋体" w:cs="Times New Roman"/>
      <w:b/>
      <w:bCs/>
      <w:sz w:val="32"/>
      <w:szCs w:val="32"/>
      <w:lang w:eastAsia="en-US"/>
    </w:rPr>
  </w:style>
  <w:style w:type="character" w:customStyle="1" w:styleId="251">
    <w:name w:val="标题 3 字符"/>
    <w:link w:val="5"/>
    <w:autoRedefine/>
    <w:qFormat/>
    <w:uiPriority w:val="0"/>
    <w:rPr>
      <w:rFonts w:eastAsia="宋体"/>
      <w:sz w:val="24"/>
      <w:lang w:val="en-US" w:eastAsia="zh-CN" w:bidi="ar-SA"/>
    </w:rPr>
  </w:style>
  <w:style w:type="character" w:customStyle="1" w:styleId="252">
    <w:name w:val="标题 4 字符"/>
    <w:link w:val="6"/>
    <w:autoRedefine/>
    <w:qFormat/>
    <w:uiPriority w:val="0"/>
    <w:rPr>
      <w:rFonts w:ascii="Arial" w:hAnsi="Arial" w:eastAsia="宋体"/>
      <w:b/>
      <w:sz w:val="24"/>
      <w:lang w:val="en-US" w:eastAsia="zh-CN" w:bidi="ar-SA"/>
    </w:rPr>
  </w:style>
  <w:style w:type="character" w:customStyle="1" w:styleId="253">
    <w:name w:val="页眉 字符"/>
    <w:link w:val="57"/>
    <w:autoRedefine/>
    <w:qFormat/>
    <w:locked/>
    <w:uiPriority w:val="99"/>
    <w:rPr>
      <w:rFonts w:eastAsia="宋体"/>
      <w:kern w:val="2"/>
      <w:sz w:val="18"/>
      <w:szCs w:val="18"/>
      <w:lang w:val="en-US" w:eastAsia="zh-CN" w:bidi="ar-SA"/>
    </w:rPr>
  </w:style>
  <w:style w:type="character" w:customStyle="1" w:styleId="254">
    <w:name w:val="页脚 字符"/>
    <w:link w:val="55"/>
    <w:autoRedefine/>
    <w:qFormat/>
    <w:locked/>
    <w:uiPriority w:val="99"/>
    <w:rPr>
      <w:rFonts w:eastAsia="宋体"/>
      <w:kern w:val="2"/>
      <w:sz w:val="18"/>
      <w:szCs w:val="18"/>
      <w:lang w:val="en-US" w:eastAsia="zh-CN" w:bidi="ar-SA"/>
    </w:rPr>
  </w:style>
  <w:style w:type="paragraph" w:customStyle="1" w:styleId="255">
    <w:name w:val="author"/>
    <w:basedOn w:val="1"/>
    <w:next w:val="1"/>
    <w:autoRedefine/>
    <w:qFormat/>
    <w:uiPriority w:val="0"/>
    <w:pPr>
      <w:suppressAutoHyphens/>
      <w:overflowPunct w:val="0"/>
      <w:autoSpaceDE w:val="0"/>
      <w:autoSpaceDN w:val="0"/>
      <w:adjustRightInd w:val="0"/>
      <w:spacing w:before="480" w:after="220" w:line="240" w:lineRule="atLeast"/>
      <w:textAlignment w:val="baseline"/>
    </w:pPr>
    <w:rPr>
      <w:rFonts w:ascii="Times" w:hAnsi="Times"/>
      <w:b/>
      <w:sz w:val="20"/>
      <w:szCs w:val="20"/>
      <w:lang w:eastAsia="de-DE"/>
    </w:rPr>
  </w:style>
  <w:style w:type="paragraph" w:customStyle="1" w:styleId="256">
    <w:name w:val="List Paragraph1"/>
    <w:basedOn w:val="1"/>
    <w:autoRedefine/>
    <w:qFormat/>
    <w:uiPriority w:val="0"/>
    <w:pPr>
      <w:spacing w:after="200" w:line="276" w:lineRule="auto"/>
      <w:ind w:left="720"/>
    </w:pPr>
    <w:rPr>
      <w:rFonts w:ascii="Calibri" w:hAnsi="Calibri" w:cs="Cordia New"/>
      <w:sz w:val="22"/>
      <w:szCs w:val="22"/>
    </w:rPr>
  </w:style>
  <w:style w:type="character" w:customStyle="1" w:styleId="257">
    <w:name w:val="批注框文本 字符"/>
    <w:link w:val="54"/>
    <w:autoRedefine/>
    <w:semiHidden/>
    <w:qFormat/>
    <w:locked/>
    <w:uiPriority w:val="99"/>
    <w:rPr>
      <w:rFonts w:ascii="Tahoma" w:hAnsi="Tahoma" w:cs="Tahoma"/>
      <w:sz w:val="16"/>
      <w:szCs w:val="16"/>
      <w:lang w:eastAsia="en-US"/>
    </w:rPr>
  </w:style>
  <w:style w:type="paragraph" w:customStyle="1" w:styleId="258">
    <w:name w:val="Bibliography1"/>
    <w:basedOn w:val="1"/>
    <w:next w:val="1"/>
    <w:autoRedefine/>
    <w:qFormat/>
    <w:uiPriority w:val="0"/>
    <w:pPr>
      <w:spacing w:line="480" w:lineRule="auto"/>
    </w:pPr>
    <w:rPr>
      <w:rFonts w:eastAsia="Times New Roman"/>
    </w:rPr>
  </w:style>
  <w:style w:type="paragraph" w:customStyle="1" w:styleId="259">
    <w:name w:val="MTDisplayEquation"/>
    <w:basedOn w:val="1"/>
    <w:next w:val="1"/>
    <w:link w:val="260"/>
    <w:autoRedefine/>
    <w:qFormat/>
    <w:uiPriority w:val="0"/>
    <w:pPr>
      <w:tabs>
        <w:tab w:val="center" w:pos="4320"/>
        <w:tab w:val="right" w:pos="8640"/>
      </w:tabs>
      <w:autoSpaceDE w:val="0"/>
      <w:autoSpaceDN w:val="0"/>
      <w:adjustRightInd w:val="0"/>
    </w:pPr>
    <w:rPr>
      <w:rFonts w:cs="Angsana New"/>
      <w:color w:val="000000"/>
    </w:rPr>
  </w:style>
  <w:style w:type="character" w:customStyle="1" w:styleId="260">
    <w:name w:val="MTDisplayEquation Char"/>
    <w:link w:val="259"/>
    <w:autoRedefine/>
    <w:qFormat/>
    <w:uiPriority w:val="0"/>
    <w:rPr>
      <w:rFonts w:cs="Angsana New"/>
      <w:color w:val="000000"/>
      <w:sz w:val="24"/>
      <w:szCs w:val="24"/>
      <w:lang w:val="en-US" w:eastAsia="en-US" w:bidi="ar-SA"/>
    </w:rPr>
  </w:style>
  <w:style w:type="character" w:customStyle="1" w:styleId="261">
    <w:name w:val="Body Char"/>
    <w:link w:val="262"/>
    <w:autoRedefine/>
    <w:qFormat/>
    <w:uiPriority w:val="0"/>
    <w:rPr>
      <w:rFonts w:cs="Angsana New"/>
      <w:sz w:val="24"/>
      <w:lang w:val="en-US" w:eastAsia="en-US" w:bidi="ar-SA"/>
    </w:rPr>
  </w:style>
  <w:style w:type="paragraph" w:customStyle="1" w:styleId="262">
    <w:name w:val="Body"/>
    <w:link w:val="261"/>
    <w:autoRedefine/>
    <w:qFormat/>
    <w:uiPriority w:val="0"/>
    <w:pPr>
      <w:widowControl w:val="0"/>
      <w:overflowPunct w:val="0"/>
      <w:autoSpaceDE w:val="0"/>
      <w:autoSpaceDN w:val="0"/>
      <w:adjustRightInd w:val="0"/>
      <w:spacing w:line="280" w:lineRule="exact"/>
      <w:jc w:val="both"/>
      <w:textAlignment w:val="baseline"/>
    </w:pPr>
    <w:rPr>
      <w:rFonts w:ascii="Times New Roman" w:hAnsi="Times New Roman" w:eastAsia="宋体" w:cs="Angsana New"/>
      <w:sz w:val="24"/>
      <w:lang w:val="en-US" w:eastAsia="en-US" w:bidi="ar-SA"/>
    </w:rPr>
  </w:style>
  <w:style w:type="paragraph" w:customStyle="1" w:styleId="263">
    <w:name w:val="ref"/>
    <w:basedOn w:val="1"/>
    <w:autoRedefine/>
    <w:qFormat/>
    <w:uiPriority w:val="0"/>
    <w:pPr>
      <w:ind w:left="720" w:hanging="720"/>
    </w:pPr>
    <w:rPr>
      <w:rFonts w:eastAsia="MS Mincho" w:cs="Angsana New"/>
      <w:iCs/>
    </w:rPr>
  </w:style>
  <w:style w:type="character" w:customStyle="1" w:styleId="264">
    <w:name w:val="正文文本 字符"/>
    <w:link w:val="34"/>
    <w:autoRedefine/>
    <w:qFormat/>
    <w:locked/>
    <w:uiPriority w:val="0"/>
    <w:rPr>
      <w:rFonts w:eastAsia="宋体" w:cs="Angsana New"/>
      <w:sz w:val="24"/>
      <w:lang w:val="en-US" w:eastAsia="ko-KR" w:bidi="ar-SA"/>
    </w:rPr>
  </w:style>
  <w:style w:type="character" w:customStyle="1" w:styleId="265">
    <w:name w:val="批注文字 字符"/>
    <w:link w:val="28"/>
    <w:autoRedefine/>
    <w:qFormat/>
    <w:uiPriority w:val="99"/>
    <w:rPr>
      <w:rFonts w:ascii="Tahoma" w:hAnsi="Tahoma" w:cs="Tahoma"/>
      <w:sz w:val="16"/>
      <w:szCs w:val="24"/>
      <w:lang w:eastAsia="en-US"/>
    </w:rPr>
  </w:style>
  <w:style w:type="character" w:customStyle="1" w:styleId="266">
    <w:name w:val="au_base"/>
    <w:autoRedefine/>
    <w:qFormat/>
    <w:uiPriority w:val="0"/>
    <w:rPr>
      <w:sz w:val="21"/>
    </w:rPr>
  </w:style>
  <w:style w:type="character" w:customStyle="1" w:styleId="267">
    <w:name w:val="au_collab"/>
    <w:autoRedefine/>
    <w:qFormat/>
    <w:uiPriority w:val="0"/>
    <w:rPr>
      <w:sz w:val="21"/>
      <w:shd w:val="clear" w:color="auto" w:fill="C0C0C0"/>
    </w:rPr>
  </w:style>
  <w:style w:type="character" w:customStyle="1" w:styleId="268">
    <w:name w:val="au_deg"/>
    <w:uiPriority w:val="0"/>
    <w:rPr>
      <w:sz w:val="21"/>
      <w:shd w:val="clear" w:color="auto" w:fill="FFFF00"/>
    </w:rPr>
  </w:style>
  <w:style w:type="character" w:customStyle="1" w:styleId="269">
    <w:name w:val="au_fname"/>
    <w:autoRedefine/>
    <w:qFormat/>
    <w:uiPriority w:val="0"/>
    <w:rPr>
      <w:sz w:val="21"/>
      <w:shd w:val="clear" w:color="auto" w:fill="FFFFCC"/>
    </w:rPr>
  </w:style>
  <w:style w:type="character" w:customStyle="1" w:styleId="270">
    <w:name w:val="au_role"/>
    <w:autoRedefine/>
    <w:qFormat/>
    <w:uiPriority w:val="0"/>
    <w:rPr>
      <w:sz w:val="21"/>
      <w:shd w:val="clear" w:color="auto" w:fill="808000"/>
    </w:rPr>
  </w:style>
  <w:style w:type="character" w:customStyle="1" w:styleId="271">
    <w:name w:val="au_suffix"/>
    <w:autoRedefine/>
    <w:qFormat/>
    <w:uiPriority w:val="0"/>
    <w:rPr>
      <w:sz w:val="21"/>
      <w:shd w:val="clear" w:color="auto" w:fill="FF00FF"/>
    </w:rPr>
  </w:style>
  <w:style w:type="character" w:customStyle="1" w:styleId="272">
    <w:name w:val="au_surname"/>
    <w:autoRedefine/>
    <w:qFormat/>
    <w:uiPriority w:val="0"/>
    <w:rPr>
      <w:sz w:val="21"/>
      <w:shd w:val="clear" w:color="auto" w:fill="CCFF99"/>
    </w:rPr>
  </w:style>
  <w:style w:type="character" w:customStyle="1" w:styleId="273">
    <w:name w:val="cite_base"/>
    <w:autoRedefine/>
    <w:qFormat/>
    <w:uiPriority w:val="0"/>
    <w:rPr>
      <w:sz w:val="21"/>
    </w:rPr>
  </w:style>
  <w:style w:type="character" w:customStyle="1" w:styleId="274">
    <w:name w:val="cite_bib"/>
    <w:autoRedefine/>
    <w:qFormat/>
    <w:uiPriority w:val="0"/>
    <w:rPr>
      <w:sz w:val="21"/>
      <w:shd w:val="clear" w:color="auto" w:fill="CCFFFF"/>
    </w:rPr>
  </w:style>
  <w:style w:type="character" w:customStyle="1" w:styleId="275">
    <w:name w:val="cite_box"/>
    <w:basedOn w:val="273"/>
    <w:autoRedefine/>
    <w:qFormat/>
    <w:uiPriority w:val="0"/>
    <w:rPr>
      <w:sz w:val="21"/>
    </w:rPr>
  </w:style>
  <w:style w:type="character" w:customStyle="1" w:styleId="276">
    <w:name w:val="cite_eq"/>
    <w:autoRedefine/>
    <w:qFormat/>
    <w:uiPriority w:val="0"/>
    <w:rPr>
      <w:sz w:val="21"/>
      <w:shd w:val="clear" w:color="auto" w:fill="FF99CC"/>
    </w:rPr>
  </w:style>
  <w:style w:type="character" w:customStyle="1" w:styleId="277">
    <w:name w:val="cite_fig"/>
    <w:autoRedefine/>
    <w:qFormat/>
    <w:uiPriority w:val="0"/>
    <w:rPr>
      <w:color w:val="auto"/>
      <w:sz w:val="21"/>
      <w:shd w:val="clear" w:color="auto" w:fill="CCFFCC"/>
    </w:rPr>
  </w:style>
  <w:style w:type="character" w:customStyle="1" w:styleId="278">
    <w:name w:val="cite_fn"/>
    <w:autoRedefine/>
    <w:qFormat/>
    <w:uiPriority w:val="0"/>
    <w:rPr>
      <w:sz w:val="21"/>
      <w:shd w:val="clear" w:color="auto" w:fill="CC99FF"/>
    </w:rPr>
  </w:style>
  <w:style w:type="character" w:customStyle="1" w:styleId="279">
    <w:name w:val="cite_tbl"/>
    <w:autoRedefine/>
    <w:qFormat/>
    <w:uiPriority w:val="0"/>
    <w:rPr>
      <w:color w:val="auto"/>
      <w:sz w:val="21"/>
      <w:shd w:val="clear" w:color="auto" w:fill="FF9999"/>
    </w:rPr>
  </w:style>
  <w:style w:type="character" w:customStyle="1" w:styleId="280">
    <w:name w:val="cite_tfn"/>
    <w:autoRedefine/>
    <w:qFormat/>
    <w:uiPriority w:val="0"/>
    <w:rPr>
      <w:sz w:val="24"/>
      <w:shd w:val="clear" w:color="auto" w:fill="FBBA79"/>
    </w:rPr>
  </w:style>
  <w:style w:type="character" w:customStyle="1" w:styleId="281">
    <w:name w:val="bib_base"/>
    <w:autoRedefine/>
    <w:qFormat/>
    <w:uiPriority w:val="0"/>
    <w:rPr>
      <w:sz w:val="21"/>
    </w:rPr>
  </w:style>
  <w:style w:type="character" w:customStyle="1" w:styleId="282">
    <w:name w:val="bib_article"/>
    <w:autoRedefine/>
    <w:qFormat/>
    <w:uiPriority w:val="0"/>
    <w:rPr>
      <w:sz w:val="21"/>
      <w:shd w:val="clear" w:color="auto" w:fill="CCFFFF"/>
    </w:rPr>
  </w:style>
  <w:style w:type="character" w:customStyle="1" w:styleId="283">
    <w:name w:val="bib_comment"/>
    <w:basedOn w:val="281"/>
    <w:autoRedefine/>
    <w:qFormat/>
    <w:uiPriority w:val="0"/>
    <w:rPr>
      <w:sz w:val="21"/>
    </w:rPr>
  </w:style>
  <w:style w:type="character" w:customStyle="1" w:styleId="284">
    <w:name w:val="bib_deg"/>
    <w:basedOn w:val="281"/>
    <w:autoRedefine/>
    <w:qFormat/>
    <w:uiPriority w:val="0"/>
    <w:rPr>
      <w:sz w:val="21"/>
    </w:rPr>
  </w:style>
  <w:style w:type="character" w:customStyle="1" w:styleId="285">
    <w:name w:val="bib_doi"/>
    <w:autoRedefine/>
    <w:qFormat/>
    <w:uiPriority w:val="0"/>
    <w:rPr>
      <w:sz w:val="21"/>
      <w:shd w:val="clear" w:color="auto" w:fill="CCFFCC"/>
    </w:rPr>
  </w:style>
  <w:style w:type="character" w:customStyle="1" w:styleId="286">
    <w:name w:val="bib_etal"/>
    <w:autoRedefine/>
    <w:qFormat/>
    <w:uiPriority w:val="0"/>
    <w:rPr>
      <w:sz w:val="21"/>
      <w:shd w:val="clear" w:color="auto" w:fill="C9A6F8"/>
    </w:rPr>
  </w:style>
  <w:style w:type="character" w:customStyle="1" w:styleId="287">
    <w:name w:val="bib_fname"/>
    <w:autoRedefine/>
    <w:qFormat/>
    <w:uiPriority w:val="0"/>
    <w:rPr>
      <w:sz w:val="21"/>
      <w:shd w:val="clear" w:color="auto" w:fill="FFFFCC"/>
    </w:rPr>
  </w:style>
  <w:style w:type="character" w:customStyle="1" w:styleId="288">
    <w:name w:val="bib_fpage"/>
    <w:autoRedefine/>
    <w:qFormat/>
    <w:uiPriority w:val="0"/>
    <w:rPr>
      <w:sz w:val="21"/>
      <w:shd w:val="clear" w:color="auto" w:fill="E6E6E6"/>
    </w:rPr>
  </w:style>
  <w:style w:type="character" w:customStyle="1" w:styleId="289">
    <w:name w:val="bib_issue"/>
    <w:autoRedefine/>
    <w:qFormat/>
    <w:uiPriority w:val="0"/>
    <w:rPr>
      <w:sz w:val="21"/>
      <w:shd w:val="clear" w:color="auto" w:fill="FFFFAB"/>
    </w:rPr>
  </w:style>
  <w:style w:type="character" w:customStyle="1" w:styleId="290">
    <w:name w:val="bib_journal"/>
    <w:autoRedefine/>
    <w:qFormat/>
    <w:uiPriority w:val="0"/>
    <w:rPr>
      <w:sz w:val="21"/>
      <w:shd w:val="clear" w:color="auto" w:fill="F9DECF"/>
    </w:rPr>
  </w:style>
  <w:style w:type="character" w:customStyle="1" w:styleId="291">
    <w:name w:val="bib_lpage"/>
    <w:autoRedefine/>
    <w:qFormat/>
    <w:uiPriority w:val="0"/>
    <w:rPr>
      <w:sz w:val="21"/>
      <w:shd w:val="clear" w:color="auto" w:fill="D9D9D9"/>
    </w:rPr>
  </w:style>
  <w:style w:type="character" w:customStyle="1" w:styleId="292">
    <w:name w:val="bib_medline"/>
    <w:basedOn w:val="281"/>
    <w:autoRedefine/>
    <w:qFormat/>
    <w:uiPriority w:val="0"/>
    <w:rPr>
      <w:sz w:val="21"/>
    </w:rPr>
  </w:style>
  <w:style w:type="character" w:customStyle="1" w:styleId="293">
    <w:name w:val="bib_number"/>
    <w:autoRedefine/>
    <w:qFormat/>
    <w:uiPriority w:val="0"/>
    <w:rPr>
      <w:sz w:val="21"/>
      <w:shd w:val="clear" w:color="auto" w:fill="CCCCFF"/>
    </w:rPr>
  </w:style>
  <w:style w:type="character" w:customStyle="1" w:styleId="294">
    <w:name w:val="bib_organization"/>
    <w:autoRedefine/>
    <w:qFormat/>
    <w:uiPriority w:val="0"/>
    <w:rPr>
      <w:sz w:val="21"/>
      <w:shd w:val="clear" w:color="auto" w:fill="A884AE"/>
    </w:rPr>
  </w:style>
  <w:style w:type="character" w:customStyle="1" w:styleId="295">
    <w:name w:val="bib_suffix"/>
    <w:basedOn w:val="281"/>
    <w:autoRedefine/>
    <w:qFormat/>
    <w:uiPriority w:val="0"/>
    <w:rPr>
      <w:sz w:val="21"/>
    </w:rPr>
  </w:style>
  <w:style w:type="character" w:customStyle="1" w:styleId="296">
    <w:name w:val="bib_suppl"/>
    <w:autoRedefine/>
    <w:qFormat/>
    <w:uiPriority w:val="0"/>
    <w:rPr>
      <w:sz w:val="21"/>
      <w:shd w:val="clear" w:color="auto" w:fill="FFCC66"/>
    </w:rPr>
  </w:style>
  <w:style w:type="character" w:customStyle="1" w:styleId="297">
    <w:name w:val="bib_surname"/>
    <w:autoRedefine/>
    <w:qFormat/>
    <w:uiPriority w:val="0"/>
    <w:rPr>
      <w:sz w:val="21"/>
      <w:shd w:val="clear" w:color="auto" w:fill="CCFF99"/>
    </w:rPr>
  </w:style>
  <w:style w:type="character" w:customStyle="1" w:styleId="298">
    <w:name w:val="bib_unpubl"/>
    <w:basedOn w:val="281"/>
    <w:autoRedefine/>
    <w:qFormat/>
    <w:uiPriority w:val="0"/>
    <w:rPr>
      <w:sz w:val="21"/>
    </w:rPr>
  </w:style>
  <w:style w:type="character" w:customStyle="1" w:styleId="299">
    <w:name w:val="bib_url"/>
    <w:autoRedefine/>
    <w:qFormat/>
    <w:uiPriority w:val="0"/>
    <w:rPr>
      <w:sz w:val="21"/>
      <w:shd w:val="clear" w:color="auto" w:fill="CCFF66"/>
    </w:rPr>
  </w:style>
  <w:style w:type="character" w:customStyle="1" w:styleId="300">
    <w:name w:val="bib_volume"/>
    <w:autoRedefine/>
    <w:qFormat/>
    <w:uiPriority w:val="0"/>
    <w:rPr>
      <w:sz w:val="21"/>
      <w:shd w:val="clear" w:color="auto" w:fill="CCECFF"/>
    </w:rPr>
  </w:style>
  <w:style w:type="character" w:customStyle="1" w:styleId="301">
    <w:name w:val="bib_year"/>
    <w:autoRedefine/>
    <w:qFormat/>
    <w:uiPriority w:val="0"/>
    <w:rPr>
      <w:sz w:val="21"/>
      <w:shd w:val="clear" w:color="auto" w:fill="FFCCFF"/>
    </w:rPr>
  </w:style>
  <w:style w:type="paragraph" w:customStyle="1" w:styleId="302">
    <w:name w:val="Base_Heading"/>
    <w:autoRedefine/>
    <w:qFormat/>
    <w:uiPriority w:val="0"/>
    <w:pPr>
      <w:keepNext/>
      <w:spacing w:before="240"/>
      <w:outlineLvl w:val="0"/>
    </w:pPr>
    <w:rPr>
      <w:rFonts w:ascii="Times New Roman" w:hAnsi="Times New Roman" w:eastAsia="宋体" w:cs="Times New Roman"/>
      <w:kern w:val="28"/>
      <w:sz w:val="36"/>
      <w:szCs w:val="28"/>
      <w:lang w:val="en-US" w:eastAsia="en-US" w:bidi="ar-SA"/>
    </w:rPr>
  </w:style>
  <w:style w:type="paragraph" w:customStyle="1" w:styleId="303">
    <w:name w:val="Base_Text"/>
    <w:link w:val="495"/>
    <w:autoRedefine/>
    <w:qFormat/>
    <w:uiPriority w:val="0"/>
    <w:pPr>
      <w:spacing w:before="120"/>
    </w:pPr>
    <w:rPr>
      <w:rFonts w:ascii="Times New Roman" w:hAnsi="Times New Roman" w:eastAsia="宋体" w:cs="Times New Roman"/>
      <w:sz w:val="24"/>
      <w:szCs w:val="24"/>
      <w:lang w:val="en-US" w:eastAsia="en-US" w:bidi="ar-SA"/>
    </w:rPr>
  </w:style>
  <w:style w:type="paragraph" w:customStyle="1" w:styleId="304">
    <w:name w:val="htitle"/>
    <w:basedOn w:val="302"/>
    <w:autoRedefine/>
    <w:qFormat/>
    <w:uiPriority w:val="0"/>
    <w:rPr>
      <w:szCs w:val="20"/>
    </w:rPr>
  </w:style>
  <w:style w:type="paragraph" w:customStyle="1" w:styleId="305">
    <w:name w:val="hsubtitle"/>
    <w:basedOn w:val="302"/>
    <w:autoRedefine/>
    <w:qFormat/>
    <w:uiPriority w:val="0"/>
    <w:rPr>
      <w:sz w:val="24"/>
      <w:szCs w:val="20"/>
    </w:rPr>
  </w:style>
  <w:style w:type="paragraph" w:customStyle="1" w:styleId="306">
    <w:name w:val="hrrunninghead-foot"/>
    <w:basedOn w:val="303"/>
    <w:autoRedefine/>
    <w:qFormat/>
    <w:uiPriority w:val="0"/>
    <w:pPr>
      <w:jc w:val="center"/>
    </w:pPr>
    <w:rPr>
      <w:sz w:val="21"/>
      <w:szCs w:val="20"/>
    </w:rPr>
  </w:style>
  <w:style w:type="paragraph" w:customStyle="1" w:styleId="307">
    <w:name w:val="hlrunninghead-foot"/>
    <w:basedOn w:val="303"/>
    <w:autoRedefine/>
    <w:qFormat/>
    <w:uiPriority w:val="0"/>
    <w:pPr>
      <w:jc w:val="center"/>
    </w:pPr>
    <w:rPr>
      <w:sz w:val="21"/>
      <w:szCs w:val="20"/>
    </w:rPr>
  </w:style>
  <w:style w:type="paragraph" w:customStyle="1" w:styleId="308">
    <w:name w:val="h1stpagehead"/>
    <w:basedOn w:val="302"/>
    <w:autoRedefine/>
    <w:qFormat/>
    <w:uiPriority w:val="0"/>
    <w:rPr>
      <w:sz w:val="21"/>
      <w:szCs w:val="20"/>
    </w:rPr>
  </w:style>
  <w:style w:type="paragraph" w:customStyle="1" w:styleId="309">
    <w:name w:val="hauthors"/>
    <w:basedOn w:val="303"/>
    <w:autoRedefine/>
    <w:qFormat/>
    <w:uiPriority w:val="0"/>
    <w:rPr>
      <w:sz w:val="21"/>
      <w:szCs w:val="20"/>
    </w:rPr>
  </w:style>
  <w:style w:type="paragraph" w:customStyle="1" w:styleId="310">
    <w:name w:val="haffiliations"/>
    <w:basedOn w:val="303"/>
    <w:autoRedefine/>
    <w:qFormat/>
    <w:uiPriority w:val="0"/>
    <w:rPr>
      <w:sz w:val="21"/>
      <w:szCs w:val="20"/>
    </w:rPr>
  </w:style>
  <w:style w:type="paragraph" w:customStyle="1" w:styleId="311">
    <w:name w:val="hcorrespondence"/>
    <w:basedOn w:val="303"/>
    <w:autoRedefine/>
    <w:qFormat/>
    <w:uiPriority w:val="0"/>
    <w:rPr>
      <w:sz w:val="21"/>
      <w:szCs w:val="20"/>
    </w:rPr>
  </w:style>
  <w:style w:type="paragraph" w:customStyle="1" w:styleId="312">
    <w:name w:val="habstracthead"/>
    <w:basedOn w:val="302"/>
    <w:autoRedefine/>
    <w:qFormat/>
    <w:uiPriority w:val="0"/>
    <w:rPr>
      <w:b/>
      <w:sz w:val="21"/>
      <w:szCs w:val="20"/>
    </w:rPr>
  </w:style>
  <w:style w:type="paragraph" w:customStyle="1" w:styleId="313">
    <w:name w:val="habstract"/>
    <w:basedOn w:val="303"/>
    <w:autoRedefine/>
    <w:qFormat/>
    <w:uiPriority w:val="0"/>
    <w:rPr>
      <w:sz w:val="21"/>
      <w:szCs w:val="20"/>
    </w:rPr>
  </w:style>
  <w:style w:type="paragraph" w:customStyle="1" w:styleId="314">
    <w:name w:val="hkeywords"/>
    <w:basedOn w:val="303"/>
    <w:link w:val="496"/>
    <w:autoRedefine/>
    <w:qFormat/>
    <w:uiPriority w:val="0"/>
    <w:rPr>
      <w:sz w:val="21"/>
      <w:szCs w:val="20"/>
    </w:rPr>
  </w:style>
  <w:style w:type="paragraph" w:customStyle="1" w:styleId="315">
    <w:name w:val="habbreviations"/>
    <w:basedOn w:val="303"/>
    <w:autoRedefine/>
    <w:qFormat/>
    <w:uiPriority w:val="0"/>
    <w:rPr>
      <w:sz w:val="21"/>
      <w:szCs w:val="20"/>
    </w:rPr>
  </w:style>
  <w:style w:type="paragraph" w:customStyle="1" w:styleId="316">
    <w:name w:val="hfootnote"/>
    <w:basedOn w:val="303"/>
    <w:autoRedefine/>
    <w:qFormat/>
    <w:uiPriority w:val="0"/>
    <w:rPr>
      <w:sz w:val="21"/>
      <w:szCs w:val="20"/>
    </w:rPr>
  </w:style>
  <w:style w:type="paragraph" w:customStyle="1" w:styleId="317">
    <w:name w:val="hhead1"/>
    <w:basedOn w:val="302"/>
    <w:autoRedefine/>
    <w:qFormat/>
    <w:uiPriority w:val="0"/>
    <w:rPr>
      <w:sz w:val="32"/>
      <w:szCs w:val="20"/>
    </w:rPr>
  </w:style>
  <w:style w:type="paragraph" w:customStyle="1" w:styleId="318">
    <w:name w:val="hhead2"/>
    <w:basedOn w:val="302"/>
    <w:autoRedefine/>
    <w:qFormat/>
    <w:uiPriority w:val="0"/>
    <w:pPr>
      <w:outlineLvl w:val="1"/>
    </w:pPr>
    <w:rPr>
      <w:sz w:val="28"/>
      <w:szCs w:val="20"/>
    </w:rPr>
  </w:style>
  <w:style w:type="paragraph" w:customStyle="1" w:styleId="319">
    <w:name w:val="hhead3"/>
    <w:basedOn w:val="302"/>
    <w:autoRedefine/>
    <w:qFormat/>
    <w:uiPriority w:val="0"/>
    <w:pPr>
      <w:outlineLvl w:val="2"/>
    </w:pPr>
    <w:rPr>
      <w:sz w:val="24"/>
      <w:szCs w:val="20"/>
    </w:rPr>
  </w:style>
  <w:style w:type="paragraph" w:customStyle="1" w:styleId="320">
    <w:name w:val="hparagraph"/>
    <w:basedOn w:val="303"/>
    <w:autoRedefine/>
    <w:qFormat/>
    <w:uiPriority w:val="0"/>
    <w:rPr>
      <w:sz w:val="21"/>
      <w:szCs w:val="20"/>
    </w:rPr>
  </w:style>
  <w:style w:type="paragraph" w:customStyle="1" w:styleId="321">
    <w:name w:val="hparagraphindent"/>
    <w:basedOn w:val="303"/>
    <w:autoRedefine/>
    <w:qFormat/>
    <w:uiPriority w:val="0"/>
    <w:pPr>
      <w:ind w:firstLine="100" w:firstLineChars="100"/>
    </w:pPr>
    <w:rPr>
      <w:sz w:val="21"/>
      <w:szCs w:val="20"/>
    </w:rPr>
  </w:style>
  <w:style w:type="paragraph" w:customStyle="1" w:styleId="322">
    <w:name w:val="hparagraphconti"/>
    <w:basedOn w:val="303"/>
    <w:autoRedefine/>
    <w:qFormat/>
    <w:uiPriority w:val="0"/>
    <w:rPr>
      <w:sz w:val="21"/>
      <w:szCs w:val="20"/>
    </w:rPr>
  </w:style>
  <w:style w:type="paragraph" w:customStyle="1" w:styleId="323">
    <w:name w:val="hemphasisshading"/>
    <w:basedOn w:val="303"/>
    <w:autoRedefine/>
    <w:qFormat/>
    <w:uiPriority w:val="0"/>
    <w:pPr>
      <w:shd w:val="clear" w:color="auto" w:fill="C0C0C0"/>
    </w:pPr>
    <w:rPr>
      <w:sz w:val="21"/>
      <w:szCs w:val="20"/>
    </w:rPr>
  </w:style>
  <w:style w:type="paragraph" w:customStyle="1" w:styleId="324">
    <w:name w:val="hequation"/>
    <w:basedOn w:val="303"/>
    <w:autoRedefine/>
    <w:qFormat/>
    <w:uiPriority w:val="0"/>
    <w:pPr>
      <w:jc w:val="center"/>
    </w:pPr>
    <w:rPr>
      <w:sz w:val="21"/>
      <w:szCs w:val="20"/>
    </w:rPr>
  </w:style>
  <w:style w:type="paragraph" w:customStyle="1" w:styleId="325">
    <w:name w:val="hequationno"/>
    <w:basedOn w:val="303"/>
    <w:autoRedefine/>
    <w:qFormat/>
    <w:uiPriority w:val="0"/>
    <w:pPr>
      <w:jc w:val="right"/>
    </w:pPr>
    <w:rPr>
      <w:sz w:val="21"/>
      <w:szCs w:val="20"/>
    </w:rPr>
  </w:style>
  <w:style w:type="paragraph" w:customStyle="1" w:styleId="326">
    <w:name w:val="hunnumberedlist"/>
    <w:basedOn w:val="303"/>
    <w:autoRedefine/>
    <w:qFormat/>
    <w:uiPriority w:val="0"/>
    <w:pPr>
      <w:ind w:left="720" w:hanging="360"/>
    </w:pPr>
    <w:rPr>
      <w:sz w:val="21"/>
      <w:szCs w:val="20"/>
    </w:rPr>
  </w:style>
  <w:style w:type="paragraph" w:customStyle="1" w:styleId="327">
    <w:name w:val="hbulletedlist"/>
    <w:basedOn w:val="303"/>
    <w:autoRedefine/>
    <w:qFormat/>
    <w:uiPriority w:val="0"/>
    <w:pPr>
      <w:ind w:left="720" w:hanging="360"/>
    </w:pPr>
    <w:rPr>
      <w:sz w:val="21"/>
      <w:szCs w:val="20"/>
    </w:rPr>
  </w:style>
  <w:style w:type="paragraph" w:customStyle="1" w:styleId="328">
    <w:name w:val="hnumberedlist1"/>
    <w:basedOn w:val="303"/>
    <w:autoRedefine/>
    <w:qFormat/>
    <w:uiPriority w:val="0"/>
    <w:pPr>
      <w:ind w:left="720" w:hanging="360"/>
    </w:pPr>
    <w:rPr>
      <w:sz w:val="21"/>
    </w:rPr>
  </w:style>
  <w:style w:type="paragraph" w:customStyle="1" w:styleId="329">
    <w:name w:val="htabletitle"/>
    <w:basedOn w:val="303"/>
    <w:autoRedefine/>
    <w:qFormat/>
    <w:uiPriority w:val="0"/>
    <w:pPr>
      <w:keepNext/>
      <w:spacing w:before="240"/>
      <w:outlineLvl w:val="0"/>
    </w:pPr>
    <w:rPr>
      <w:kern w:val="28"/>
      <w:sz w:val="18"/>
      <w:szCs w:val="20"/>
    </w:rPr>
  </w:style>
  <w:style w:type="paragraph" w:customStyle="1" w:styleId="330">
    <w:name w:val="htablebody"/>
    <w:basedOn w:val="303"/>
    <w:autoRedefine/>
    <w:qFormat/>
    <w:uiPriority w:val="0"/>
    <w:pPr>
      <w:spacing w:before="0"/>
    </w:pPr>
    <w:rPr>
      <w:sz w:val="18"/>
      <w:szCs w:val="20"/>
    </w:rPr>
  </w:style>
  <w:style w:type="paragraph" w:customStyle="1" w:styleId="331">
    <w:name w:val="htablehead"/>
    <w:basedOn w:val="303"/>
    <w:autoRedefine/>
    <w:qFormat/>
    <w:uiPriority w:val="0"/>
    <w:pPr>
      <w:spacing w:before="0"/>
    </w:pPr>
    <w:rPr>
      <w:sz w:val="18"/>
      <w:szCs w:val="20"/>
    </w:rPr>
  </w:style>
  <w:style w:type="paragraph" w:customStyle="1" w:styleId="332">
    <w:name w:val="htablefootnote"/>
    <w:basedOn w:val="303"/>
    <w:autoRedefine/>
    <w:qFormat/>
    <w:uiPriority w:val="0"/>
    <w:pPr>
      <w:ind w:left="720"/>
    </w:pPr>
    <w:rPr>
      <w:sz w:val="18"/>
      <w:szCs w:val="20"/>
    </w:rPr>
  </w:style>
  <w:style w:type="paragraph" w:customStyle="1" w:styleId="333">
    <w:name w:val="htablelegend"/>
    <w:basedOn w:val="303"/>
    <w:autoRedefine/>
    <w:qFormat/>
    <w:uiPriority w:val="0"/>
    <w:pPr>
      <w:ind w:left="720"/>
    </w:pPr>
    <w:rPr>
      <w:sz w:val="18"/>
      <w:szCs w:val="20"/>
    </w:rPr>
  </w:style>
  <w:style w:type="paragraph" w:customStyle="1" w:styleId="334">
    <w:name w:val="hacknowledgmenthead"/>
    <w:basedOn w:val="302"/>
    <w:autoRedefine/>
    <w:qFormat/>
    <w:uiPriority w:val="0"/>
    <w:rPr>
      <w:sz w:val="24"/>
      <w:szCs w:val="20"/>
    </w:rPr>
  </w:style>
  <w:style w:type="paragraph" w:customStyle="1" w:styleId="335">
    <w:name w:val="hacknowledgment"/>
    <w:basedOn w:val="303"/>
    <w:autoRedefine/>
    <w:qFormat/>
    <w:uiPriority w:val="0"/>
    <w:rPr>
      <w:sz w:val="21"/>
      <w:szCs w:val="20"/>
    </w:rPr>
  </w:style>
  <w:style w:type="paragraph" w:customStyle="1" w:styleId="336">
    <w:name w:val="happendixhead"/>
    <w:basedOn w:val="302"/>
    <w:autoRedefine/>
    <w:qFormat/>
    <w:uiPriority w:val="0"/>
    <w:rPr>
      <w:sz w:val="32"/>
      <w:szCs w:val="20"/>
    </w:rPr>
  </w:style>
  <w:style w:type="paragraph" w:customStyle="1" w:styleId="337">
    <w:name w:val="happendixtext"/>
    <w:basedOn w:val="303"/>
    <w:autoRedefine/>
    <w:qFormat/>
    <w:uiPriority w:val="0"/>
    <w:rPr>
      <w:sz w:val="21"/>
      <w:szCs w:val="20"/>
    </w:rPr>
  </w:style>
  <w:style w:type="paragraph" w:customStyle="1" w:styleId="338">
    <w:name w:val="hreferencehead"/>
    <w:basedOn w:val="302"/>
    <w:autoRedefine/>
    <w:qFormat/>
    <w:uiPriority w:val="0"/>
    <w:rPr>
      <w:b/>
      <w:sz w:val="24"/>
      <w:szCs w:val="20"/>
    </w:rPr>
  </w:style>
  <w:style w:type="paragraph" w:customStyle="1" w:styleId="339">
    <w:name w:val="hreference"/>
    <w:basedOn w:val="303"/>
    <w:autoRedefine/>
    <w:qFormat/>
    <w:uiPriority w:val="0"/>
    <w:rPr>
      <w:sz w:val="17"/>
      <w:szCs w:val="20"/>
    </w:rPr>
  </w:style>
  <w:style w:type="paragraph" w:customStyle="1" w:styleId="340">
    <w:name w:val="hcontinuedlist1"/>
    <w:basedOn w:val="303"/>
    <w:autoRedefine/>
    <w:qFormat/>
    <w:uiPriority w:val="0"/>
    <w:pPr>
      <w:ind w:left="720"/>
    </w:pPr>
    <w:rPr>
      <w:sz w:val="21"/>
    </w:rPr>
  </w:style>
  <w:style w:type="paragraph" w:customStyle="1" w:styleId="341">
    <w:name w:val="hfigurecaption"/>
    <w:basedOn w:val="303"/>
    <w:autoRedefine/>
    <w:qFormat/>
    <w:uiPriority w:val="0"/>
    <w:pPr>
      <w:outlineLvl w:val="0"/>
    </w:pPr>
    <w:rPr>
      <w:sz w:val="18"/>
      <w:szCs w:val="20"/>
    </w:rPr>
  </w:style>
  <w:style w:type="paragraph" w:customStyle="1" w:styleId="342">
    <w:name w:val="hfigureimage"/>
    <w:basedOn w:val="303"/>
    <w:autoRedefine/>
    <w:qFormat/>
    <w:uiPriority w:val="0"/>
    <w:pPr>
      <w:jc w:val="center"/>
    </w:pPr>
  </w:style>
  <w:style w:type="paragraph" w:customStyle="1" w:styleId="343">
    <w:name w:val="hfigurecaptioncontinued"/>
    <w:basedOn w:val="341"/>
    <w:autoRedefine/>
    <w:qFormat/>
    <w:uiPriority w:val="0"/>
    <w:pPr>
      <w:spacing w:before="60"/>
      <w:outlineLvl w:val="9"/>
    </w:pPr>
  </w:style>
  <w:style w:type="paragraph" w:customStyle="1" w:styleId="344">
    <w:name w:val="hcomputercode"/>
    <w:basedOn w:val="303"/>
    <w:autoRedefine/>
    <w:qFormat/>
    <w:uiPriority w:val="0"/>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345">
    <w:name w:val="hhead4"/>
    <w:basedOn w:val="302"/>
    <w:autoRedefine/>
    <w:qFormat/>
    <w:uiPriority w:val="0"/>
    <w:pPr>
      <w:outlineLvl w:val="3"/>
    </w:pPr>
    <w:rPr>
      <w:sz w:val="22"/>
    </w:rPr>
  </w:style>
  <w:style w:type="paragraph" w:customStyle="1" w:styleId="346">
    <w:name w:val="hkeywordshead P&amp;C"/>
    <w:basedOn w:val="347"/>
    <w:autoRedefine/>
    <w:qFormat/>
    <w:uiPriority w:val="0"/>
    <w:rPr>
      <w:b/>
      <w:caps/>
    </w:rPr>
  </w:style>
  <w:style w:type="paragraph" w:customStyle="1" w:styleId="347">
    <w:name w:val="hkeywords P&amp;C"/>
    <w:basedOn w:val="314"/>
    <w:autoRedefine/>
    <w:qFormat/>
    <w:uiPriority w:val="0"/>
    <w:rPr>
      <w:rFonts w:eastAsia="Times New Roman"/>
      <w:lang w:eastAsia="zh-CN"/>
    </w:rPr>
  </w:style>
  <w:style w:type="paragraph" w:customStyle="1" w:styleId="348">
    <w:name w:val="hhead1 P&amp;C"/>
    <w:basedOn w:val="317"/>
    <w:autoRedefine/>
    <w:qFormat/>
    <w:uiPriority w:val="0"/>
    <w:rPr>
      <w:rFonts w:eastAsia="黑体"/>
      <w:b/>
      <w:caps/>
    </w:rPr>
  </w:style>
  <w:style w:type="paragraph" w:customStyle="1" w:styleId="349">
    <w:name w:val="hhead2 P&amp;C"/>
    <w:basedOn w:val="318"/>
    <w:autoRedefine/>
    <w:qFormat/>
    <w:uiPriority w:val="0"/>
    <w:rPr>
      <w:rFonts w:eastAsia="黑体"/>
      <w:b/>
      <w:lang w:eastAsia="zh-CN"/>
    </w:rPr>
  </w:style>
  <w:style w:type="paragraph" w:customStyle="1" w:styleId="350">
    <w:name w:val="habstract P&amp;C"/>
    <w:basedOn w:val="313"/>
    <w:autoRedefine/>
    <w:qFormat/>
    <w:uiPriority w:val="0"/>
    <w:rPr>
      <w:rFonts w:eastAsia="黑体"/>
      <w:b/>
    </w:rPr>
  </w:style>
  <w:style w:type="paragraph" w:customStyle="1" w:styleId="351">
    <w:name w:val="hreferencehead P&amp;C"/>
    <w:basedOn w:val="350"/>
    <w:autoRedefine/>
    <w:qFormat/>
    <w:uiPriority w:val="0"/>
    <w:rPr>
      <w:caps/>
    </w:rPr>
  </w:style>
  <w:style w:type="paragraph" w:customStyle="1" w:styleId="352">
    <w:name w:val="hacknowledgmenthead P&amp;C"/>
    <w:basedOn w:val="351"/>
    <w:autoRedefine/>
    <w:qFormat/>
    <w:uiPriority w:val="0"/>
    <w:rPr>
      <w:caps w:val="0"/>
      <w:lang w:eastAsia="zh-CN"/>
    </w:rPr>
  </w:style>
  <w:style w:type="paragraph" w:customStyle="1" w:styleId="353">
    <w:name w:val="habstracthead P&amp;C"/>
    <w:basedOn w:val="312"/>
    <w:autoRedefine/>
    <w:qFormat/>
    <w:uiPriority w:val="0"/>
    <w:rPr>
      <w:caps/>
    </w:rPr>
  </w:style>
  <w:style w:type="paragraph" w:customStyle="1" w:styleId="354">
    <w:name w:val="hcorrespondence FPY"/>
    <w:basedOn w:val="311"/>
    <w:autoRedefine/>
    <w:qFormat/>
    <w:uiPriority w:val="0"/>
    <w:rPr>
      <w:i/>
    </w:rPr>
  </w:style>
  <w:style w:type="paragraph" w:customStyle="1" w:styleId="355">
    <w:name w:val="haffiliations FPY"/>
    <w:basedOn w:val="310"/>
    <w:autoRedefine/>
    <w:qFormat/>
    <w:uiPriority w:val="0"/>
    <w:rPr>
      <w:i/>
    </w:rPr>
  </w:style>
  <w:style w:type="paragraph" w:customStyle="1" w:styleId="356">
    <w:name w:val="hnotationhead"/>
    <w:basedOn w:val="317"/>
    <w:autoRedefine/>
    <w:qFormat/>
    <w:uiPriority w:val="0"/>
    <w:rPr>
      <w:lang w:eastAsia="zh-CN"/>
    </w:rPr>
  </w:style>
  <w:style w:type="paragraph" w:customStyle="1" w:styleId="357">
    <w:name w:val="hnotationtext"/>
    <w:basedOn w:val="320"/>
    <w:autoRedefine/>
    <w:qFormat/>
    <w:uiPriority w:val="0"/>
    <w:rPr>
      <w:sz w:val="18"/>
      <w:lang w:eastAsia="zh-CN"/>
    </w:rPr>
  </w:style>
  <w:style w:type="paragraph" w:customStyle="1" w:styleId="358">
    <w:name w:val="htitle FMD"/>
    <w:basedOn w:val="304"/>
    <w:autoRedefine/>
    <w:qFormat/>
    <w:uiPriority w:val="0"/>
    <w:rPr>
      <w:rFonts w:eastAsia="黑体"/>
      <w:b/>
      <w:lang w:eastAsia="zh-CN"/>
    </w:rPr>
  </w:style>
  <w:style w:type="paragraph" w:customStyle="1" w:styleId="359">
    <w:name w:val="hhead1 FMD"/>
    <w:basedOn w:val="317"/>
    <w:autoRedefine/>
    <w:qFormat/>
    <w:uiPriority w:val="0"/>
    <w:rPr>
      <w:b/>
      <w:sz w:val="24"/>
    </w:rPr>
  </w:style>
  <w:style w:type="paragraph" w:customStyle="1" w:styleId="360">
    <w:name w:val="hhead2 FMD"/>
    <w:basedOn w:val="318"/>
    <w:autoRedefine/>
    <w:qFormat/>
    <w:uiPriority w:val="0"/>
    <w:rPr>
      <w:sz w:val="20"/>
    </w:rPr>
  </w:style>
  <w:style w:type="paragraph" w:customStyle="1" w:styleId="361">
    <w:name w:val="hhead3 FMD"/>
    <w:basedOn w:val="319"/>
    <w:autoRedefine/>
    <w:qFormat/>
    <w:uiPriority w:val="0"/>
    <w:rPr>
      <w:i/>
      <w:sz w:val="20"/>
    </w:rPr>
  </w:style>
  <w:style w:type="paragraph" w:customStyle="1" w:styleId="362">
    <w:name w:val="hauthors FMD"/>
    <w:basedOn w:val="309"/>
    <w:autoRedefine/>
    <w:qFormat/>
    <w:uiPriority w:val="0"/>
    <w:rPr>
      <w:sz w:val="20"/>
    </w:rPr>
  </w:style>
  <w:style w:type="paragraph" w:customStyle="1" w:styleId="363">
    <w:name w:val="haffiliations FMD"/>
    <w:basedOn w:val="310"/>
    <w:autoRedefine/>
    <w:qFormat/>
    <w:uiPriority w:val="0"/>
    <w:rPr>
      <w:i/>
      <w:sz w:val="18"/>
    </w:rPr>
  </w:style>
  <w:style w:type="paragraph" w:customStyle="1" w:styleId="364">
    <w:name w:val="habstract FMD"/>
    <w:basedOn w:val="313"/>
    <w:autoRedefine/>
    <w:qFormat/>
    <w:uiPriority w:val="0"/>
    <w:pPr>
      <w:jc w:val="both"/>
    </w:pPr>
    <w:rPr>
      <w:b/>
    </w:rPr>
  </w:style>
  <w:style w:type="paragraph" w:customStyle="1" w:styleId="365">
    <w:name w:val="hkeywords FMD"/>
    <w:basedOn w:val="364"/>
    <w:autoRedefine/>
    <w:qFormat/>
    <w:uiPriority w:val="0"/>
    <w:pPr>
      <w:jc w:val="left"/>
    </w:pPr>
    <w:rPr>
      <w:b w:val="0"/>
      <w:sz w:val="20"/>
    </w:rPr>
  </w:style>
  <w:style w:type="paragraph" w:customStyle="1" w:styleId="366">
    <w:name w:val="hfootnote FMD"/>
    <w:basedOn w:val="316"/>
    <w:autoRedefine/>
    <w:qFormat/>
    <w:uiPriority w:val="0"/>
    <w:rPr>
      <w:sz w:val="17"/>
    </w:rPr>
  </w:style>
  <w:style w:type="paragraph" w:customStyle="1" w:styleId="367">
    <w:name w:val="hparagraph FMD"/>
    <w:basedOn w:val="320"/>
    <w:autoRedefine/>
    <w:qFormat/>
    <w:uiPriority w:val="0"/>
    <w:pPr>
      <w:jc w:val="both"/>
    </w:pPr>
    <w:rPr>
      <w:sz w:val="20"/>
    </w:rPr>
  </w:style>
  <w:style w:type="paragraph" w:customStyle="1" w:styleId="368">
    <w:name w:val="hparagraphindent FMD"/>
    <w:basedOn w:val="321"/>
    <w:autoRedefine/>
    <w:qFormat/>
    <w:uiPriority w:val="0"/>
    <w:pPr>
      <w:jc w:val="both"/>
    </w:pPr>
    <w:rPr>
      <w:sz w:val="20"/>
    </w:rPr>
  </w:style>
  <w:style w:type="paragraph" w:customStyle="1" w:styleId="369">
    <w:name w:val="htabletitle FMD"/>
    <w:basedOn w:val="329"/>
    <w:autoRedefine/>
    <w:qFormat/>
    <w:uiPriority w:val="0"/>
    <w:rPr>
      <w:sz w:val="17"/>
    </w:rPr>
  </w:style>
  <w:style w:type="paragraph" w:customStyle="1" w:styleId="370">
    <w:name w:val="htablebody FMD"/>
    <w:basedOn w:val="330"/>
    <w:autoRedefine/>
    <w:qFormat/>
    <w:uiPriority w:val="0"/>
    <w:rPr>
      <w:sz w:val="16"/>
    </w:rPr>
  </w:style>
  <w:style w:type="paragraph" w:customStyle="1" w:styleId="371">
    <w:name w:val="htablehead FMD"/>
    <w:basedOn w:val="331"/>
    <w:autoRedefine/>
    <w:qFormat/>
    <w:uiPriority w:val="0"/>
    <w:rPr>
      <w:sz w:val="16"/>
    </w:rPr>
  </w:style>
  <w:style w:type="paragraph" w:customStyle="1" w:styleId="372">
    <w:name w:val="hfigurecaption FMD"/>
    <w:basedOn w:val="341"/>
    <w:autoRedefine/>
    <w:qFormat/>
    <w:uiPriority w:val="0"/>
    <w:rPr>
      <w:sz w:val="17"/>
    </w:rPr>
  </w:style>
  <w:style w:type="paragraph" w:customStyle="1" w:styleId="373">
    <w:name w:val="hacknowledgment FMD"/>
    <w:basedOn w:val="335"/>
    <w:autoRedefine/>
    <w:qFormat/>
    <w:uiPriority w:val="0"/>
    <w:rPr>
      <w:sz w:val="18"/>
    </w:rPr>
  </w:style>
  <w:style w:type="paragraph" w:customStyle="1" w:styleId="374">
    <w:name w:val="hreference FMD"/>
    <w:basedOn w:val="339"/>
    <w:autoRedefine/>
    <w:qFormat/>
    <w:uiPriority w:val="0"/>
  </w:style>
  <w:style w:type="paragraph" w:customStyle="1" w:styleId="375">
    <w:name w:val="habbreviations FMD"/>
    <w:basedOn w:val="315"/>
    <w:autoRedefine/>
    <w:qFormat/>
    <w:uiPriority w:val="0"/>
    <w:rPr>
      <w:sz w:val="18"/>
    </w:rPr>
  </w:style>
  <w:style w:type="paragraph" w:customStyle="1" w:styleId="376">
    <w:name w:val="hreferencehead FMD"/>
    <w:basedOn w:val="338"/>
    <w:autoRedefine/>
    <w:qFormat/>
    <w:uiPriority w:val="0"/>
  </w:style>
  <w:style w:type="paragraph" w:customStyle="1" w:styleId="377">
    <w:name w:val="hacknowledgmenthead FMD"/>
    <w:basedOn w:val="334"/>
    <w:autoRedefine/>
    <w:qFormat/>
    <w:uiPriority w:val="0"/>
    <w:rPr>
      <w:b/>
    </w:rPr>
  </w:style>
  <w:style w:type="character" w:customStyle="1" w:styleId="378">
    <w:name w:val="标题 字符"/>
    <w:link w:val="84"/>
    <w:autoRedefine/>
    <w:qFormat/>
    <w:uiPriority w:val="0"/>
    <w:rPr>
      <w:rFonts w:ascii="Cambria" w:hAnsi="Cambria" w:cs="Times New Roman"/>
      <w:b/>
      <w:bCs/>
      <w:sz w:val="32"/>
      <w:szCs w:val="32"/>
      <w:lang w:eastAsia="en-US"/>
    </w:rPr>
  </w:style>
  <w:style w:type="paragraph" w:customStyle="1" w:styleId="379">
    <w:name w:val="authadd"/>
    <w:basedOn w:val="1"/>
    <w:autoRedefine/>
    <w:qFormat/>
    <w:uiPriority w:val="0"/>
    <w:pPr>
      <w:spacing w:line="240" w:lineRule="exact"/>
    </w:pPr>
    <w:rPr>
      <w:szCs w:val="20"/>
      <w:lang w:val="en-GB" w:eastAsia="zh-CN"/>
    </w:rPr>
  </w:style>
  <w:style w:type="paragraph" w:customStyle="1" w:styleId="380">
    <w:name w:val="题注1"/>
    <w:basedOn w:val="34"/>
    <w:autoRedefine/>
    <w:qFormat/>
    <w:uiPriority w:val="0"/>
    <w:pPr>
      <w:widowControl w:val="0"/>
      <w:tabs>
        <w:tab w:val="clear" w:pos="720"/>
        <w:tab w:val="clear" w:pos="1296"/>
      </w:tabs>
      <w:suppressAutoHyphens/>
      <w:spacing w:before="120" w:after="120" w:line="240" w:lineRule="exact"/>
    </w:pPr>
    <w:rPr>
      <w:rFonts w:eastAsia="Times" w:cs="Times New Roman"/>
      <w:i/>
      <w:kern w:val="20"/>
      <w:lang w:val="en-GB" w:eastAsia="zh-CN"/>
    </w:rPr>
  </w:style>
  <w:style w:type="paragraph" w:customStyle="1" w:styleId="381">
    <w:name w:val="References"/>
    <w:basedOn w:val="34"/>
    <w:autoRedefine/>
    <w:qFormat/>
    <w:uiPriority w:val="0"/>
    <w:pPr>
      <w:widowControl w:val="0"/>
      <w:numPr>
        <w:ilvl w:val="0"/>
        <w:numId w:val="11"/>
      </w:numPr>
      <w:tabs>
        <w:tab w:val="clear" w:pos="720"/>
        <w:tab w:val="clear" w:pos="1296"/>
      </w:tabs>
      <w:suppressAutoHyphens/>
      <w:spacing w:after="120" w:line="240" w:lineRule="exact"/>
    </w:pPr>
    <w:rPr>
      <w:rFonts w:eastAsia="Times" w:cs="Times New Roman"/>
      <w:kern w:val="20"/>
      <w:lang w:val="en-GB" w:eastAsia="zh-CN"/>
    </w:rPr>
  </w:style>
  <w:style w:type="paragraph" w:customStyle="1" w:styleId="382">
    <w:name w:val="第1章参考文献"/>
    <w:autoRedefine/>
    <w:qFormat/>
    <w:uiPriority w:val="0"/>
    <w:pPr>
      <w:numPr>
        <w:ilvl w:val="0"/>
        <w:numId w:val="12"/>
      </w:numPr>
      <w:spacing w:before="120"/>
      <w:jc w:val="both"/>
    </w:pPr>
    <w:rPr>
      <w:rFonts w:ascii="Times New Roman" w:hAnsi="Times New Roman" w:eastAsia="宋体" w:cs="Times New Roman"/>
      <w:kern w:val="2"/>
      <w:sz w:val="21"/>
      <w:szCs w:val="21"/>
      <w:lang w:val="en-US" w:eastAsia="zh-CN" w:bidi="ar-SA"/>
    </w:rPr>
  </w:style>
  <w:style w:type="paragraph" w:customStyle="1" w:styleId="383">
    <w:name w:val="Equation"/>
    <w:basedOn w:val="34"/>
    <w:autoRedefine/>
    <w:qFormat/>
    <w:uiPriority w:val="0"/>
    <w:pPr>
      <w:widowControl w:val="0"/>
      <w:tabs>
        <w:tab w:val="right" w:pos="9469"/>
        <w:tab w:val="clear" w:pos="720"/>
        <w:tab w:val="clear" w:pos="1296"/>
      </w:tabs>
      <w:suppressAutoHyphens/>
      <w:spacing w:before="300" w:after="300"/>
      <w:jc w:val="both"/>
    </w:pPr>
    <w:rPr>
      <w:rFonts w:eastAsia="Times" w:cs="Times New Roman"/>
      <w:color w:val="000000"/>
      <w:kern w:val="20"/>
      <w:sz w:val="22"/>
      <w:szCs w:val="24"/>
      <w:lang w:eastAsia="zh-CN"/>
    </w:rPr>
  </w:style>
  <w:style w:type="paragraph" w:customStyle="1" w:styleId="384">
    <w:name w:val="keywords"/>
    <w:basedOn w:val="34"/>
    <w:autoRedefine/>
    <w:qFormat/>
    <w:uiPriority w:val="0"/>
    <w:pPr>
      <w:widowControl w:val="0"/>
      <w:tabs>
        <w:tab w:val="clear" w:pos="720"/>
        <w:tab w:val="clear" w:pos="1296"/>
      </w:tabs>
      <w:suppressAutoHyphens/>
      <w:spacing w:before="120"/>
      <w:ind w:left="1134" w:hanging="1134"/>
      <w:jc w:val="both"/>
    </w:pPr>
    <w:rPr>
      <w:rFonts w:eastAsia="Times" w:cs="Times New Roman"/>
      <w:color w:val="000000"/>
      <w:kern w:val="20"/>
      <w:sz w:val="22"/>
      <w:szCs w:val="24"/>
      <w:lang w:eastAsia="zh-CN"/>
    </w:rPr>
  </w:style>
  <w:style w:type="paragraph" w:customStyle="1" w:styleId="385">
    <w:name w:val="Simple"/>
    <w:basedOn w:val="1"/>
    <w:autoRedefine/>
    <w:qFormat/>
    <w:uiPriority w:val="0"/>
    <w:pPr>
      <w:spacing w:line="240" w:lineRule="exact"/>
    </w:pPr>
    <w:rPr>
      <w:szCs w:val="20"/>
      <w:lang w:eastAsia="zh-CN"/>
    </w:rPr>
  </w:style>
  <w:style w:type="paragraph" w:customStyle="1" w:styleId="386">
    <w:name w:val="authname"/>
    <w:basedOn w:val="1"/>
    <w:autoRedefine/>
    <w:qFormat/>
    <w:uiPriority w:val="0"/>
    <w:pPr>
      <w:spacing w:line="240" w:lineRule="exact"/>
    </w:pPr>
    <w:rPr>
      <w:b/>
      <w:szCs w:val="20"/>
      <w:lang w:eastAsia="zh-CN"/>
    </w:rPr>
  </w:style>
  <w:style w:type="paragraph" w:customStyle="1" w:styleId="387">
    <w:name w:val="authdata"/>
    <w:basedOn w:val="1"/>
    <w:autoRedefine/>
    <w:qFormat/>
    <w:uiPriority w:val="0"/>
    <w:pPr>
      <w:widowControl w:val="0"/>
      <w:suppressAutoHyphens/>
      <w:spacing w:line="200" w:lineRule="exact"/>
    </w:pPr>
    <w:rPr>
      <w:sz w:val="20"/>
      <w:szCs w:val="20"/>
      <w:lang w:eastAsia="zh-CN"/>
    </w:rPr>
  </w:style>
  <w:style w:type="paragraph" w:customStyle="1" w:styleId="388">
    <w:name w:val="SummaryHead"/>
    <w:basedOn w:val="1"/>
    <w:autoRedefine/>
    <w:qFormat/>
    <w:uiPriority w:val="0"/>
    <w:pPr>
      <w:spacing w:after="120" w:line="280" w:lineRule="exact"/>
    </w:pPr>
    <w:rPr>
      <w:b/>
      <w:sz w:val="28"/>
      <w:szCs w:val="20"/>
      <w:lang w:eastAsia="zh-CN"/>
    </w:rPr>
  </w:style>
  <w:style w:type="paragraph" w:customStyle="1" w:styleId="389">
    <w:name w:val="Caption1"/>
    <w:basedOn w:val="34"/>
    <w:autoRedefine/>
    <w:qFormat/>
    <w:uiPriority w:val="0"/>
    <w:pPr>
      <w:widowControl w:val="0"/>
      <w:tabs>
        <w:tab w:val="clear" w:pos="720"/>
        <w:tab w:val="clear" w:pos="1296"/>
      </w:tabs>
      <w:suppressAutoHyphens/>
      <w:spacing w:before="120"/>
      <w:jc w:val="both"/>
    </w:pPr>
    <w:rPr>
      <w:rFonts w:eastAsia="Times" w:cs="Times New Roman"/>
      <w:i/>
      <w:color w:val="000000"/>
      <w:kern w:val="20"/>
      <w:sz w:val="22"/>
      <w:szCs w:val="24"/>
      <w:lang w:eastAsia="zh-CN"/>
    </w:rPr>
  </w:style>
  <w:style w:type="paragraph" w:customStyle="1" w:styleId="390">
    <w:name w:val="graphic"/>
    <w:basedOn w:val="34"/>
    <w:autoRedefine/>
    <w:qFormat/>
    <w:uiPriority w:val="0"/>
    <w:pPr>
      <w:widowControl w:val="0"/>
      <w:tabs>
        <w:tab w:val="clear" w:pos="720"/>
        <w:tab w:val="clear" w:pos="1296"/>
      </w:tabs>
      <w:suppressAutoHyphens/>
      <w:spacing w:before="120"/>
      <w:jc w:val="both"/>
    </w:pPr>
    <w:rPr>
      <w:rFonts w:eastAsia="Times" w:cs="Times New Roman"/>
      <w:color w:val="000000"/>
      <w:kern w:val="20"/>
      <w:sz w:val="22"/>
      <w:szCs w:val="24"/>
      <w:lang w:eastAsia="zh-CN"/>
    </w:rPr>
  </w:style>
  <w:style w:type="paragraph" w:customStyle="1" w:styleId="391">
    <w:name w:val="正文表格图名"/>
    <w:link w:val="392"/>
    <w:autoRedefine/>
    <w:qFormat/>
    <w:uiPriority w:val="0"/>
    <w:pPr>
      <w:spacing w:after="200" w:line="276" w:lineRule="auto"/>
      <w:jc w:val="center"/>
    </w:pPr>
    <w:rPr>
      <w:rFonts w:ascii="Calibri" w:hAnsi="Calibri" w:eastAsia="宋体" w:cs="Times New Roman"/>
      <w:kern w:val="2"/>
      <w:sz w:val="21"/>
      <w:szCs w:val="21"/>
      <w:lang w:val="en-US" w:eastAsia="zh-CN" w:bidi="ar-SA"/>
    </w:rPr>
  </w:style>
  <w:style w:type="character" w:customStyle="1" w:styleId="392">
    <w:name w:val="正文表格图名 Char1"/>
    <w:link w:val="391"/>
    <w:autoRedefine/>
    <w:qFormat/>
    <w:uiPriority w:val="0"/>
    <w:rPr>
      <w:rFonts w:ascii="Calibri" w:hAnsi="Calibri"/>
      <w:kern w:val="2"/>
      <w:sz w:val="21"/>
      <w:szCs w:val="21"/>
      <w:lang w:val="en-US" w:eastAsia="zh-CN" w:bidi="ar-SA"/>
    </w:rPr>
  </w:style>
  <w:style w:type="paragraph" w:customStyle="1" w:styleId="393">
    <w:name w:val="正文首行缩进1"/>
    <w:basedOn w:val="34"/>
    <w:autoRedefine/>
    <w:qFormat/>
    <w:uiPriority w:val="0"/>
    <w:pPr>
      <w:tabs>
        <w:tab w:val="clear" w:pos="720"/>
        <w:tab w:val="clear" w:pos="1296"/>
      </w:tabs>
      <w:autoSpaceDE w:val="0"/>
      <w:autoSpaceDN w:val="0"/>
      <w:spacing w:after="120"/>
      <w:ind w:firstLine="420" w:firstLineChars="100"/>
      <w:jc w:val="both"/>
    </w:pPr>
    <w:rPr>
      <w:rFonts w:cs="Times New Roman"/>
      <w:spacing w:val="-3"/>
      <w:sz w:val="22"/>
      <w:lang w:eastAsia="en-US"/>
    </w:rPr>
  </w:style>
  <w:style w:type="paragraph" w:customStyle="1" w:styleId="394">
    <w:name w:val="author affiliation"/>
    <w:basedOn w:val="1"/>
    <w:next w:val="1"/>
    <w:autoRedefine/>
    <w:qFormat/>
    <w:uiPriority w:val="0"/>
    <w:pPr>
      <w:widowControl w:val="0"/>
      <w:autoSpaceDE w:val="0"/>
      <w:autoSpaceDN w:val="0"/>
      <w:adjustRightInd w:val="0"/>
    </w:pPr>
    <w:rPr>
      <w:sz w:val="20"/>
    </w:rPr>
  </w:style>
  <w:style w:type="character" w:customStyle="1" w:styleId="395">
    <w:name w:val="Char Char7"/>
    <w:autoRedefine/>
    <w:qFormat/>
    <w:locked/>
    <w:uiPriority w:val="0"/>
    <w:rPr>
      <w:rFonts w:ascii="Cambria" w:hAnsi="Cambria" w:eastAsia="宋体" w:cs="Angsana New"/>
      <w:b/>
      <w:bCs/>
      <w:color w:val="365F91"/>
      <w:sz w:val="28"/>
      <w:szCs w:val="28"/>
      <w:lang w:val="en-US" w:eastAsia="en-US" w:bidi="ar-SA"/>
    </w:rPr>
  </w:style>
  <w:style w:type="character" w:customStyle="1" w:styleId="396">
    <w:name w:val="Char Char6"/>
    <w:autoRedefine/>
    <w:semiHidden/>
    <w:qFormat/>
    <w:locked/>
    <w:uiPriority w:val="0"/>
    <w:rPr>
      <w:rFonts w:ascii="Cambria" w:hAnsi="Cambria" w:eastAsia="宋体" w:cs="Times New Roman"/>
      <w:b/>
      <w:bCs/>
      <w:sz w:val="32"/>
      <w:szCs w:val="32"/>
      <w:lang w:val="zh-CN" w:eastAsia="en-US"/>
    </w:rPr>
  </w:style>
  <w:style w:type="character" w:customStyle="1" w:styleId="397">
    <w:name w:val="Char Char5"/>
    <w:autoRedefine/>
    <w:qFormat/>
    <w:locked/>
    <w:uiPriority w:val="0"/>
    <w:rPr>
      <w:rFonts w:eastAsia="宋体" w:cs="Times New Roman"/>
      <w:kern w:val="2"/>
      <w:sz w:val="18"/>
      <w:szCs w:val="18"/>
      <w:lang w:val="en-US" w:eastAsia="zh-CN" w:bidi="ar-SA"/>
    </w:rPr>
  </w:style>
  <w:style w:type="character" w:customStyle="1" w:styleId="398">
    <w:name w:val="Char Char4"/>
    <w:autoRedefine/>
    <w:semiHidden/>
    <w:qFormat/>
    <w:locked/>
    <w:uiPriority w:val="0"/>
    <w:rPr>
      <w:rFonts w:eastAsia="宋体" w:cs="Times New Roman"/>
      <w:kern w:val="2"/>
      <w:sz w:val="18"/>
      <w:szCs w:val="18"/>
      <w:lang w:val="en-US" w:eastAsia="zh-CN" w:bidi="ar-SA"/>
    </w:rPr>
  </w:style>
  <w:style w:type="character" w:customStyle="1" w:styleId="399">
    <w:name w:val="Char Char2"/>
    <w:autoRedefine/>
    <w:qFormat/>
    <w:locked/>
    <w:uiPriority w:val="0"/>
    <w:rPr>
      <w:rFonts w:eastAsia="宋体" w:cs="Angsana New"/>
      <w:sz w:val="24"/>
      <w:lang w:val="en-US" w:eastAsia="ko-KR" w:bidi="ar-SA"/>
    </w:rPr>
  </w:style>
  <w:style w:type="character" w:customStyle="1" w:styleId="400">
    <w:name w:val="Char Char1"/>
    <w:autoRedefine/>
    <w:qFormat/>
    <w:locked/>
    <w:uiPriority w:val="0"/>
    <w:rPr>
      <w:sz w:val="24"/>
      <w:lang w:val="zh-CN" w:eastAsia="en-US"/>
    </w:rPr>
  </w:style>
  <w:style w:type="character" w:customStyle="1" w:styleId="401">
    <w:name w:val="Char Char11"/>
    <w:autoRedefine/>
    <w:qFormat/>
    <w:uiPriority w:val="0"/>
    <w:rPr>
      <w:rFonts w:ascii="Times New Roman" w:hAnsi="Times New Roman" w:eastAsia="Times New Roman"/>
      <w:b/>
      <w:bCs/>
      <w:kern w:val="44"/>
      <w:sz w:val="24"/>
      <w:szCs w:val="24"/>
    </w:rPr>
  </w:style>
  <w:style w:type="character" w:customStyle="1" w:styleId="402">
    <w:name w:val="Char Char10"/>
    <w:autoRedefine/>
    <w:qFormat/>
    <w:uiPriority w:val="0"/>
    <w:rPr>
      <w:rFonts w:ascii="Times New Roman" w:hAnsi="Times New Roman" w:eastAsia="Times New Roman"/>
      <w:bCs/>
      <w:i/>
      <w:kern w:val="2"/>
      <w:sz w:val="24"/>
      <w:szCs w:val="24"/>
    </w:rPr>
  </w:style>
  <w:style w:type="paragraph" w:customStyle="1" w:styleId="403">
    <w:name w:val="Author"/>
    <w:basedOn w:val="1"/>
    <w:autoRedefine/>
    <w:qFormat/>
    <w:uiPriority w:val="0"/>
    <w:pPr>
      <w:widowControl w:val="0"/>
      <w:spacing w:line="480" w:lineRule="auto"/>
      <w:jc w:val="center"/>
    </w:pPr>
    <w:rPr>
      <w:rFonts w:eastAsia="Times New Roman"/>
      <w:kern w:val="2"/>
      <w:sz w:val="21"/>
      <w:szCs w:val="22"/>
      <w:lang w:eastAsia="zh-CN"/>
    </w:rPr>
  </w:style>
  <w:style w:type="paragraph" w:customStyle="1" w:styleId="404">
    <w:name w:val="Author Info"/>
    <w:basedOn w:val="1"/>
    <w:autoRedefine/>
    <w:qFormat/>
    <w:uiPriority w:val="0"/>
    <w:pPr>
      <w:widowControl w:val="0"/>
      <w:tabs>
        <w:tab w:val="left" w:pos="1680"/>
      </w:tabs>
      <w:spacing w:line="360" w:lineRule="auto"/>
      <w:jc w:val="both"/>
    </w:pPr>
    <w:rPr>
      <w:rFonts w:eastAsia="Times New Roman"/>
      <w:kern w:val="2"/>
      <w:sz w:val="18"/>
      <w:szCs w:val="18"/>
      <w:lang w:eastAsia="zh-CN"/>
    </w:rPr>
  </w:style>
  <w:style w:type="paragraph" w:customStyle="1" w:styleId="405">
    <w:name w:val="列出段落"/>
    <w:basedOn w:val="1"/>
    <w:autoRedefine/>
    <w:qFormat/>
    <w:uiPriority w:val="0"/>
    <w:pPr>
      <w:widowControl w:val="0"/>
      <w:spacing w:line="480" w:lineRule="auto"/>
      <w:ind w:firstLine="420" w:firstLineChars="200"/>
      <w:jc w:val="both"/>
    </w:pPr>
    <w:rPr>
      <w:rFonts w:eastAsia="Times New Roman"/>
      <w:kern w:val="2"/>
      <w:sz w:val="21"/>
      <w:szCs w:val="22"/>
      <w:lang w:eastAsia="zh-CN"/>
    </w:rPr>
  </w:style>
  <w:style w:type="character" w:customStyle="1" w:styleId="406">
    <w:name w:val="MTEquationSection"/>
    <w:autoRedefine/>
    <w:qFormat/>
    <w:uiPriority w:val="0"/>
    <w:rPr>
      <w:vanish/>
      <w:color w:val="FF0000"/>
    </w:rPr>
  </w:style>
  <w:style w:type="paragraph" w:customStyle="1" w:styleId="407">
    <w:name w:val="Subbody"/>
    <w:basedOn w:val="1"/>
    <w:autoRedefine/>
    <w:qFormat/>
    <w:uiPriority w:val="0"/>
    <w:pPr>
      <w:widowControl w:val="0"/>
      <w:spacing w:line="480" w:lineRule="auto"/>
      <w:jc w:val="both"/>
    </w:pPr>
    <w:rPr>
      <w:kern w:val="2"/>
      <w:szCs w:val="22"/>
      <w:lang w:eastAsia="zh-CN"/>
    </w:rPr>
  </w:style>
  <w:style w:type="character" w:customStyle="1" w:styleId="408">
    <w:name w:val="Char Char73"/>
    <w:autoRedefine/>
    <w:qFormat/>
    <w:locked/>
    <w:uiPriority w:val="0"/>
    <w:rPr>
      <w:rFonts w:ascii="Cambria" w:hAnsi="Cambria" w:eastAsia="宋体" w:cs="Angsana New"/>
      <w:b/>
      <w:bCs/>
      <w:color w:val="365F91"/>
      <w:sz w:val="28"/>
      <w:szCs w:val="28"/>
      <w:lang w:val="en-US" w:eastAsia="en-US" w:bidi="ar-SA"/>
    </w:rPr>
  </w:style>
  <w:style w:type="character" w:customStyle="1" w:styleId="409">
    <w:name w:val="Char Char9"/>
    <w:autoRedefine/>
    <w:qFormat/>
    <w:locked/>
    <w:uiPriority w:val="0"/>
    <w:rPr>
      <w:rFonts w:eastAsia="宋体"/>
      <w:sz w:val="24"/>
      <w:lang w:val="en-US" w:eastAsia="zh-CN"/>
    </w:rPr>
  </w:style>
  <w:style w:type="character" w:customStyle="1" w:styleId="410">
    <w:name w:val="Char Char8"/>
    <w:autoRedefine/>
    <w:semiHidden/>
    <w:qFormat/>
    <w:locked/>
    <w:uiPriority w:val="0"/>
    <w:rPr>
      <w:rFonts w:ascii="Arial" w:hAnsi="Arial" w:eastAsia="宋体"/>
      <w:b/>
      <w:sz w:val="24"/>
      <w:lang w:val="en-US" w:eastAsia="zh-CN"/>
    </w:rPr>
  </w:style>
  <w:style w:type="character" w:customStyle="1" w:styleId="411">
    <w:name w:val="Char Char3"/>
    <w:autoRedefine/>
    <w:semiHidden/>
    <w:qFormat/>
    <w:locked/>
    <w:uiPriority w:val="0"/>
    <w:rPr>
      <w:rFonts w:ascii="Tahoma" w:hAnsi="Tahoma" w:cs="Tahoma"/>
      <w:sz w:val="16"/>
      <w:szCs w:val="16"/>
      <w:lang w:val="en-US" w:eastAsia="en-US" w:bidi="ar-SA"/>
    </w:rPr>
  </w:style>
  <w:style w:type="character" w:customStyle="1" w:styleId="412">
    <w:name w:val="Char Char"/>
    <w:autoRedefine/>
    <w:qFormat/>
    <w:locked/>
    <w:uiPriority w:val="0"/>
    <w:rPr>
      <w:rFonts w:ascii="Cambria" w:hAnsi="Cambria" w:cs="Times New Roman"/>
      <w:b/>
      <w:bCs/>
      <w:sz w:val="32"/>
      <w:szCs w:val="32"/>
      <w:lang w:val="zh-CN" w:eastAsia="en-US"/>
    </w:rPr>
  </w:style>
  <w:style w:type="character" w:customStyle="1" w:styleId="413">
    <w:name w:val="Char Char71"/>
    <w:autoRedefine/>
    <w:qFormat/>
    <w:locked/>
    <w:uiPriority w:val="0"/>
    <w:rPr>
      <w:rFonts w:ascii="Cambria" w:hAnsi="Cambria" w:eastAsia="宋体" w:cs="Angsana New"/>
      <w:b/>
      <w:bCs/>
      <w:color w:val="365F91"/>
      <w:sz w:val="28"/>
      <w:szCs w:val="28"/>
      <w:lang w:val="en-US" w:eastAsia="en-US" w:bidi="ar-SA"/>
    </w:rPr>
  </w:style>
  <w:style w:type="character" w:customStyle="1" w:styleId="414">
    <w:name w:val="Char Char61"/>
    <w:autoRedefine/>
    <w:semiHidden/>
    <w:qFormat/>
    <w:locked/>
    <w:uiPriority w:val="0"/>
    <w:rPr>
      <w:rFonts w:ascii="Cambria" w:hAnsi="Cambria" w:eastAsia="宋体" w:cs="Times New Roman"/>
      <w:b/>
      <w:bCs/>
      <w:sz w:val="32"/>
      <w:szCs w:val="32"/>
      <w:lang w:val="zh-CN" w:eastAsia="en-US"/>
    </w:rPr>
  </w:style>
  <w:style w:type="character" w:customStyle="1" w:styleId="415">
    <w:name w:val="Char Char51"/>
    <w:autoRedefine/>
    <w:qFormat/>
    <w:locked/>
    <w:uiPriority w:val="0"/>
    <w:rPr>
      <w:rFonts w:eastAsia="宋体" w:cs="Times New Roman"/>
      <w:kern w:val="2"/>
      <w:sz w:val="18"/>
      <w:szCs w:val="18"/>
      <w:lang w:val="en-US" w:eastAsia="zh-CN" w:bidi="ar-SA"/>
    </w:rPr>
  </w:style>
  <w:style w:type="character" w:customStyle="1" w:styleId="416">
    <w:name w:val="Char Char41"/>
    <w:autoRedefine/>
    <w:semiHidden/>
    <w:qFormat/>
    <w:locked/>
    <w:uiPriority w:val="0"/>
    <w:rPr>
      <w:rFonts w:eastAsia="宋体" w:cs="Times New Roman"/>
      <w:kern w:val="2"/>
      <w:sz w:val="18"/>
      <w:szCs w:val="18"/>
      <w:lang w:val="en-US" w:eastAsia="zh-CN" w:bidi="ar-SA"/>
    </w:rPr>
  </w:style>
  <w:style w:type="character" w:customStyle="1" w:styleId="417">
    <w:name w:val="Char Char21"/>
    <w:autoRedefine/>
    <w:qFormat/>
    <w:locked/>
    <w:uiPriority w:val="0"/>
    <w:rPr>
      <w:rFonts w:eastAsia="宋体" w:cs="Angsana New"/>
      <w:sz w:val="24"/>
      <w:lang w:val="en-US" w:eastAsia="ko-KR" w:bidi="ar-SA"/>
    </w:rPr>
  </w:style>
  <w:style w:type="character" w:customStyle="1" w:styleId="418">
    <w:name w:val="Char Char12"/>
    <w:autoRedefine/>
    <w:qFormat/>
    <w:locked/>
    <w:uiPriority w:val="0"/>
    <w:rPr>
      <w:sz w:val="24"/>
      <w:lang w:val="zh-CN" w:eastAsia="en-US"/>
    </w:rPr>
  </w:style>
  <w:style w:type="character" w:customStyle="1" w:styleId="419">
    <w:name w:val="Char Char11_0"/>
    <w:autoRedefine/>
    <w:qFormat/>
    <w:uiPriority w:val="0"/>
    <w:rPr>
      <w:rFonts w:ascii="Times New Roman" w:hAnsi="Times New Roman" w:eastAsia="Times New Roman"/>
      <w:b/>
      <w:kern w:val="44"/>
      <w:sz w:val="24"/>
    </w:rPr>
  </w:style>
  <w:style w:type="character" w:customStyle="1" w:styleId="420">
    <w:name w:val="Char Char10_0"/>
    <w:autoRedefine/>
    <w:qFormat/>
    <w:uiPriority w:val="0"/>
    <w:rPr>
      <w:rFonts w:ascii="Times New Roman" w:hAnsi="Times New Roman" w:eastAsia="Times New Roman"/>
      <w:i/>
      <w:kern w:val="2"/>
      <w:sz w:val="24"/>
    </w:rPr>
  </w:style>
  <w:style w:type="character" w:customStyle="1" w:styleId="421">
    <w:name w:val="Char Char72"/>
    <w:autoRedefine/>
    <w:qFormat/>
    <w:locked/>
    <w:uiPriority w:val="0"/>
    <w:rPr>
      <w:rFonts w:ascii="Cambria" w:hAnsi="Cambria" w:eastAsia="宋体" w:cs="Angsana New"/>
      <w:b/>
      <w:bCs/>
      <w:color w:val="365F91"/>
      <w:sz w:val="28"/>
      <w:szCs w:val="28"/>
      <w:lang w:val="en-US" w:eastAsia="en-US" w:bidi="ar-SA"/>
    </w:rPr>
  </w:style>
  <w:style w:type="character" w:customStyle="1" w:styleId="422">
    <w:name w:val="Char Char62"/>
    <w:autoRedefine/>
    <w:semiHidden/>
    <w:qFormat/>
    <w:locked/>
    <w:uiPriority w:val="0"/>
    <w:rPr>
      <w:rFonts w:ascii="Cambria" w:hAnsi="Cambria" w:eastAsia="宋体" w:cs="Times New Roman"/>
      <w:b/>
      <w:bCs/>
      <w:sz w:val="32"/>
      <w:szCs w:val="32"/>
      <w:lang w:val="zh-CN" w:eastAsia="en-US"/>
    </w:rPr>
  </w:style>
  <w:style w:type="character" w:customStyle="1" w:styleId="423">
    <w:name w:val="Char Char52"/>
    <w:autoRedefine/>
    <w:qFormat/>
    <w:locked/>
    <w:uiPriority w:val="0"/>
    <w:rPr>
      <w:rFonts w:eastAsia="宋体" w:cs="Times New Roman"/>
      <w:kern w:val="2"/>
      <w:sz w:val="18"/>
      <w:szCs w:val="18"/>
      <w:lang w:val="en-US" w:eastAsia="zh-CN" w:bidi="ar-SA"/>
    </w:rPr>
  </w:style>
  <w:style w:type="character" w:customStyle="1" w:styleId="424">
    <w:name w:val="Char Char42"/>
    <w:autoRedefine/>
    <w:semiHidden/>
    <w:qFormat/>
    <w:locked/>
    <w:uiPriority w:val="0"/>
    <w:rPr>
      <w:rFonts w:eastAsia="宋体" w:cs="Times New Roman"/>
      <w:kern w:val="2"/>
      <w:sz w:val="18"/>
      <w:szCs w:val="18"/>
      <w:lang w:val="en-US" w:eastAsia="zh-CN" w:bidi="ar-SA"/>
    </w:rPr>
  </w:style>
  <w:style w:type="character" w:customStyle="1" w:styleId="425">
    <w:name w:val="Char Char22"/>
    <w:locked/>
    <w:uiPriority w:val="0"/>
    <w:rPr>
      <w:rFonts w:eastAsia="宋体" w:cs="Angsana New"/>
      <w:sz w:val="24"/>
      <w:lang w:val="en-US" w:eastAsia="ko-KR" w:bidi="ar-SA"/>
    </w:rPr>
  </w:style>
  <w:style w:type="character" w:customStyle="1" w:styleId="426">
    <w:name w:val="Char Char14"/>
    <w:autoRedefine/>
    <w:qFormat/>
    <w:locked/>
    <w:uiPriority w:val="0"/>
    <w:rPr>
      <w:sz w:val="24"/>
      <w:lang w:val="zh-CN" w:eastAsia="en-US"/>
    </w:rPr>
  </w:style>
  <w:style w:type="character" w:customStyle="1" w:styleId="427">
    <w:name w:val="Char Char91"/>
    <w:autoRedefine/>
    <w:qFormat/>
    <w:locked/>
    <w:uiPriority w:val="0"/>
    <w:rPr>
      <w:rFonts w:eastAsia="宋体"/>
      <w:sz w:val="24"/>
      <w:lang w:val="en-US" w:eastAsia="zh-CN"/>
    </w:rPr>
  </w:style>
  <w:style w:type="character" w:customStyle="1" w:styleId="428">
    <w:name w:val="Char Char81"/>
    <w:autoRedefine/>
    <w:semiHidden/>
    <w:qFormat/>
    <w:locked/>
    <w:uiPriority w:val="0"/>
    <w:rPr>
      <w:rFonts w:ascii="Arial" w:hAnsi="Arial" w:eastAsia="宋体"/>
      <w:b/>
      <w:sz w:val="24"/>
      <w:lang w:val="en-US" w:eastAsia="zh-CN"/>
    </w:rPr>
  </w:style>
  <w:style w:type="character" w:customStyle="1" w:styleId="429">
    <w:name w:val="Char Char31"/>
    <w:autoRedefine/>
    <w:semiHidden/>
    <w:qFormat/>
    <w:locked/>
    <w:uiPriority w:val="0"/>
    <w:rPr>
      <w:rFonts w:ascii="Tahoma" w:hAnsi="Tahoma" w:cs="Tahoma"/>
      <w:sz w:val="16"/>
      <w:szCs w:val="16"/>
      <w:lang w:val="en-US" w:eastAsia="en-US" w:bidi="ar-SA"/>
    </w:rPr>
  </w:style>
  <w:style w:type="character" w:customStyle="1" w:styleId="430">
    <w:name w:val="Char Char13"/>
    <w:autoRedefine/>
    <w:qFormat/>
    <w:locked/>
    <w:uiPriority w:val="0"/>
    <w:rPr>
      <w:rFonts w:ascii="Cambria" w:hAnsi="Cambria" w:cs="Times New Roman"/>
      <w:b/>
      <w:bCs/>
      <w:sz w:val="32"/>
      <w:szCs w:val="32"/>
      <w:lang w:val="zh-CN" w:eastAsia="en-US"/>
    </w:rPr>
  </w:style>
  <w:style w:type="character" w:customStyle="1" w:styleId="431">
    <w:name w:val="Char Char111"/>
    <w:autoRedefine/>
    <w:qFormat/>
    <w:uiPriority w:val="0"/>
    <w:rPr>
      <w:rFonts w:ascii="Times New Roman" w:hAnsi="Times New Roman" w:eastAsia="Times New Roman"/>
      <w:b/>
      <w:kern w:val="44"/>
      <w:sz w:val="24"/>
    </w:rPr>
  </w:style>
  <w:style w:type="character" w:customStyle="1" w:styleId="432">
    <w:name w:val="Char Char101"/>
    <w:autoRedefine/>
    <w:qFormat/>
    <w:uiPriority w:val="0"/>
    <w:rPr>
      <w:rFonts w:ascii="Times New Roman" w:hAnsi="Times New Roman" w:eastAsia="Times New Roman"/>
      <w:i/>
      <w:kern w:val="2"/>
      <w:sz w:val="24"/>
    </w:rPr>
  </w:style>
  <w:style w:type="character" w:customStyle="1" w:styleId="433">
    <w:name w:val="Char Char53"/>
    <w:autoRedefine/>
    <w:qFormat/>
    <w:locked/>
    <w:uiPriority w:val="0"/>
    <w:rPr>
      <w:rFonts w:eastAsia="宋体" w:cs="Times New Roman"/>
      <w:kern w:val="2"/>
      <w:sz w:val="18"/>
      <w:szCs w:val="18"/>
      <w:lang w:val="en-US" w:eastAsia="zh-CN" w:bidi="ar-SA"/>
    </w:rPr>
  </w:style>
  <w:style w:type="character" w:customStyle="1" w:styleId="434">
    <w:name w:val="Char Char23"/>
    <w:autoRedefine/>
    <w:qFormat/>
    <w:locked/>
    <w:uiPriority w:val="0"/>
    <w:rPr>
      <w:rFonts w:eastAsia="宋体" w:cs="Angsana New"/>
      <w:sz w:val="24"/>
      <w:lang w:val="en-US" w:eastAsia="ko-KR" w:bidi="ar-SA"/>
    </w:rPr>
  </w:style>
  <w:style w:type="character" w:customStyle="1" w:styleId="435">
    <w:name w:val="Char Char16"/>
    <w:autoRedefine/>
    <w:qFormat/>
    <w:locked/>
    <w:uiPriority w:val="0"/>
    <w:rPr>
      <w:sz w:val="24"/>
      <w:lang w:val="zh-CN" w:eastAsia="en-US"/>
    </w:rPr>
  </w:style>
  <w:style w:type="character" w:customStyle="1" w:styleId="436">
    <w:name w:val="Char Char92"/>
    <w:autoRedefine/>
    <w:qFormat/>
    <w:locked/>
    <w:uiPriority w:val="0"/>
    <w:rPr>
      <w:rFonts w:eastAsia="宋体"/>
      <w:sz w:val="24"/>
      <w:lang w:val="en-US" w:eastAsia="zh-CN"/>
    </w:rPr>
  </w:style>
  <w:style w:type="character" w:customStyle="1" w:styleId="437">
    <w:name w:val="Char Char15"/>
    <w:autoRedefine/>
    <w:qFormat/>
    <w:locked/>
    <w:uiPriority w:val="0"/>
    <w:rPr>
      <w:rFonts w:ascii="Cambria" w:hAnsi="Cambria" w:cs="Times New Roman"/>
      <w:b/>
      <w:bCs/>
      <w:sz w:val="32"/>
      <w:szCs w:val="32"/>
      <w:lang w:val="zh-CN" w:eastAsia="en-US"/>
    </w:rPr>
  </w:style>
  <w:style w:type="character" w:customStyle="1" w:styleId="438">
    <w:name w:val="Char Char112"/>
    <w:autoRedefine/>
    <w:qFormat/>
    <w:uiPriority w:val="0"/>
    <w:rPr>
      <w:rFonts w:ascii="Times New Roman" w:hAnsi="Times New Roman" w:eastAsia="Times New Roman"/>
      <w:b/>
      <w:kern w:val="44"/>
      <w:sz w:val="24"/>
    </w:rPr>
  </w:style>
  <w:style w:type="character" w:customStyle="1" w:styleId="439">
    <w:name w:val="Char Char102"/>
    <w:autoRedefine/>
    <w:qFormat/>
    <w:uiPriority w:val="0"/>
    <w:rPr>
      <w:rFonts w:ascii="Times New Roman" w:hAnsi="Times New Roman" w:eastAsia="Times New Roman"/>
      <w:i/>
      <w:kern w:val="2"/>
      <w:sz w:val="24"/>
    </w:rPr>
  </w:style>
  <w:style w:type="character" w:customStyle="1" w:styleId="440">
    <w:name w:val="Char Char93"/>
    <w:autoRedefine/>
    <w:qFormat/>
    <w:locked/>
    <w:uiPriority w:val="0"/>
    <w:rPr>
      <w:rFonts w:eastAsia="宋体"/>
      <w:sz w:val="24"/>
      <w:lang w:val="en-US" w:eastAsia="zh-CN"/>
    </w:rPr>
  </w:style>
  <w:style w:type="character" w:customStyle="1" w:styleId="441">
    <w:name w:val="Char Char94"/>
    <w:autoRedefine/>
    <w:qFormat/>
    <w:locked/>
    <w:uiPriority w:val="0"/>
    <w:rPr>
      <w:rFonts w:eastAsia="宋体"/>
      <w:sz w:val="24"/>
      <w:lang w:val="en-US" w:eastAsia="zh-CN"/>
    </w:rPr>
  </w:style>
  <w:style w:type="character" w:customStyle="1" w:styleId="442">
    <w:name w:val="Char Char95"/>
    <w:autoRedefine/>
    <w:qFormat/>
    <w:locked/>
    <w:uiPriority w:val="0"/>
    <w:rPr>
      <w:rFonts w:eastAsia="宋体"/>
      <w:sz w:val="24"/>
      <w:lang w:val="en-US" w:eastAsia="zh-CN"/>
    </w:rPr>
  </w:style>
  <w:style w:type="character" w:customStyle="1" w:styleId="443">
    <w:name w:val="st"/>
    <w:basedOn w:val="231"/>
    <w:autoRedefine/>
    <w:qFormat/>
    <w:uiPriority w:val="0"/>
  </w:style>
  <w:style w:type="paragraph" w:customStyle="1" w:styleId="444">
    <w:name w:val="SPIE paper title"/>
    <w:basedOn w:val="1"/>
    <w:link w:val="445"/>
    <w:autoRedefine/>
    <w:qFormat/>
    <w:uiPriority w:val="0"/>
    <w:pPr>
      <w:jc w:val="center"/>
      <w:outlineLvl w:val="0"/>
    </w:pPr>
    <w:rPr>
      <w:b/>
      <w:sz w:val="32"/>
      <w:szCs w:val="20"/>
    </w:rPr>
  </w:style>
  <w:style w:type="character" w:customStyle="1" w:styleId="445">
    <w:name w:val="SPIE paper title Char Char"/>
    <w:link w:val="444"/>
    <w:autoRedefine/>
    <w:qFormat/>
    <w:uiPriority w:val="0"/>
    <w:rPr>
      <w:rFonts w:eastAsia="宋体"/>
      <w:b/>
      <w:sz w:val="32"/>
      <w:lang w:val="en-US" w:eastAsia="en-US" w:bidi="ar-SA"/>
    </w:rPr>
  </w:style>
  <w:style w:type="character" w:customStyle="1" w:styleId="446">
    <w:name w:val="SPIE Section Char Char"/>
    <w:autoRedefine/>
    <w:qFormat/>
    <w:locked/>
    <w:uiPriority w:val="0"/>
    <w:rPr>
      <w:rFonts w:ascii="Cambria" w:hAnsi="Cambria" w:eastAsia="宋体" w:cs="Angsana New"/>
      <w:b/>
      <w:bCs/>
      <w:color w:val="365F91"/>
      <w:sz w:val="28"/>
      <w:szCs w:val="28"/>
      <w:lang w:val="en-US" w:eastAsia="en-US" w:bidi="ar-SA"/>
    </w:rPr>
  </w:style>
  <w:style w:type="character" w:customStyle="1" w:styleId="447">
    <w:name w:val="SPIE Subsection Char Char"/>
    <w:autoRedefine/>
    <w:semiHidden/>
    <w:qFormat/>
    <w:uiPriority w:val="0"/>
    <w:rPr>
      <w:rFonts w:ascii="Cambria" w:hAnsi="Cambria" w:eastAsia="宋体" w:cs="Times New Roman"/>
      <w:b/>
      <w:bCs/>
      <w:sz w:val="32"/>
      <w:szCs w:val="32"/>
      <w:lang w:eastAsia="en-US"/>
    </w:rPr>
  </w:style>
  <w:style w:type="paragraph" w:customStyle="1" w:styleId="448">
    <w:name w:val="SPIE Authors-Affils"/>
    <w:basedOn w:val="1"/>
    <w:next w:val="1"/>
    <w:link w:val="449"/>
    <w:autoRedefine/>
    <w:qFormat/>
    <w:uiPriority w:val="0"/>
    <w:pPr>
      <w:jc w:val="center"/>
    </w:pPr>
    <w:rPr>
      <w:szCs w:val="20"/>
    </w:rPr>
  </w:style>
  <w:style w:type="character" w:customStyle="1" w:styleId="449">
    <w:name w:val="SPIE Authors-Affils Char Char"/>
    <w:link w:val="448"/>
    <w:autoRedefine/>
    <w:qFormat/>
    <w:uiPriority w:val="0"/>
    <w:rPr>
      <w:rFonts w:eastAsia="宋体"/>
      <w:sz w:val="24"/>
      <w:lang w:val="en-US" w:eastAsia="en-US" w:bidi="ar-SA"/>
    </w:rPr>
  </w:style>
  <w:style w:type="paragraph" w:customStyle="1" w:styleId="450">
    <w:name w:val="SPIE body text"/>
    <w:basedOn w:val="1"/>
    <w:link w:val="451"/>
    <w:autoRedefine/>
    <w:qFormat/>
    <w:uiPriority w:val="0"/>
    <w:pPr>
      <w:spacing w:after="120"/>
      <w:jc w:val="both"/>
    </w:pPr>
    <w:rPr>
      <w:sz w:val="20"/>
    </w:rPr>
  </w:style>
  <w:style w:type="character" w:customStyle="1" w:styleId="451">
    <w:name w:val="SPIE body text Char Char"/>
    <w:link w:val="450"/>
    <w:autoRedefine/>
    <w:qFormat/>
    <w:uiPriority w:val="0"/>
    <w:rPr>
      <w:rFonts w:eastAsia="宋体"/>
      <w:szCs w:val="24"/>
      <w:lang w:val="en-US" w:eastAsia="en-US" w:bidi="ar-SA"/>
    </w:rPr>
  </w:style>
  <w:style w:type="paragraph" w:customStyle="1" w:styleId="452">
    <w:name w:val="*Paper Title*"/>
    <w:basedOn w:val="1"/>
    <w:next w:val="453"/>
    <w:link w:val="455"/>
    <w:autoRedefine/>
    <w:semiHidden/>
    <w:qFormat/>
    <w:uiPriority w:val="0"/>
    <w:pPr>
      <w:jc w:val="center"/>
    </w:pPr>
    <w:rPr>
      <w:b/>
      <w:sz w:val="32"/>
      <w:szCs w:val="20"/>
    </w:rPr>
  </w:style>
  <w:style w:type="paragraph" w:customStyle="1" w:styleId="453">
    <w:name w:val="*Body of Paper*"/>
    <w:basedOn w:val="1"/>
    <w:link w:val="454"/>
    <w:autoRedefine/>
    <w:qFormat/>
    <w:uiPriority w:val="0"/>
    <w:pPr>
      <w:jc w:val="both"/>
    </w:pPr>
    <w:rPr>
      <w:sz w:val="20"/>
      <w:szCs w:val="20"/>
    </w:rPr>
  </w:style>
  <w:style w:type="character" w:customStyle="1" w:styleId="454">
    <w:name w:val="*Body of Paper* Char"/>
    <w:link w:val="453"/>
    <w:autoRedefine/>
    <w:qFormat/>
    <w:uiPriority w:val="0"/>
    <w:rPr>
      <w:rFonts w:eastAsia="宋体"/>
      <w:lang w:val="en-US" w:eastAsia="en-US" w:bidi="ar-SA"/>
    </w:rPr>
  </w:style>
  <w:style w:type="character" w:customStyle="1" w:styleId="455">
    <w:name w:val="*Paper Title* Char"/>
    <w:link w:val="452"/>
    <w:autoRedefine/>
    <w:qFormat/>
    <w:uiPriority w:val="0"/>
    <w:rPr>
      <w:rFonts w:eastAsia="宋体"/>
      <w:b/>
      <w:sz w:val="32"/>
      <w:lang w:val="en-US" w:eastAsia="en-US" w:bidi="ar-SA"/>
    </w:rPr>
  </w:style>
  <w:style w:type="paragraph" w:customStyle="1" w:styleId="456">
    <w:name w:val="*Principal Hding*"/>
    <w:basedOn w:val="1"/>
    <w:next w:val="453"/>
    <w:link w:val="457"/>
    <w:autoRedefine/>
    <w:semiHidden/>
    <w:qFormat/>
    <w:uiPriority w:val="0"/>
    <w:pPr>
      <w:jc w:val="center"/>
    </w:pPr>
    <w:rPr>
      <w:b/>
      <w:caps/>
      <w:sz w:val="22"/>
      <w:szCs w:val="20"/>
    </w:rPr>
  </w:style>
  <w:style w:type="character" w:customStyle="1" w:styleId="457">
    <w:name w:val="*Principal Hding* Char"/>
    <w:link w:val="456"/>
    <w:autoRedefine/>
    <w:qFormat/>
    <w:uiPriority w:val="0"/>
    <w:rPr>
      <w:rFonts w:eastAsia="宋体"/>
      <w:b/>
      <w:caps/>
      <w:sz w:val="22"/>
      <w:lang w:val="en-US" w:eastAsia="en-US" w:bidi="ar-SA"/>
    </w:rPr>
  </w:style>
  <w:style w:type="paragraph" w:customStyle="1" w:styleId="458">
    <w:name w:val="*Keywords*"/>
    <w:basedOn w:val="453"/>
    <w:next w:val="453"/>
    <w:autoRedefine/>
    <w:qFormat/>
    <w:uiPriority w:val="0"/>
    <w:pPr>
      <w:ind w:left="360" w:hanging="360"/>
    </w:pPr>
  </w:style>
  <w:style w:type="paragraph" w:customStyle="1" w:styleId="459">
    <w:name w:val="SPIE author &amp; affils"/>
    <w:basedOn w:val="448"/>
    <w:link w:val="460"/>
    <w:autoRedefine/>
    <w:qFormat/>
    <w:uiPriority w:val="0"/>
    <w:pPr>
      <w:outlineLvl w:val="0"/>
    </w:pPr>
  </w:style>
  <w:style w:type="character" w:customStyle="1" w:styleId="460">
    <w:name w:val="SPIE author &amp; affils Char"/>
    <w:basedOn w:val="449"/>
    <w:link w:val="459"/>
    <w:autoRedefine/>
    <w:qFormat/>
    <w:uiPriority w:val="0"/>
    <w:rPr>
      <w:rFonts w:eastAsia="宋体"/>
      <w:sz w:val="24"/>
      <w:lang w:val="en-US" w:eastAsia="en-US" w:bidi="ar-SA"/>
    </w:rPr>
  </w:style>
  <w:style w:type="paragraph" w:customStyle="1" w:styleId="461">
    <w:name w:val="SPIE abstract title"/>
    <w:basedOn w:val="456"/>
    <w:link w:val="462"/>
    <w:autoRedefine/>
    <w:qFormat/>
    <w:uiPriority w:val="0"/>
    <w:pPr>
      <w:spacing w:before="480" w:after="240"/>
      <w:outlineLvl w:val="0"/>
    </w:pPr>
  </w:style>
  <w:style w:type="character" w:customStyle="1" w:styleId="462">
    <w:name w:val="SPIE abstract title Char Char"/>
    <w:basedOn w:val="457"/>
    <w:link w:val="461"/>
    <w:autoRedefine/>
    <w:qFormat/>
    <w:uiPriority w:val="0"/>
    <w:rPr>
      <w:rFonts w:eastAsia="宋体"/>
      <w:sz w:val="22"/>
      <w:lang w:val="en-US" w:eastAsia="en-US" w:bidi="ar-SA"/>
    </w:rPr>
  </w:style>
  <w:style w:type="paragraph" w:customStyle="1" w:styleId="463">
    <w:name w:val="SPIE keywords"/>
    <w:basedOn w:val="458"/>
    <w:autoRedefine/>
    <w:qFormat/>
    <w:uiPriority w:val="0"/>
    <w:pPr>
      <w:ind w:left="0" w:firstLine="0"/>
      <w:outlineLvl w:val="0"/>
    </w:pPr>
  </w:style>
  <w:style w:type="paragraph" w:customStyle="1" w:styleId="464">
    <w:name w:val="SPIE figure caption"/>
    <w:basedOn w:val="453"/>
    <w:next w:val="450"/>
    <w:link w:val="465"/>
    <w:autoRedefine/>
    <w:qFormat/>
    <w:uiPriority w:val="0"/>
    <w:pPr>
      <w:spacing w:after="120"/>
      <w:ind w:left="720" w:right="360" w:hanging="360"/>
      <w:jc w:val="left"/>
    </w:pPr>
    <w:rPr>
      <w:sz w:val="18"/>
    </w:rPr>
  </w:style>
  <w:style w:type="character" w:customStyle="1" w:styleId="465">
    <w:name w:val="SPIE figure caption Char"/>
    <w:link w:val="464"/>
    <w:autoRedefine/>
    <w:qFormat/>
    <w:uiPriority w:val="0"/>
    <w:rPr>
      <w:rFonts w:eastAsia="宋体"/>
      <w:sz w:val="18"/>
      <w:lang w:val="en-US" w:eastAsia="en-US" w:bidi="ar-SA"/>
    </w:rPr>
  </w:style>
  <w:style w:type="paragraph" w:customStyle="1" w:styleId="466">
    <w:name w:val="SPIEreferences"/>
    <w:basedOn w:val="461"/>
    <w:autoRedefine/>
    <w:qFormat/>
    <w:uiPriority w:val="0"/>
    <w:pPr>
      <w:keepNext/>
      <w:numPr>
        <w:ilvl w:val="0"/>
        <w:numId w:val="13"/>
      </w:numPr>
      <w:tabs>
        <w:tab w:val="clear" w:pos="360"/>
      </w:tabs>
      <w:ind w:left="0" w:firstLine="0"/>
    </w:pPr>
    <w:rPr>
      <w:szCs w:val="22"/>
    </w:rPr>
  </w:style>
  <w:style w:type="paragraph" w:customStyle="1" w:styleId="467">
    <w:name w:val="SPIE reference listing"/>
    <w:basedOn w:val="453"/>
    <w:autoRedefine/>
    <w:qFormat/>
    <w:uiPriority w:val="0"/>
    <w:pPr>
      <w:tabs>
        <w:tab w:val="left" w:pos="720"/>
      </w:tabs>
      <w:ind w:left="1710" w:hanging="360"/>
    </w:pPr>
  </w:style>
  <w:style w:type="paragraph" w:customStyle="1" w:styleId="468">
    <w:name w:val="SPIE table caption"/>
    <w:basedOn w:val="464"/>
    <w:link w:val="469"/>
    <w:autoRedefine/>
    <w:qFormat/>
    <w:uiPriority w:val="0"/>
  </w:style>
  <w:style w:type="character" w:customStyle="1" w:styleId="469">
    <w:name w:val="SPIE table caption Char"/>
    <w:basedOn w:val="465"/>
    <w:link w:val="468"/>
    <w:autoRedefine/>
    <w:qFormat/>
    <w:uiPriority w:val="0"/>
    <w:rPr>
      <w:rFonts w:eastAsia="宋体"/>
      <w:sz w:val="18"/>
      <w:lang w:val="en-US" w:eastAsia="en-US" w:bidi="ar-SA"/>
    </w:rPr>
  </w:style>
  <w:style w:type="paragraph" w:customStyle="1" w:styleId="470">
    <w:name w:val="SPIE List Bullet 2"/>
    <w:basedOn w:val="450"/>
    <w:autoRedefine/>
    <w:qFormat/>
    <w:uiPriority w:val="0"/>
    <w:pPr>
      <w:numPr>
        <w:ilvl w:val="0"/>
        <w:numId w:val="14"/>
      </w:numPr>
    </w:pPr>
  </w:style>
  <w:style w:type="paragraph" w:customStyle="1" w:styleId="471">
    <w:name w:val="SPIE abstract body text"/>
    <w:basedOn w:val="450"/>
    <w:link w:val="472"/>
    <w:autoRedefine/>
    <w:qFormat/>
    <w:uiPriority w:val="0"/>
  </w:style>
  <w:style w:type="character" w:customStyle="1" w:styleId="472">
    <w:name w:val="SPIE abstract body text Char Char"/>
    <w:basedOn w:val="451"/>
    <w:link w:val="471"/>
    <w:autoRedefine/>
    <w:qFormat/>
    <w:uiPriority w:val="0"/>
    <w:rPr>
      <w:rFonts w:eastAsia="宋体"/>
      <w:szCs w:val="24"/>
      <w:lang w:val="en-US" w:eastAsia="en-US" w:bidi="ar-SA"/>
    </w:rPr>
  </w:style>
  <w:style w:type="paragraph" w:customStyle="1" w:styleId="473">
    <w:name w:val="SPIE keywords bold"/>
    <w:basedOn w:val="458"/>
    <w:autoRedefine/>
    <w:qFormat/>
    <w:uiPriority w:val="0"/>
    <w:pPr>
      <w:numPr>
        <w:ilvl w:val="0"/>
        <w:numId w:val="15"/>
      </w:numPr>
      <w:tabs>
        <w:tab w:val="clear" w:pos="720"/>
      </w:tabs>
      <w:ind w:left="360" w:hanging="360"/>
    </w:pPr>
    <w:rPr>
      <w:b/>
      <w:bCs/>
    </w:rPr>
  </w:style>
  <w:style w:type="paragraph" w:customStyle="1" w:styleId="474">
    <w:name w:val="Style SPIE figure caption"/>
    <w:basedOn w:val="464"/>
    <w:autoRedefine/>
    <w:qFormat/>
    <w:uiPriority w:val="0"/>
    <w:pPr>
      <w:jc w:val="both"/>
    </w:pPr>
  </w:style>
  <w:style w:type="character" w:customStyle="1" w:styleId="475">
    <w:name w:val="body31"/>
    <w:autoRedefine/>
    <w:qFormat/>
    <w:uiPriority w:val="0"/>
    <w:rPr>
      <w:rFonts w:hint="default" w:ascii="Verdana" w:hAnsi="Verdana"/>
      <w:color w:val="000000"/>
      <w:sz w:val="13"/>
      <w:szCs w:val="13"/>
    </w:rPr>
  </w:style>
  <w:style w:type="paragraph" w:customStyle="1" w:styleId="476">
    <w:name w:val="Reference text"/>
    <w:basedOn w:val="1"/>
    <w:autoRedefine/>
    <w:qFormat/>
    <w:uiPriority w:val="0"/>
    <w:pPr>
      <w:overflowPunct w:val="0"/>
      <w:autoSpaceDE w:val="0"/>
      <w:autoSpaceDN w:val="0"/>
      <w:adjustRightInd w:val="0"/>
      <w:spacing w:line="220" w:lineRule="exact"/>
      <w:ind w:left="230" w:hanging="230"/>
      <w:jc w:val="both"/>
      <w:textAlignment w:val="baseline"/>
    </w:pPr>
    <w:rPr>
      <w:sz w:val="20"/>
      <w:szCs w:val="20"/>
    </w:rPr>
  </w:style>
  <w:style w:type="paragraph" w:customStyle="1" w:styleId="477">
    <w:name w:val="Table Caption"/>
    <w:basedOn w:val="1"/>
    <w:autoRedefine/>
    <w:qFormat/>
    <w:uiPriority w:val="0"/>
    <w:pPr>
      <w:spacing w:before="320" w:after="120" w:line="200" w:lineRule="exact"/>
      <w:ind w:right="288"/>
      <w:jc w:val="center"/>
    </w:pPr>
    <w:rPr>
      <w:sz w:val="16"/>
    </w:rPr>
  </w:style>
  <w:style w:type="paragraph" w:customStyle="1" w:styleId="478">
    <w:name w:val="Reference"/>
    <w:basedOn w:val="1"/>
    <w:autoRedefine/>
    <w:qFormat/>
    <w:uiPriority w:val="0"/>
    <w:pPr>
      <w:spacing w:line="360" w:lineRule="auto"/>
      <w:ind w:left="360"/>
      <w:jc w:val="both"/>
    </w:pPr>
    <w:rPr>
      <w:sz w:val="21"/>
      <w:szCs w:val="21"/>
      <w:lang w:eastAsia="zh-CN"/>
    </w:rPr>
  </w:style>
  <w:style w:type="paragraph" w:customStyle="1" w:styleId="479">
    <w:name w:val="Text Indent"/>
    <w:autoRedefine/>
    <w:qFormat/>
    <w:uiPriority w:val="0"/>
    <w:pPr>
      <w:spacing w:before="240" w:after="120" w:line="260" w:lineRule="exact"/>
      <w:ind w:right="288" w:firstLine="302"/>
      <w:jc w:val="both"/>
    </w:pPr>
    <w:rPr>
      <w:rFonts w:ascii="Times New Roman" w:hAnsi="Times New Roman" w:eastAsia="宋体" w:cs="Times New Roman"/>
      <w:lang w:val="en-US" w:eastAsia="en-US" w:bidi="ar-SA"/>
    </w:rPr>
  </w:style>
  <w:style w:type="character" w:customStyle="1" w:styleId="480">
    <w:name w:val="Char Char96"/>
    <w:autoRedefine/>
    <w:qFormat/>
    <w:locked/>
    <w:uiPriority w:val="0"/>
    <w:rPr>
      <w:rFonts w:eastAsia="宋体"/>
      <w:sz w:val="24"/>
      <w:lang w:val="en-US" w:eastAsia="zh-CN"/>
    </w:rPr>
  </w:style>
  <w:style w:type="character" w:customStyle="1" w:styleId="481">
    <w:name w:val="Char Char97"/>
    <w:autoRedefine/>
    <w:qFormat/>
    <w:locked/>
    <w:uiPriority w:val="0"/>
    <w:rPr>
      <w:rFonts w:eastAsia="宋体"/>
      <w:sz w:val="24"/>
      <w:lang w:val="en-US" w:eastAsia="zh-CN"/>
    </w:rPr>
  </w:style>
  <w:style w:type="character" w:customStyle="1" w:styleId="482">
    <w:name w:val="Char Char98"/>
    <w:autoRedefine/>
    <w:qFormat/>
    <w:locked/>
    <w:uiPriority w:val="0"/>
    <w:rPr>
      <w:rFonts w:eastAsia="宋体"/>
      <w:sz w:val="24"/>
      <w:lang w:val="en-US" w:eastAsia="zh-CN"/>
    </w:rPr>
  </w:style>
  <w:style w:type="paragraph" w:customStyle="1" w:styleId="483">
    <w:name w:val="aff"/>
    <w:basedOn w:val="3"/>
    <w:autoRedefine/>
    <w:qFormat/>
    <w:uiPriority w:val="0"/>
    <w:pPr>
      <w:keepNext w:val="0"/>
      <w:keepLines w:val="0"/>
      <w:overflowPunct w:val="0"/>
      <w:autoSpaceDE w:val="0"/>
      <w:autoSpaceDN w:val="0"/>
      <w:adjustRightInd w:val="0"/>
      <w:spacing w:before="240" w:after="60" w:line="480" w:lineRule="atLeast"/>
      <w:ind w:left="432" w:hanging="432"/>
      <w:jc w:val="both"/>
      <w:textAlignment w:val="baseline"/>
      <w:outlineLvl w:val="9"/>
    </w:pPr>
    <w:rPr>
      <w:rFonts w:ascii="Times New Roman" w:hAnsi="Times New Roman" w:eastAsia="Times New Roman" w:cs="Times New Roman"/>
      <w:b w:val="0"/>
      <w:bCs w:val="0"/>
      <w:i/>
      <w:color w:val="000000"/>
      <w:sz w:val="24"/>
      <w:szCs w:val="20"/>
    </w:rPr>
  </w:style>
  <w:style w:type="paragraph" w:customStyle="1" w:styleId="484">
    <w:name w:val="Abstract"/>
    <w:basedOn w:val="1"/>
    <w:next w:val="1"/>
    <w:autoRedefine/>
    <w:qFormat/>
    <w:uiPriority w:val="0"/>
    <w:pPr>
      <w:spacing w:after="260" w:line="220" w:lineRule="exact"/>
      <w:ind w:left="1100" w:hanging="1100"/>
      <w:jc w:val="both"/>
    </w:pPr>
    <w:rPr>
      <w:rFonts w:eastAsia="Times New Roman"/>
      <w:sz w:val="18"/>
      <w:szCs w:val="20"/>
      <w:lang w:val="en-AU" w:eastAsia="nl-NL"/>
    </w:rPr>
  </w:style>
  <w:style w:type="paragraph" w:customStyle="1" w:styleId="485">
    <w:name w:val="Affiliation"/>
    <w:basedOn w:val="1"/>
    <w:next w:val="484"/>
    <w:autoRedefine/>
    <w:qFormat/>
    <w:uiPriority w:val="0"/>
    <w:pPr>
      <w:spacing w:after="520" w:line="220" w:lineRule="exact"/>
      <w:jc w:val="both"/>
    </w:pPr>
    <w:rPr>
      <w:rFonts w:eastAsia="Times New Roman"/>
      <w:i/>
      <w:sz w:val="18"/>
      <w:szCs w:val="20"/>
      <w:lang w:val="en-AU" w:eastAsia="nl-NL"/>
    </w:rPr>
  </w:style>
  <w:style w:type="paragraph" w:customStyle="1" w:styleId="486">
    <w:name w:val="Appendix"/>
    <w:basedOn w:val="1"/>
    <w:autoRedefine/>
    <w:qFormat/>
    <w:uiPriority w:val="0"/>
    <w:pPr>
      <w:spacing w:line="220" w:lineRule="exact"/>
      <w:ind w:firstLine="240"/>
      <w:jc w:val="both"/>
    </w:pPr>
    <w:rPr>
      <w:rFonts w:eastAsia="Times New Roman"/>
      <w:sz w:val="18"/>
      <w:szCs w:val="20"/>
      <w:lang w:val="en-AU" w:eastAsia="nl-NL"/>
    </w:rPr>
  </w:style>
  <w:style w:type="paragraph" w:customStyle="1" w:styleId="487">
    <w:name w:val="Figure"/>
    <w:basedOn w:val="1"/>
    <w:next w:val="22"/>
    <w:autoRedefine/>
    <w:qFormat/>
    <w:uiPriority w:val="0"/>
    <w:pPr>
      <w:keepNext/>
      <w:spacing w:before="260" w:after="260" w:line="360" w:lineRule="auto"/>
      <w:jc w:val="center"/>
    </w:pPr>
    <w:rPr>
      <w:rFonts w:eastAsia="Times New Roman"/>
      <w:szCs w:val="20"/>
      <w:lang w:val="en-AU" w:eastAsia="nl-NL"/>
    </w:rPr>
  </w:style>
  <w:style w:type="paragraph" w:customStyle="1" w:styleId="488">
    <w:name w:val="Formula"/>
    <w:basedOn w:val="1"/>
    <w:autoRedefine/>
    <w:qFormat/>
    <w:uiPriority w:val="0"/>
    <w:pPr>
      <w:widowControl w:val="0"/>
      <w:tabs>
        <w:tab w:val="center" w:pos="4111"/>
        <w:tab w:val="right" w:pos="8364"/>
      </w:tabs>
      <w:spacing w:before="120" w:after="120" w:line="240" w:lineRule="atLeast"/>
      <w:jc w:val="both"/>
    </w:pPr>
    <w:rPr>
      <w:rFonts w:eastAsia="Times New Roman"/>
      <w:color w:val="000000"/>
      <w:szCs w:val="20"/>
      <w:lang w:val="en-AU"/>
    </w:rPr>
  </w:style>
  <w:style w:type="paragraph" w:customStyle="1" w:styleId="489">
    <w:name w:val="Refer"/>
    <w:basedOn w:val="478"/>
    <w:autoRedefine/>
    <w:qFormat/>
    <w:uiPriority w:val="0"/>
    <w:pPr>
      <w:numPr>
        <w:ilvl w:val="0"/>
        <w:numId w:val="16"/>
      </w:numPr>
      <w:spacing w:line="240" w:lineRule="auto"/>
    </w:pPr>
    <w:rPr>
      <w:rFonts w:eastAsia="Times New Roman"/>
      <w:sz w:val="24"/>
      <w:szCs w:val="20"/>
      <w:lang w:val="en-AU" w:eastAsia="en-US"/>
    </w:rPr>
  </w:style>
  <w:style w:type="character" w:customStyle="1" w:styleId="490">
    <w:name w:val="Style Reference text + Black Char"/>
    <w:autoRedefine/>
    <w:qFormat/>
    <w:uiPriority w:val="0"/>
    <w:rPr>
      <w:snapToGrid w:val="0"/>
      <w:color w:val="000000"/>
      <w:sz w:val="24"/>
      <w:lang w:val="en-AU" w:eastAsia="en-US" w:bidi="ar-SA"/>
    </w:rPr>
  </w:style>
  <w:style w:type="paragraph" w:customStyle="1" w:styleId="491">
    <w:name w:val="refer"/>
    <w:basedOn w:val="1"/>
    <w:autoRedefine/>
    <w:qFormat/>
    <w:uiPriority w:val="0"/>
    <w:pPr>
      <w:numPr>
        <w:ilvl w:val="0"/>
        <w:numId w:val="17"/>
      </w:numPr>
      <w:ind w:left="357" w:hanging="357"/>
    </w:pPr>
    <w:rPr>
      <w:rFonts w:eastAsia="Calibri"/>
      <w:lang w:val="en-AU" w:eastAsia="en-AU"/>
    </w:rPr>
  </w:style>
  <w:style w:type="paragraph" w:customStyle="1" w:styleId="492">
    <w:name w:val="First paragraph"/>
    <w:basedOn w:val="1"/>
    <w:next w:val="1"/>
    <w:autoRedefine/>
    <w:qFormat/>
    <w:uiPriority w:val="0"/>
    <w:pPr>
      <w:overflowPunct w:val="0"/>
      <w:autoSpaceDE w:val="0"/>
      <w:autoSpaceDN w:val="0"/>
      <w:adjustRightInd w:val="0"/>
      <w:spacing w:line="260" w:lineRule="exact"/>
      <w:jc w:val="both"/>
      <w:textAlignment w:val="baseline"/>
    </w:pPr>
    <w:rPr>
      <w:rFonts w:eastAsia="Times New Roman"/>
      <w:szCs w:val="20"/>
      <w:lang w:val="en-AU"/>
    </w:rPr>
  </w:style>
  <w:style w:type="paragraph" w:customStyle="1" w:styleId="493">
    <w:name w:val="Maths"/>
    <w:basedOn w:val="1"/>
    <w:autoRedefine/>
    <w:qFormat/>
    <w:uiPriority w:val="0"/>
    <w:pPr>
      <w:spacing w:before="240" w:after="240" w:line="360" w:lineRule="auto"/>
      <w:jc w:val="both"/>
    </w:pPr>
    <w:rPr>
      <w:rFonts w:ascii="Cambria" w:hAnsi="Cambria" w:eastAsia="Cambria"/>
      <w:i/>
      <w:spacing w:val="8"/>
      <w:sz w:val="22"/>
      <w:szCs w:val="22"/>
      <w:lang w:val="en-AU"/>
    </w:rPr>
  </w:style>
  <w:style w:type="paragraph" w:customStyle="1" w:styleId="494">
    <w:name w:val="EndNote Bibliography Title"/>
    <w:basedOn w:val="1"/>
    <w:link w:val="497"/>
    <w:autoRedefine/>
    <w:qFormat/>
    <w:uiPriority w:val="0"/>
    <w:pPr>
      <w:jc w:val="center"/>
    </w:pPr>
    <w:rPr>
      <w:sz w:val="20"/>
    </w:rPr>
  </w:style>
  <w:style w:type="character" w:customStyle="1" w:styleId="495">
    <w:name w:val="Base_Text 字符"/>
    <w:basedOn w:val="231"/>
    <w:link w:val="303"/>
    <w:autoRedefine/>
    <w:qFormat/>
    <w:uiPriority w:val="0"/>
    <w:rPr>
      <w:sz w:val="24"/>
      <w:szCs w:val="24"/>
      <w:lang w:eastAsia="en-US"/>
    </w:rPr>
  </w:style>
  <w:style w:type="character" w:customStyle="1" w:styleId="496">
    <w:name w:val="hkeywords 字符"/>
    <w:basedOn w:val="495"/>
    <w:link w:val="314"/>
    <w:autoRedefine/>
    <w:qFormat/>
    <w:uiPriority w:val="0"/>
    <w:rPr>
      <w:sz w:val="21"/>
      <w:szCs w:val="24"/>
      <w:lang w:eastAsia="en-US"/>
    </w:rPr>
  </w:style>
  <w:style w:type="character" w:customStyle="1" w:styleId="497">
    <w:name w:val="EndNote Bibliography Title 字符"/>
    <w:basedOn w:val="496"/>
    <w:link w:val="494"/>
    <w:autoRedefine/>
    <w:qFormat/>
    <w:uiPriority w:val="0"/>
    <w:rPr>
      <w:sz w:val="21"/>
      <w:szCs w:val="24"/>
      <w:lang w:eastAsia="en-US"/>
    </w:rPr>
  </w:style>
  <w:style w:type="paragraph" w:customStyle="1" w:styleId="498">
    <w:name w:val="EndNote Bibliography"/>
    <w:basedOn w:val="1"/>
    <w:link w:val="499"/>
    <w:autoRedefine/>
    <w:qFormat/>
    <w:uiPriority w:val="0"/>
    <w:pPr>
      <w:jc w:val="both"/>
    </w:pPr>
    <w:rPr>
      <w:sz w:val="20"/>
    </w:rPr>
  </w:style>
  <w:style w:type="character" w:customStyle="1" w:styleId="499">
    <w:name w:val="EndNote Bibliography 字符"/>
    <w:basedOn w:val="496"/>
    <w:link w:val="498"/>
    <w:autoRedefine/>
    <w:qFormat/>
    <w:uiPriority w:val="0"/>
    <w:rPr>
      <w:sz w:val="21"/>
      <w:szCs w:val="24"/>
      <w:lang w:eastAsia="en-US"/>
    </w:rPr>
  </w:style>
  <w:style w:type="character" w:customStyle="1" w:styleId="500">
    <w:name w:val="未处理的提及1"/>
    <w:basedOn w:val="231"/>
    <w:autoRedefine/>
    <w:semiHidden/>
    <w:unhideWhenUsed/>
    <w:qFormat/>
    <w:uiPriority w:val="99"/>
    <w:rPr>
      <w:color w:val="605E5C"/>
      <w:shd w:val="clear" w:color="auto" w:fill="E1DFDD"/>
    </w:rPr>
  </w:style>
  <w:style w:type="paragraph" w:customStyle="1" w:styleId="501">
    <w:name w:val="zhengwen"/>
    <w:link w:val="502"/>
    <w:autoRedefine/>
    <w:qFormat/>
    <w:uiPriority w:val="0"/>
    <w:pPr>
      <w:spacing w:line="480" w:lineRule="auto"/>
      <w:ind w:firstLine="200" w:firstLineChars="200"/>
      <w:jc w:val="both"/>
    </w:pPr>
    <w:rPr>
      <w:rFonts w:ascii="Times New Roman" w:hAnsi="Times New Roman" w:eastAsia="仿宋" w:cs="Times New Roman"/>
      <w:sz w:val="24"/>
      <w:szCs w:val="24"/>
      <w:lang w:val="en-US" w:eastAsia="en-US" w:bidi="ar-SA"/>
    </w:rPr>
  </w:style>
  <w:style w:type="character" w:customStyle="1" w:styleId="502">
    <w:name w:val="zhengwen 字符"/>
    <w:link w:val="501"/>
    <w:autoRedefine/>
    <w:qFormat/>
    <w:uiPriority w:val="0"/>
    <w:rPr>
      <w:rFonts w:eastAsia="仿宋"/>
      <w:sz w:val="24"/>
      <w:szCs w:val="24"/>
      <w:lang w:eastAsia="en-US"/>
    </w:rPr>
  </w:style>
  <w:style w:type="paragraph" w:customStyle="1" w:styleId="503">
    <w:name w:val="Revision"/>
    <w:autoRedefine/>
    <w:hidden/>
    <w:semiHidden/>
    <w:qFormat/>
    <w:uiPriority w:val="99"/>
    <w:rPr>
      <w:rFonts w:ascii="Times New Roman" w:hAnsi="Times New Roman" w:eastAsia="宋体" w:cs="Times New Roman"/>
      <w:sz w:val="24"/>
      <w:szCs w:val="24"/>
      <w:lang w:val="en-US" w:eastAsia="en-US" w:bidi="ar-SA"/>
    </w:rPr>
  </w:style>
  <w:style w:type="character" w:customStyle="1" w:styleId="504">
    <w:name w:val="EndNote Bibliography Title Char"/>
    <w:basedOn w:val="231"/>
    <w:autoRedefine/>
    <w:qFormat/>
    <w:uiPriority w:val="0"/>
    <w:rPr>
      <w:rFonts w:ascii="Calibri" w:hAnsi="Calibri" w:cs="Calibri"/>
    </w:rPr>
  </w:style>
  <w:style w:type="character" w:customStyle="1" w:styleId="505">
    <w:name w:val="EndNote Bibliography Char"/>
    <w:basedOn w:val="231"/>
    <w:autoRedefine/>
    <w:qFormat/>
    <w:uiPriority w:val="0"/>
    <w:rPr>
      <w:rFonts w:ascii="Calibri" w:hAnsi="Calibri" w:cs="Calibri"/>
    </w:rPr>
  </w:style>
  <w:style w:type="character" w:styleId="506">
    <w:name w:val="Placeholder Text"/>
    <w:basedOn w:val="231"/>
    <w:autoRedefine/>
    <w:semiHidden/>
    <w:qFormat/>
    <w:uiPriority w:val="99"/>
    <w:rPr>
      <w:color w:val="808080"/>
    </w:rPr>
  </w:style>
  <w:style w:type="character" w:customStyle="1" w:styleId="507">
    <w:name w:val="标题 5 字符"/>
    <w:basedOn w:val="231"/>
    <w:link w:val="7"/>
    <w:autoRedefine/>
    <w:qFormat/>
    <w:uiPriority w:val="0"/>
    <w:rPr>
      <w:sz w:val="22"/>
    </w:rPr>
  </w:style>
  <w:style w:type="character" w:customStyle="1" w:styleId="508">
    <w:name w:val="标题 6 字符"/>
    <w:basedOn w:val="231"/>
    <w:link w:val="8"/>
    <w:autoRedefine/>
    <w:qFormat/>
    <w:uiPriority w:val="0"/>
    <w:rPr>
      <w:i/>
      <w:sz w:val="22"/>
    </w:rPr>
  </w:style>
  <w:style w:type="character" w:customStyle="1" w:styleId="509">
    <w:name w:val="标题 7 字符"/>
    <w:basedOn w:val="231"/>
    <w:link w:val="9"/>
    <w:autoRedefine/>
    <w:qFormat/>
    <w:uiPriority w:val="0"/>
    <w:rPr>
      <w:rFonts w:ascii="Arial" w:hAnsi="Arial"/>
    </w:rPr>
  </w:style>
  <w:style w:type="character" w:customStyle="1" w:styleId="510">
    <w:name w:val="标题 8 字符"/>
    <w:basedOn w:val="231"/>
    <w:link w:val="10"/>
    <w:autoRedefine/>
    <w:qFormat/>
    <w:uiPriority w:val="0"/>
    <w:rPr>
      <w:rFonts w:ascii="Arial" w:hAnsi="Arial"/>
      <w:i/>
    </w:rPr>
  </w:style>
  <w:style w:type="character" w:customStyle="1" w:styleId="511">
    <w:name w:val="标题 9 字符"/>
    <w:basedOn w:val="231"/>
    <w:link w:val="11"/>
    <w:autoRedefine/>
    <w:qFormat/>
    <w:uiPriority w:val="0"/>
    <w:rPr>
      <w:rFonts w:ascii="Arial" w:hAnsi="Arial"/>
      <w:b/>
      <w:i/>
      <w:sz w:val="18"/>
    </w:rPr>
  </w:style>
  <w:style w:type="character" w:customStyle="1" w:styleId="512">
    <w:name w:val="批注主题 字符"/>
    <w:basedOn w:val="265"/>
    <w:link w:val="85"/>
    <w:autoRedefine/>
    <w:semiHidden/>
    <w:qFormat/>
    <w:uiPriority w:val="0"/>
    <w:rPr>
      <w:rFonts w:ascii="Tahoma" w:hAnsi="Tahoma" w:cs="Tahoma"/>
      <w:b/>
      <w:bCs/>
      <w:sz w:val="16"/>
      <w:szCs w:val="24"/>
      <w:lang w:eastAsia="en-US"/>
    </w:rPr>
  </w:style>
  <w:style w:type="character" w:customStyle="1" w:styleId="513">
    <w:name w:val="宏文本 字符"/>
    <w:basedOn w:val="231"/>
    <w:link w:val="2"/>
    <w:autoRedefine/>
    <w:semiHidden/>
    <w:qFormat/>
    <w:uiPriority w:val="0"/>
    <w:rPr>
      <w:rFonts w:ascii="Courier New" w:hAnsi="Courier New" w:eastAsia="MS Mincho" w:cs="Courier New"/>
      <w:lang w:eastAsia="en-US"/>
    </w:rPr>
  </w:style>
  <w:style w:type="character" w:customStyle="1" w:styleId="514">
    <w:name w:val="文档结构图 字符"/>
    <w:basedOn w:val="231"/>
    <w:link w:val="26"/>
    <w:autoRedefine/>
    <w:qFormat/>
    <w:uiPriority w:val="0"/>
    <w:rPr>
      <w:rFonts w:ascii="Tahoma" w:hAnsi="Tahoma" w:cs="Tahoma"/>
      <w:sz w:val="16"/>
      <w:szCs w:val="16"/>
    </w:rPr>
  </w:style>
  <w:style w:type="character" w:customStyle="1" w:styleId="515">
    <w:name w:val="正文文本缩进 2 字符"/>
    <w:basedOn w:val="231"/>
    <w:link w:val="51"/>
    <w:autoRedefine/>
    <w:qFormat/>
    <w:uiPriority w:val="0"/>
  </w:style>
  <w:style w:type="character" w:customStyle="1" w:styleId="516">
    <w:name w:val="正文文本缩进 字符"/>
    <w:basedOn w:val="231"/>
    <w:link w:val="35"/>
    <w:autoRedefine/>
    <w:qFormat/>
    <w:uiPriority w:val="0"/>
  </w:style>
  <w:style w:type="character" w:customStyle="1" w:styleId="517">
    <w:name w:val="HTML 预设格式 字符"/>
    <w:basedOn w:val="231"/>
    <w:link w:val="80"/>
    <w:autoRedefine/>
    <w:qFormat/>
    <w:uiPriority w:val="0"/>
    <w:rPr>
      <w:rFonts w:ascii="宋体" w:hAnsi="宋体" w:cs="宋体"/>
      <w:sz w:val="24"/>
      <w:szCs w:val="24"/>
    </w:rPr>
  </w:style>
  <w:style w:type="character" w:customStyle="1" w:styleId="518">
    <w:name w:val="正文文本 2 字符"/>
    <w:basedOn w:val="231"/>
    <w:link w:val="76"/>
    <w:autoRedefine/>
    <w:qFormat/>
    <w:uiPriority w:val="0"/>
    <w:rPr>
      <w:sz w:val="24"/>
      <w:szCs w:val="24"/>
      <w:lang w:eastAsia="en-US"/>
    </w:rPr>
  </w:style>
  <w:style w:type="paragraph" w:customStyle="1" w:styleId="519">
    <w:name w:val="Bibliography"/>
    <w:basedOn w:val="1"/>
    <w:next w:val="1"/>
    <w:autoRedefine/>
    <w:semiHidden/>
    <w:unhideWhenUsed/>
    <w:qFormat/>
    <w:uiPriority w:val="37"/>
  </w:style>
  <w:style w:type="character" w:customStyle="1" w:styleId="520">
    <w:name w:val="正文文本 3 字符"/>
    <w:basedOn w:val="231"/>
    <w:link w:val="31"/>
    <w:autoRedefine/>
    <w:qFormat/>
    <w:uiPriority w:val="0"/>
    <w:rPr>
      <w:sz w:val="16"/>
      <w:szCs w:val="16"/>
      <w:lang w:eastAsia="en-US"/>
    </w:rPr>
  </w:style>
  <w:style w:type="character" w:customStyle="1" w:styleId="521">
    <w:name w:val="正文文本首行缩进 字符"/>
    <w:basedOn w:val="264"/>
    <w:link w:val="86"/>
    <w:autoRedefine/>
    <w:qFormat/>
    <w:uiPriority w:val="0"/>
    <w:rPr>
      <w:rFonts w:eastAsia="宋体" w:cs="Angsana New"/>
      <w:sz w:val="24"/>
      <w:szCs w:val="24"/>
      <w:lang w:val="en-US" w:eastAsia="en-US" w:bidi="ar-SA"/>
    </w:rPr>
  </w:style>
  <w:style w:type="character" w:customStyle="1" w:styleId="522">
    <w:name w:val="正文文本首行缩进 2 字符"/>
    <w:basedOn w:val="516"/>
    <w:link w:val="87"/>
    <w:autoRedefine/>
    <w:qFormat/>
    <w:uiPriority w:val="0"/>
    <w:rPr>
      <w:sz w:val="24"/>
      <w:szCs w:val="24"/>
      <w:lang w:eastAsia="en-US"/>
    </w:rPr>
  </w:style>
  <w:style w:type="character" w:customStyle="1" w:styleId="523">
    <w:name w:val="正文文本缩进 3 字符"/>
    <w:basedOn w:val="231"/>
    <w:link w:val="70"/>
    <w:autoRedefine/>
    <w:qFormat/>
    <w:uiPriority w:val="0"/>
    <w:rPr>
      <w:sz w:val="16"/>
      <w:szCs w:val="16"/>
      <w:lang w:eastAsia="en-US"/>
    </w:rPr>
  </w:style>
  <w:style w:type="character" w:customStyle="1" w:styleId="524">
    <w:name w:val="Book Title"/>
    <w:basedOn w:val="231"/>
    <w:autoRedefine/>
    <w:qFormat/>
    <w:uiPriority w:val="33"/>
    <w:rPr>
      <w:b/>
      <w:bCs/>
      <w:i/>
      <w:iCs/>
      <w:spacing w:val="5"/>
    </w:rPr>
  </w:style>
  <w:style w:type="character" w:customStyle="1" w:styleId="525">
    <w:name w:val="结束语 字符"/>
    <w:basedOn w:val="231"/>
    <w:link w:val="32"/>
    <w:autoRedefine/>
    <w:qFormat/>
    <w:uiPriority w:val="0"/>
    <w:rPr>
      <w:sz w:val="24"/>
      <w:szCs w:val="24"/>
      <w:lang w:eastAsia="en-US"/>
    </w:rPr>
  </w:style>
  <w:style w:type="character" w:customStyle="1" w:styleId="526">
    <w:name w:val="日期 字符"/>
    <w:basedOn w:val="231"/>
    <w:link w:val="50"/>
    <w:uiPriority w:val="0"/>
    <w:rPr>
      <w:sz w:val="24"/>
      <w:szCs w:val="24"/>
      <w:lang w:eastAsia="en-US"/>
    </w:rPr>
  </w:style>
  <w:style w:type="character" w:customStyle="1" w:styleId="527">
    <w:name w:val="电子邮件签名 字符"/>
    <w:basedOn w:val="231"/>
    <w:link w:val="19"/>
    <w:autoRedefine/>
    <w:qFormat/>
    <w:uiPriority w:val="0"/>
    <w:rPr>
      <w:sz w:val="24"/>
      <w:szCs w:val="24"/>
      <w:lang w:eastAsia="en-US"/>
    </w:rPr>
  </w:style>
  <w:style w:type="character" w:customStyle="1" w:styleId="528">
    <w:name w:val="尾注文本 字符"/>
    <w:basedOn w:val="231"/>
    <w:link w:val="52"/>
    <w:uiPriority w:val="0"/>
    <w:rPr>
      <w:lang w:eastAsia="en-US"/>
    </w:rPr>
  </w:style>
  <w:style w:type="character" w:customStyle="1" w:styleId="529">
    <w:name w:val="脚注文本 字符"/>
    <w:basedOn w:val="231"/>
    <w:link w:val="67"/>
    <w:uiPriority w:val="0"/>
    <w:rPr>
      <w:lang w:eastAsia="en-US"/>
    </w:rPr>
  </w:style>
  <w:style w:type="table" w:customStyle="1" w:styleId="530">
    <w:name w:val="Grid Table 1 Light"/>
    <w:basedOn w:val="88"/>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531">
    <w:name w:val="Grid Table 1 Light Accent 1"/>
    <w:basedOn w:val="88"/>
    <w:uiPriority w:val="46"/>
    <w:tblPr>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cPr>
        <w:tcBorders>
          <w:bottom w:val="single" w:color="8EAADB" w:themeColor="accent1" w:themeTint="99" w:sz="12" w:space="0"/>
        </w:tcBorders>
      </w:tcPr>
    </w:tblStylePr>
    <w:tblStylePr w:type="lastRow">
      <w:rPr>
        <w:b/>
        <w:bCs/>
      </w:rPr>
      <w:tcPr>
        <w:tcBorders>
          <w:top w:val="double" w:color="8EAADB" w:themeColor="accent1" w:themeTint="99" w:sz="2" w:space="0"/>
        </w:tcBorders>
      </w:tcPr>
    </w:tblStylePr>
    <w:tblStylePr w:type="firstCol">
      <w:rPr>
        <w:b/>
        <w:bCs/>
      </w:rPr>
    </w:tblStylePr>
    <w:tblStylePr w:type="lastCol">
      <w:rPr>
        <w:b/>
        <w:bCs/>
      </w:rPr>
    </w:tblStylePr>
  </w:style>
  <w:style w:type="table" w:customStyle="1" w:styleId="532">
    <w:name w:val="Grid Table 1 Light Accent 2"/>
    <w:basedOn w:val="88"/>
    <w:autoRedefine/>
    <w:qFormat/>
    <w:uiPriority w:val="46"/>
    <w:tblPr>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Pr>
    <w:tblStylePr w:type="firstRow">
      <w:rPr>
        <w:b/>
        <w:bCs/>
      </w:rPr>
      <w:tcPr>
        <w:tcBorders>
          <w:bottom w:val="single" w:color="F4B083" w:themeColor="accent2" w:themeTint="99" w:sz="12" w:space="0"/>
        </w:tcBorders>
      </w:tcPr>
    </w:tblStylePr>
    <w:tblStylePr w:type="lastRow">
      <w:rPr>
        <w:b/>
        <w:bCs/>
      </w:rPr>
      <w:tcPr>
        <w:tcBorders>
          <w:top w:val="double" w:color="F4B083" w:themeColor="accent2" w:themeTint="99" w:sz="2" w:space="0"/>
        </w:tcBorders>
      </w:tcPr>
    </w:tblStylePr>
    <w:tblStylePr w:type="firstCol">
      <w:rPr>
        <w:b/>
        <w:bCs/>
      </w:rPr>
    </w:tblStylePr>
    <w:tblStylePr w:type="lastCol">
      <w:rPr>
        <w:b/>
        <w:bCs/>
      </w:rPr>
    </w:tblStylePr>
  </w:style>
  <w:style w:type="table" w:customStyle="1" w:styleId="533">
    <w:name w:val="Grid Table 1 Light Accent 3"/>
    <w:basedOn w:val="88"/>
    <w:uiPriority w:val="46"/>
    <w:tblPr>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Pr>
    <w:tblStylePr w:type="firstRow">
      <w:rPr>
        <w:b/>
        <w:bCs/>
      </w:rPr>
      <w:tcPr>
        <w:tcBorders>
          <w:bottom w:val="single" w:color="C8C8C8" w:themeColor="accent3" w:themeTint="99" w:sz="12" w:space="0"/>
        </w:tcBorders>
      </w:tcPr>
    </w:tblStylePr>
    <w:tblStylePr w:type="lastRow">
      <w:rPr>
        <w:b/>
        <w:bCs/>
      </w:rPr>
      <w:tcPr>
        <w:tcBorders>
          <w:top w:val="double" w:color="C8C8C8" w:themeColor="accent3" w:themeTint="99" w:sz="2" w:space="0"/>
        </w:tcBorders>
      </w:tcPr>
    </w:tblStylePr>
    <w:tblStylePr w:type="firstCol">
      <w:rPr>
        <w:b/>
        <w:bCs/>
      </w:rPr>
    </w:tblStylePr>
    <w:tblStylePr w:type="lastCol">
      <w:rPr>
        <w:b/>
        <w:bCs/>
      </w:rPr>
    </w:tblStylePr>
  </w:style>
  <w:style w:type="table" w:customStyle="1" w:styleId="534">
    <w:name w:val="Grid Table 1 Light Accent 4"/>
    <w:basedOn w:val="88"/>
    <w:uiPriority w:val="46"/>
    <w:tblPr>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cPr>
        <w:tcBorders>
          <w:bottom w:val="single" w:color="FFD965" w:themeColor="accent4" w:themeTint="99" w:sz="12" w:space="0"/>
        </w:tcBorders>
      </w:tcPr>
    </w:tblStylePr>
    <w:tblStylePr w:type="lastRow">
      <w:rPr>
        <w:b/>
        <w:bCs/>
      </w:rPr>
      <w:tcPr>
        <w:tcBorders>
          <w:top w:val="double" w:color="FFD965" w:themeColor="accent4" w:themeTint="99" w:sz="2" w:space="0"/>
        </w:tcBorders>
      </w:tcPr>
    </w:tblStylePr>
    <w:tblStylePr w:type="firstCol">
      <w:rPr>
        <w:b/>
        <w:bCs/>
      </w:rPr>
    </w:tblStylePr>
    <w:tblStylePr w:type="lastCol">
      <w:rPr>
        <w:b/>
        <w:bCs/>
      </w:rPr>
    </w:tblStylePr>
  </w:style>
  <w:style w:type="table" w:customStyle="1" w:styleId="535">
    <w:name w:val="Grid Table 1 Light Accent 5"/>
    <w:basedOn w:val="88"/>
    <w:autoRedefine/>
    <w:qFormat/>
    <w:uiPriority w:val="46"/>
    <w:tblPr>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cPr>
        <w:tcBorders>
          <w:bottom w:val="single" w:color="9CC2E5" w:themeColor="accent5" w:themeTint="99" w:sz="12" w:space="0"/>
        </w:tcBorders>
      </w:tcPr>
    </w:tblStylePr>
    <w:tblStylePr w:type="lastRow">
      <w:rPr>
        <w:b/>
        <w:bCs/>
      </w:rPr>
      <w:tcPr>
        <w:tcBorders>
          <w:top w:val="double" w:color="9CC2E5" w:themeColor="accent5" w:themeTint="99" w:sz="2" w:space="0"/>
        </w:tcBorders>
      </w:tcPr>
    </w:tblStylePr>
    <w:tblStylePr w:type="firstCol">
      <w:rPr>
        <w:b/>
        <w:bCs/>
      </w:rPr>
    </w:tblStylePr>
    <w:tblStylePr w:type="lastCol">
      <w:rPr>
        <w:b/>
        <w:bCs/>
      </w:rPr>
    </w:tblStylePr>
  </w:style>
  <w:style w:type="table" w:customStyle="1" w:styleId="536">
    <w:name w:val="Grid Table 1 Light Accent 6"/>
    <w:basedOn w:val="88"/>
    <w:autoRedefine/>
    <w:qFormat/>
    <w:uiPriority w:val="46"/>
    <w:tblPr>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cPr>
        <w:tcBorders>
          <w:bottom w:val="single" w:color="A8D08D" w:themeColor="accent6" w:themeTint="99" w:sz="12" w:space="0"/>
        </w:tcBorders>
      </w:tcPr>
    </w:tblStylePr>
    <w:tblStylePr w:type="lastRow">
      <w:rPr>
        <w:b/>
        <w:bCs/>
      </w:rPr>
      <w:tcPr>
        <w:tcBorders>
          <w:top w:val="double" w:color="A8D08D" w:themeColor="accent6" w:themeTint="99" w:sz="2" w:space="0"/>
        </w:tcBorders>
      </w:tcPr>
    </w:tblStylePr>
    <w:tblStylePr w:type="firstCol">
      <w:rPr>
        <w:b/>
        <w:bCs/>
      </w:rPr>
    </w:tblStylePr>
    <w:tblStylePr w:type="lastCol">
      <w:rPr>
        <w:b/>
        <w:bCs/>
      </w:rPr>
    </w:tblStylePr>
  </w:style>
  <w:style w:type="table" w:customStyle="1" w:styleId="537">
    <w:name w:val="Grid Table 2"/>
    <w:basedOn w:val="88"/>
    <w:autoRedefine/>
    <w:qFormat/>
    <w:uiPriority w:val="47"/>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538">
    <w:name w:val="Grid Table 2 Accent 1"/>
    <w:basedOn w:val="88"/>
    <w:uiPriority w:val="47"/>
    <w:tblPr>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cPr>
        <w:tcBorders>
          <w:top w:val="nil"/>
          <w:bottom w:val="single" w:color="8EAADB" w:themeColor="accent1" w:themeTint="99" w:sz="12" w:space="0"/>
          <w:insideH w:val="nil"/>
          <w:insideV w:val="nil"/>
        </w:tcBorders>
        <w:shd w:val="clear" w:color="auto" w:fill="FFFFFF" w:themeFill="background1"/>
      </w:tcPr>
    </w:tblStylePr>
    <w:tblStylePr w:type="lastRow">
      <w:rPr>
        <w:b/>
        <w:bCs/>
      </w:rPr>
      <w:tcPr>
        <w:tcBorders>
          <w:top w:val="double" w:color="8EAADB"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539">
    <w:name w:val="Grid Table 2 Accent 2"/>
    <w:basedOn w:val="88"/>
    <w:uiPriority w:val="47"/>
    <w:tblPr>
      <w:tblBorders>
        <w:top w:val="single" w:color="F4B083" w:themeColor="accent2" w:themeTint="99" w:sz="2" w:space="0"/>
        <w:bottom w:val="single" w:color="F4B083" w:themeColor="accent2" w:themeTint="99" w:sz="2" w:space="0"/>
        <w:insideH w:val="single" w:color="F4B083" w:themeColor="accent2" w:themeTint="99" w:sz="2" w:space="0"/>
        <w:insideV w:val="single" w:color="F4B083" w:themeColor="accent2" w:themeTint="99" w:sz="2" w:space="0"/>
      </w:tblBorders>
    </w:tblPr>
    <w:tblStylePr w:type="firstRow">
      <w:rPr>
        <w:b/>
        <w:bCs/>
      </w:rPr>
      <w:tcPr>
        <w:tcBorders>
          <w:top w:val="nil"/>
          <w:bottom w:val="single" w:color="F4B083" w:themeColor="accent2" w:themeTint="99" w:sz="12" w:space="0"/>
          <w:insideH w:val="nil"/>
          <w:insideV w:val="nil"/>
        </w:tcBorders>
        <w:shd w:val="clear" w:color="auto" w:fill="FFFFFF" w:themeFill="background1"/>
      </w:tcPr>
    </w:tblStylePr>
    <w:tblStylePr w:type="lastRow">
      <w:rPr>
        <w:b/>
        <w:bCs/>
      </w:rPr>
      <w:tcPr>
        <w:tcBorders>
          <w:top w:val="double" w:color="F4B083"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540">
    <w:name w:val="Grid Table 2 Accent 3"/>
    <w:basedOn w:val="88"/>
    <w:autoRedefine/>
    <w:qFormat/>
    <w:uiPriority w:val="47"/>
    <w:tblPr>
      <w:tblBorders>
        <w:top w:val="single" w:color="C8C8C8" w:themeColor="accent3" w:themeTint="99" w:sz="2" w:space="0"/>
        <w:bottom w:val="single" w:color="C8C8C8" w:themeColor="accent3" w:themeTint="99" w:sz="2" w:space="0"/>
        <w:insideH w:val="single" w:color="C8C8C8" w:themeColor="accent3" w:themeTint="99" w:sz="2" w:space="0"/>
        <w:insideV w:val="single" w:color="C8C8C8" w:themeColor="accent3" w:themeTint="99" w:sz="2" w:space="0"/>
      </w:tblBorders>
    </w:tblPr>
    <w:tblStylePr w:type="firstRow">
      <w:rPr>
        <w:b/>
        <w:bCs/>
      </w:rPr>
      <w:tcPr>
        <w:tcBorders>
          <w:top w:val="nil"/>
          <w:bottom w:val="single" w:color="C8C8C8" w:themeColor="accent3" w:themeTint="99" w:sz="12" w:space="0"/>
          <w:insideH w:val="nil"/>
          <w:insideV w:val="nil"/>
        </w:tcBorders>
        <w:shd w:val="clear" w:color="auto" w:fill="FFFFFF" w:themeFill="background1"/>
      </w:tcPr>
    </w:tblStylePr>
    <w:tblStylePr w:type="lastRow">
      <w:rPr>
        <w:b/>
        <w:bCs/>
      </w:rPr>
      <w:tcPr>
        <w:tcBorders>
          <w:top w:val="double" w:color="C8C8C8"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541">
    <w:name w:val="Grid Table 2 Accent 4"/>
    <w:basedOn w:val="88"/>
    <w:autoRedefine/>
    <w:qFormat/>
    <w:uiPriority w:val="47"/>
    <w:tblPr>
      <w:tblBorders>
        <w:top w:val="single" w:color="FFD965" w:themeColor="accent4" w:themeTint="99" w:sz="2" w:space="0"/>
        <w:bottom w:val="single" w:color="FFD965" w:themeColor="accent4" w:themeTint="99" w:sz="2" w:space="0"/>
        <w:insideH w:val="single" w:color="FFD965" w:themeColor="accent4" w:themeTint="99" w:sz="2" w:space="0"/>
        <w:insideV w:val="single" w:color="FFD965" w:themeColor="accent4" w:themeTint="99" w:sz="2" w:space="0"/>
      </w:tblBorders>
    </w:tblPr>
    <w:tblStylePr w:type="firstRow">
      <w:rPr>
        <w:b/>
        <w:bCs/>
      </w:rPr>
      <w:tcPr>
        <w:tcBorders>
          <w:top w:val="nil"/>
          <w:bottom w:val="single" w:color="FFD965" w:themeColor="accent4" w:themeTint="99" w:sz="12" w:space="0"/>
          <w:insideH w:val="nil"/>
          <w:insideV w:val="nil"/>
        </w:tcBorders>
        <w:shd w:val="clear" w:color="auto" w:fill="FFFFFF" w:themeFill="background1"/>
      </w:tcPr>
    </w:tblStylePr>
    <w:tblStylePr w:type="lastRow">
      <w:rPr>
        <w:b/>
        <w:bCs/>
      </w:rPr>
      <w:tcPr>
        <w:tcBorders>
          <w:top w:val="double" w:color="FFD965"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542">
    <w:name w:val="Grid Table 2 Accent 5"/>
    <w:basedOn w:val="88"/>
    <w:autoRedefine/>
    <w:qFormat/>
    <w:uiPriority w:val="47"/>
    <w:tblPr>
      <w:tblBorders>
        <w:top w:val="single" w:color="9CC2E5" w:themeColor="accent5" w:themeTint="99" w:sz="2" w:space="0"/>
        <w:bottom w:val="single" w:color="9CC2E5" w:themeColor="accent5" w:themeTint="99" w:sz="2" w:space="0"/>
        <w:insideH w:val="single" w:color="9CC2E5" w:themeColor="accent5" w:themeTint="99" w:sz="2" w:space="0"/>
        <w:insideV w:val="single" w:color="9CC2E5" w:themeColor="accent5" w:themeTint="99" w:sz="2" w:space="0"/>
      </w:tblBorders>
    </w:tblPr>
    <w:tblStylePr w:type="firstRow">
      <w:rPr>
        <w:b/>
        <w:bCs/>
      </w:rPr>
      <w:tcPr>
        <w:tcBorders>
          <w:top w:val="nil"/>
          <w:bottom w:val="single" w:color="9CC2E5" w:themeColor="accent5" w:themeTint="99" w:sz="12" w:space="0"/>
          <w:insideH w:val="nil"/>
          <w:insideV w:val="nil"/>
        </w:tcBorders>
        <w:shd w:val="clear" w:color="auto" w:fill="FFFFFF" w:themeFill="background1"/>
      </w:tcPr>
    </w:tblStylePr>
    <w:tblStylePr w:type="lastRow">
      <w:rPr>
        <w:b/>
        <w:bCs/>
      </w:rPr>
      <w:tcPr>
        <w:tcBorders>
          <w:top w:val="double" w:color="9CC2E5"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543">
    <w:name w:val="Grid Table 2 Accent 6"/>
    <w:basedOn w:val="88"/>
    <w:uiPriority w:val="47"/>
    <w:tblPr>
      <w:tblBorders>
        <w:top w:val="single" w:color="A8D08D" w:themeColor="accent6" w:themeTint="99" w:sz="2" w:space="0"/>
        <w:bottom w:val="single" w:color="A8D08D" w:themeColor="accent6" w:themeTint="99" w:sz="2" w:space="0"/>
        <w:insideH w:val="single" w:color="A8D08D" w:themeColor="accent6" w:themeTint="99" w:sz="2" w:space="0"/>
        <w:insideV w:val="single" w:color="A8D08D" w:themeColor="accent6" w:themeTint="99" w:sz="2" w:space="0"/>
      </w:tblBorders>
    </w:tblPr>
    <w:tblStylePr w:type="firstRow">
      <w:rPr>
        <w:b/>
        <w:bCs/>
      </w:rPr>
      <w:tcPr>
        <w:tcBorders>
          <w:top w:val="nil"/>
          <w:bottom w:val="single" w:color="A8D08D" w:themeColor="accent6" w:themeTint="99" w:sz="12" w:space="0"/>
          <w:insideH w:val="nil"/>
          <w:insideV w:val="nil"/>
        </w:tcBorders>
        <w:shd w:val="clear" w:color="auto" w:fill="FFFFFF" w:themeFill="background1"/>
      </w:tcPr>
    </w:tblStylePr>
    <w:tblStylePr w:type="lastRow">
      <w:rPr>
        <w:b/>
        <w:bCs/>
      </w:rPr>
      <w:tcPr>
        <w:tcBorders>
          <w:top w:val="double" w:color="A8D08D"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544">
    <w:name w:val="Grid Table 3"/>
    <w:basedOn w:val="88"/>
    <w:autoRedefine/>
    <w:qFormat/>
    <w:uiPriority w:val="48"/>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545">
    <w:name w:val="Grid Table 3 Accent 1"/>
    <w:basedOn w:val="88"/>
    <w:autoRedefine/>
    <w:qFormat/>
    <w:uiPriority w:val="48"/>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9E2F3" w:themeFill="accent1" w:themeFillTint="33"/>
      </w:tcPr>
    </w:tblStylePr>
    <w:tblStylePr w:type="band1Horz">
      <w:tcPr>
        <w:shd w:val="clear" w:color="auto" w:fill="D9E2F3" w:themeFill="accent1" w:themeFillTint="33"/>
      </w:tcPr>
    </w:tblStylePr>
    <w:tblStylePr w:type="neCell">
      <w:tcPr>
        <w:tcBorders>
          <w:bottom w:val="single" w:color="8EAADB" w:themeColor="accent1" w:themeTint="99" w:sz="4" w:space="0"/>
        </w:tcBorders>
      </w:tcPr>
    </w:tblStylePr>
    <w:tblStylePr w:type="nwCell">
      <w:tcPr>
        <w:tcBorders>
          <w:bottom w:val="single" w:color="8EAADB" w:themeColor="accent1" w:themeTint="99" w:sz="4" w:space="0"/>
        </w:tcBorders>
      </w:tcPr>
    </w:tblStylePr>
    <w:tblStylePr w:type="seCell">
      <w:tcPr>
        <w:tcBorders>
          <w:top w:val="single" w:color="8EAADB" w:themeColor="accent1" w:themeTint="99" w:sz="4" w:space="0"/>
        </w:tcBorders>
      </w:tcPr>
    </w:tblStylePr>
    <w:tblStylePr w:type="swCell">
      <w:tcPr>
        <w:tcBorders>
          <w:top w:val="single" w:color="8EAADB" w:themeColor="accent1" w:themeTint="99" w:sz="4" w:space="0"/>
        </w:tcBorders>
      </w:tcPr>
    </w:tblStylePr>
  </w:style>
  <w:style w:type="table" w:customStyle="1" w:styleId="546">
    <w:name w:val="Grid Table 3 Accent 2"/>
    <w:basedOn w:val="88"/>
    <w:uiPriority w:val="48"/>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BE4D5" w:themeFill="accent2" w:themeFillTint="33"/>
      </w:tcPr>
    </w:tblStylePr>
    <w:tblStylePr w:type="band1Horz">
      <w:tcPr>
        <w:shd w:val="clear" w:color="auto" w:fill="FBE4D5" w:themeFill="accent2" w:themeFillTint="33"/>
      </w:tcPr>
    </w:tblStylePr>
    <w:tblStylePr w:type="neCell">
      <w:tcPr>
        <w:tcBorders>
          <w:bottom w:val="single" w:color="F4B083" w:themeColor="accent2" w:themeTint="99" w:sz="4" w:space="0"/>
        </w:tcBorders>
      </w:tcPr>
    </w:tblStylePr>
    <w:tblStylePr w:type="nwCell">
      <w:tcPr>
        <w:tcBorders>
          <w:bottom w:val="single" w:color="F4B083" w:themeColor="accent2" w:themeTint="99" w:sz="4" w:space="0"/>
        </w:tcBorders>
      </w:tcPr>
    </w:tblStylePr>
    <w:tblStylePr w:type="seCell">
      <w:tcPr>
        <w:tcBorders>
          <w:top w:val="single" w:color="F4B083" w:themeColor="accent2" w:themeTint="99" w:sz="4" w:space="0"/>
        </w:tcBorders>
      </w:tcPr>
    </w:tblStylePr>
    <w:tblStylePr w:type="swCell">
      <w:tcPr>
        <w:tcBorders>
          <w:top w:val="single" w:color="F4B083" w:themeColor="accent2" w:themeTint="99" w:sz="4" w:space="0"/>
        </w:tcBorders>
      </w:tcPr>
    </w:tblStylePr>
  </w:style>
  <w:style w:type="table" w:customStyle="1" w:styleId="547">
    <w:name w:val="Grid Table 3 Accent 3"/>
    <w:basedOn w:val="88"/>
    <w:autoRedefine/>
    <w:qFormat/>
    <w:uiPriority w:val="48"/>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CECEC" w:themeFill="accent3" w:themeFillTint="33"/>
      </w:tcPr>
    </w:tblStylePr>
    <w:tblStylePr w:type="band1Horz">
      <w:tcPr>
        <w:shd w:val="clear" w:color="auto" w:fill="ECECEC" w:themeFill="accent3" w:themeFillTint="33"/>
      </w:tcPr>
    </w:tblStylePr>
    <w:tblStylePr w:type="neCell">
      <w:tcPr>
        <w:tcBorders>
          <w:bottom w:val="single" w:color="C8C8C8" w:themeColor="accent3" w:themeTint="99" w:sz="4" w:space="0"/>
        </w:tcBorders>
      </w:tcPr>
    </w:tblStylePr>
    <w:tblStylePr w:type="nwCell">
      <w:tcPr>
        <w:tcBorders>
          <w:bottom w:val="single" w:color="C8C8C8" w:themeColor="accent3" w:themeTint="99" w:sz="4" w:space="0"/>
        </w:tcBorders>
      </w:tcPr>
    </w:tblStylePr>
    <w:tblStylePr w:type="seCell">
      <w:tcPr>
        <w:tcBorders>
          <w:top w:val="single" w:color="C8C8C8" w:themeColor="accent3" w:themeTint="99" w:sz="4" w:space="0"/>
        </w:tcBorders>
      </w:tcPr>
    </w:tblStylePr>
    <w:tblStylePr w:type="swCell">
      <w:tcPr>
        <w:tcBorders>
          <w:top w:val="single" w:color="C8C8C8" w:themeColor="accent3" w:themeTint="99" w:sz="4" w:space="0"/>
        </w:tcBorders>
      </w:tcPr>
    </w:tblStylePr>
  </w:style>
  <w:style w:type="table" w:customStyle="1" w:styleId="548">
    <w:name w:val="Grid Table 3 Accent 4"/>
    <w:basedOn w:val="88"/>
    <w:uiPriority w:val="48"/>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EF2CC" w:themeFill="accent4" w:themeFillTint="33"/>
      </w:tcPr>
    </w:tblStylePr>
    <w:tblStylePr w:type="band1Horz">
      <w:tcPr>
        <w:shd w:val="clear" w:color="auto" w:fill="FEF2CC" w:themeFill="accent4" w:themeFillTint="33"/>
      </w:tcPr>
    </w:tblStylePr>
    <w:tblStylePr w:type="neCell">
      <w:tcPr>
        <w:tcBorders>
          <w:bottom w:val="single" w:color="FFD965" w:themeColor="accent4" w:themeTint="99" w:sz="4" w:space="0"/>
        </w:tcBorders>
      </w:tcPr>
    </w:tblStylePr>
    <w:tblStylePr w:type="nwCell">
      <w:tcPr>
        <w:tcBorders>
          <w:bottom w:val="single" w:color="FFD965" w:themeColor="accent4" w:themeTint="99" w:sz="4" w:space="0"/>
        </w:tcBorders>
      </w:tcPr>
    </w:tblStylePr>
    <w:tblStylePr w:type="seCell">
      <w:tcPr>
        <w:tcBorders>
          <w:top w:val="single" w:color="FFD965" w:themeColor="accent4" w:themeTint="99" w:sz="4" w:space="0"/>
        </w:tcBorders>
      </w:tcPr>
    </w:tblStylePr>
    <w:tblStylePr w:type="swCell">
      <w:tcPr>
        <w:tcBorders>
          <w:top w:val="single" w:color="FFD965" w:themeColor="accent4" w:themeTint="99" w:sz="4" w:space="0"/>
        </w:tcBorders>
      </w:tcPr>
    </w:tblStylePr>
  </w:style>
  <w:style w:type="table" w:customStyle="1" w:styleId="549">
    <w:name w:val="Grid Table 3 Accent 5"/>
    <w:basedOn w:val="88"/>
    <w:autoRedefine/>
    <w:qFormat/>
    <w:uiPriority w:val="48"/>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bottom w:val="single" w:color="9CC2E5" w:themeColor="accent5" w:themeTint="99" w:sz="4" w:space="0"/>
        </w:tcBorders>
      </w:tcPr>
    </w:tblStylePr>
    <w:tblStylePr w:type="nwCell">
      <w:tcPr>
        <w:tcBorders>
          <w:bottom w:val="single" w:color="9CC2E5" w:themeColor="accent5" w:themeTint="99" w:sz="4" w:space="0"/>
        </w:tcBorders>
      </w:tcPr>
    </w:tblStylePr>
    <w:tblStylePr w:type="seCell">
      <w:tcPr>
        <w:tcBorders>
          <w:top w:val="single" w:color="9CC2E5" w:themeColor="accent5" w:themeTint="99" w:sz="4" w:space="0"/>
        </w:tcBorders>
      </w:tcPr>
    </w:tblStylePr>
    <w:tblStylePr w:type="swCell">
      <w:tcPr>
        <w:tcBorders>
          <w:top w:val="single" w:color="9CC2E5" w:themeColor="accent5" w:themeTint="99" w:sz="4" w:space="0"/>
        </w:tcBorders>
      </w:tcPr>
    </w:tblStylePr>
  </w:style>
  <w:style w:type="table" w:customStyle="1" w:styleId="550">
    <w:name w:val="Grid Table 3 Accent 6"/>
    <w:basedOn w:val="88"/>
    <w:uiPriority w:val="48"/>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2EFD9" w:themeFill="accent6" w:themeFillTint="33"/>
      </w:tcPr>
    </w:tblStylePr>
    <w:tblStylePr w:type="band1Horz">
      <w:tcPr>
        <w:shd w:val="clear" w:color="auto" w:fill="E2EFD9" w:themeFill="accent6" w:themeFillTint="33"/>
      </w:tcPr>
    </w:tblStylePr>
    <w:tblStylePr w:type="neCell">
      <w:tcPr>
        <w:tcBorders>
          <w:bottom w:val="single" w:color="A8D08D" w:themeColor="accent6" w:themeTint="99" w:sz="4" w:space="0"/>
        </w:tcBorders>
      </w:tcPr>
    </w:tblStylePr>
    <w:tblStylePr w:type="nwCell">
      <w:tcPr>
        <w:tcBorders>
          <w:bottom w:val="single" w:color="A8D08D" w:themeColor="accent6" w:themeTint="99" w:sz="4" w:space="0"/>
        </w:tcBorders>
      </w:tcPr>
    </w:tblStylePr>
    <w:tblStylePr w:type="seCell">
      <w:tcPr>
        <w:tcBorders>
          <w:top w:val="single" w:color="A8D08D" w:themeColor="accent6" w:themeTint="99" w:sz="4" w:space="0"/>
        </w:tcBorders>
      </w:tcPr>
    </w:tblStylePr>
    <w:tblStylePr w:type="swCell">
      <w:tcPr>
        <w:tcBorders>
          <w:top w:val="single" w:color="A8D08D" w:themeColor="accent6" w:themeTint="99" w:sz="4" w:space="0"/>
        </w:tcBorders>
      </w:tcPr>
    </w:tblStylePr>
  </w:style>
  <w:style w:type="table" w:customStyle="1" w:styleId="551">
    <w:name w:val="Grid Table 4"/>
    <w:basedOn w:val="88"/>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552">
    <w:name w:val="Grid Table 4 Accent 1"/>
    <w:basedOn w:val="88"/>
    <w:uiPriority w:val="49"/>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553">
    <w:name w:val="Grid Table 4 Accent 2"/>
    <w:basedOn w:val="88"/>
    <w:autoRedefine/>
    <w:qFormat/>
    <w:uiPriority w:val="49"/>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14:textFill>
          <w14:solidFill>
            <w14:schemeClr w14:val="bg1"/>
          </w14:solidFill>
        </w14:textFill>
      </w:r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cPr>
        <w:tcBorders>
          <w:top w:val="double" w:color="ED7D31" w:themeColor="accent2"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554">
    <w:name w:val="Grid Table 4 Accent 3"/>
    <w:basedOn w:val="88"/>
    <w:autoRedefine/>
    <w:qFormat/>
    <w:uiPriority w:val="49"/>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555">
    <w:name w:val="Grid Table 4 Accent 4"/>
    <w:basedOn w:val="88"/>
    <w:uiPriority w:val="49"/>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cPr>
        <w:tcBorders>
          <w:top w:val="double" w:color="FFC000" w:themeColor="accent4"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556">
    <w:name w:val="Grid Table 4 Accent 5"/>
    <w:basedOn w:val="88"/>
    <w:uiPriority w:val="49"/>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557">
    <w:name w:val="Grid Table 4 Accent 6"/>
    <w:basedOn w:val="88"/>
    <w:autoRedefine/>
    <w:qFormat/>
    <w:uiPriority w:val="49"/>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cPr>
        <w:tcBorders>
          <w:top w:val="double" w:color="70AD47" w:themeColor="accent6"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558">
    <w:name w:val="Grid Table 5 Dark"/>
    <w:basedOn w:val="88"/>
    <w:autoRedefine/>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cPr>
        <w:shd w:val="clear" w:color="auto" w:fill="999999" w:themeFill="text1" w:themeFillTint="66"/>
      </w:tcPr>
    </w:tblStylePr>
    <w:tblStylePr w:type="band1Horz">
      <w:tcPr>
        <w:shd w:val="clear" w:color="auto" w:fill="999999" w:themeFill="text1" w:themeFillTint="66"/>
      </w:tcPr>
    </w:tblStylePr>
  </w:style>
  <w:style w:type="table" w:customStyle="1" w:styleId="559">
    <w:name w:val="Grid Table 5 Dark Accent 1"/>
    <w:basedOn w:val="88"/>
    <w:autoRedefine/>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cPr>
        <w:shd w:val="clear" w:color="auto" w:fill="B4C6E7" w:themeFill="accent1" w:themeFillTint="66"/>
      </w:tcPr>
    </w:tblStylePr>
    <w:tblStylePr w:type="band1Horz">
      <w:tcPr>
        <w:shd w:val="clear" w:color="auto" w:fill="B4C6E7" w:themeFill="accent1" w:themeFillTint="66"/>
      </w:tcPr>
    </w:tblStylePr>
  </w:style>
  <w:style w:type="table" w:customStyle="1" w:styleId="560">
    <w:name w:val="Grid Table 5 Dark Accent 2"/>
    <w:basedOn w:val="88"/>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BE4D5" w:themeFill="accent2"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ED7D31" w:themeFill="accent2"/>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ED7D31" w:themeFill="accent2"/>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ED7D31" w:themeFill="accent2"/>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ED7D31" w:themeFill="accent2"/>
      </w:tcPr>
    </w:tblStylePr>
    <w:tblStylePr w:type="band1Vert">
      <w:tcPr>
        <w:shd w:val="clear" w:color="auto" w:fill="F7CAAC" w:themeFill="accent2" w:themeFillTint="66"/>
      </w:tcPr>
    </w:tblStylePr>
    <w:tblStylePr w:type="band1Horz">
      <w:tcPr>
        <w:shd w:val="clear" w:color="auto" w:fill="F7CAAC" w:themeFill="accent2" w:themeFillTint="66"/>
      </w:tcPr>
    </w:tblStylePr>
  </w:style>
  <w:style w:type="table" w:customStyle="1" w:styleId="561">
    <w:name w:val="Grid Table 5 Dark Accent 3"/>
    <w:basedOn w:val="88"/>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CECEC" w:themeFill="accent3"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cPr>
        <w:shd w:val="clear" w:color="auto" w:fill="DADADA" w:themeFill="accent3" w:themeFillTint="66"/>
      </w:tcPr>
    </w:tblStylePr>
    <w:tblStylePr w:type="band1Horz">
      <w:tcPr>
        <w:shd w:val="clear" w:color="auto" w:fill="DADADA" w:themeFill="accent3" w:themeFillTint="66"/>
      </w:tcPr>
    </w:tblStylePr>
  </w:style>
  <w:style w:type="table" w:customStyle="1" w:styleId="562">
    <w:name w:val="Grid Table 5 Dark Accent 4"/>
    <w:basedOn w:val="88"/>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EF2CC" w:themeFill="accent4"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C000" w:themeFill="accent4"/>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C000" w:themeFill="accent4"/>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C000" w:themeFill="accent4"/>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C000" w:themeFill="accent4"/>
      </w:tcPr>
    </w:tblStylePr>
    <w:tblStylePr w:type="band1Vert">
      <w:tcPr>
        <w:shd w:val="clear" w:color="auto" w:fill="FFE599" w:themeFill="accent4" w:themeFillTint="66"/>
      </w:tcPr>
    </w:tblStylePr>
    <w:tblStylePr w:type="band1Horz">
      <w:tcPr>
        <w:shd w:val="clear" w:color="auto" w:fill="FFE599" w:themeFill="accent4" w:themeFillTint="66"/>
      </w:tcPr>
    </w:tblStylePr>
  </w:style>
  <w:style w:type="table" w:customStyle="1" w:styleId="563">
    <w:name w:val="Grid Table 5 Dark Accent 5"/>
    <w:basedOn w:val="88"/>
    <w:autoRedefine/>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cPr>
        <w:shd w:val="clear" w:color="auto" w:fill="BDD6EE" w:themeFill="accent5" w:themeFillTint="66"/>
      </w:tcPr>
    </w:tblStylePr>
    <w:tblStylePr w:type="band1Horz">
      <w:tcPr>
        <w:shd w:val="clear" w:color="auto" w:fill="BDD6EE" w:themeFill="accent5" w:themeFillTint="66"/>
      </w:tcPr>
    </w:tblStylePr>
  </w:style>
  <w:style w:type="table" w:customStyle="1" w:styleId="564">
    <w:name w:val="Grid Table 5 Dark Accent 6"/>
    <w:basedOn w:val="88"/>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cPr>
        <w:shd w:val="clear" w:color="auto" w:fill="C5E0B3" w:themeFill="accent6" w:themeFillTint="66"/>
      </w:tcPr>
    </w:tblStylePr>
    <w:tblStylePr w:type="band1Horz">
      <w:tcPr>
        <w:shd w:val="clear" w:color="auto" w:fill="C5E0B3" w:themeFill="accent6" w:themeFillTint="66"/>
      </w:tcPr>
    </w:tblStylePr>
  </w:style>
  <w:style w:type="table" w:customStyle="1" w:styleId="565">
    <w:name w:val="Grid Table 6 Colorful"/>
    <w:basedOn w:val="88"/>
    <w:autoRedefine/>
    <w:qFormat/>
    <w:uiPriority w:val="51"/>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566">
    <w:name w:val="Grid Table 6 Colorful Accent 1"/>
    <w:basedOn w:val="88"/>
    <w:uiPriority w:val="51"/>
    <w:rPr>
      <w:color w:val="2F5597" w:themeColor="accent1" w:themeShade="BF"/>
    </w:r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cPr>
        <w:tcBorders>
          <w:bottom w:val="single" w:color="8EAADB" w:themeColor="accent1" w:themeTint="99" w:sz="12" w:space="0"/>
        </w:tcBorders>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567">
    <w:name w:val="Grid Table 6 Colorful Accent 2"/>
    <w:basedOn w:val="88"/>
    <w:uiPriority w:val="51"/>
    <w:rPr>
      <w:color w:val="C55A11" w:themeColor="accent2" w:themeShade="BF"/>
    </w:r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cPr>
        <w:tcBorders>
          <w:bottom w:val="single" w:color="F4B083" w:themeColor="accent2" w:themeTint="99" w:sz="12" w:space="0"/>
        </w:tcBorders>
      </w:tcPr>
    </w:tblStylePr>
    <w:tblStylePr w:type="lastRow">
      <w:rPr>
        <w:b/>
        <w:bCs/>
      </w:rPr>
      <w:tcPr>
        <w:tcBorders>
          <w:top w:val="double" w:color="F4B083" w:themeColor="accent2" w:themeTint="99"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568">
    <w:name w:val="Grid Table 6 Colorful Accent 3"/>
    <w:basedOn w:val="88"/>
    <w:uiPriority w:val="51"/>
    <w:rPr>
      <w:color w:val="7C7C7C" w:themeColor="accent3" w:themeShade="BF"/>
    </w:r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rPr>
      <w:tcPr>
        <w:tcBorders>
          <w:bottom w:val="single" w:color="C8C8C8" w:themeColor="accent3" w:themeTint="99" w:sz="12" w:space="0"/>
        </w:tcBorders>
      </w:tcPr>
    </w:tblStylePr>
    <w:tblStylePr w:type="lastRow">
      <w:rPr>
        <w:b/>
        <w:bCs/>
      </w:rPr>
      <w:tcPr>
        <w:tcBorders>
          <w:top w:val="doub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569">
    <w:name w:val="Grid Table 6 Colorful Accent 4"/>
    <w:basedOn w:val="88"/>
    <w:autoRedefine/>
    <w:qFormat/>
    <w:uiPriority w:val="51"/>
    <w:rPr>
      <w:color w:val="BF9000" w:themeColor="accent4" w:themeShade="BF"/>
    </w:r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rPr>
      <w:tcPr>
        <w:tcBorders>
          <w:bottom w:val="single" w:color="FFD965" w:themeColor="accent4" w:themeTint="99" w:sz="12" w:space="0"/>
        </w:tcBorders>
      </w:tcPr>
    </w:tblStylePr>
    <w:tblStylePr w:type="lastRow">
      <w:rPr>
        <w:b/>
        <w:bCs/>
      </w:rPr>
      <w:tcPr>
        <w:tcBorders>
          <w:top w:val="doub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570">
    <w:name w:val="Grid Table 6 Colorful Accent 5"/>
    <w:basedOn w:val="88"/>
    <w:uiPriority w:val="51"/>
    <w:rPr>
      <w:color w:val="2E75B6" w:themeColor="accent5" w:themeShade="BF"/>
    </w:r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bottom w:val="single" w:color="9CC2E5" w:themeColor="accent5" w:themeTint="99" w:sz="12" w:space="0"/>
        </w:tcBorders>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571">
    <w:name w:val="Grid Table 6 Colorful Accent 6"/>
    <w:basedOn w:val="88"/>
    <w:autoRedefine/>
    <w:qFormat/>
    <w:uiPriority w:val="51"/>
    <w:rPr>
      <w:color w:val="548235" w:themeColor="accent6" w:themeShade="BF"/>
    </w:r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cPr>
        <w:tcBorders>
          <w:bottom w:val="single" w:color="A8D08D" w:themeColor="accent6" w:themeTint="99" w:sz="12" w:space="0"/>
        </w:tcBorders>
      </w:tcPr>
    </w:tblStylePr>
    <w:tblStylePr w:type="lastRow">
      <w:rPr>
        <w:b/>
        <w:bCs/>
      </w:rPr>
      <w:tcPr>
        <w:tcBorders>
          <w:top w:val="doub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572">
    <w:name w:val="Grid Table 7 Colorful"/>
    <w:basedOn w:val="88"/>
    <w:autoRedefine/>
    <w:qFormat/>
    <w:uiPriority w:val="52"/>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573">
    <w:name w:val="Grid Table 7 Colorful Accent 1"/>
    <w:basedOn w:val="88"/>
    <w:uiPriority w:val="52"/>
    <w:rPr>
      <w:color w:val="2F5597" w:themeColor="accent1" w:themeShade="BF"/>
    </w:r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9E2F3" w:themeFill="accent1" w:themeFillTint="33"/>
      </w:tcPr>
    </w:tblStylePr>
    <w:tblStylePr w:type="band1Horz">
      <w:tcPr>
        <w:shd w:val="clear" w:color="auto" w:fill="D9E2F3" w:themeFill="accent1" w:themeFillTint="33"/>
      </w:tcPr>
    </w:tblStylePr>
    <w:tblStylePr w:type="neCell">
      <w:tcPr>
        <w:tcBorders>
          <w:bottom w:val="single" w:color="8EAADB" w:themeColor="accent1" w:themeTint="99" w:sz="4" w:space="0"/>
        </w:tcBorders>
      </w:tcPr>
    </w:tblStylePr>
    <w:tblStylePr w:type="nwCell">
      <w:tcPr>
        <w:tcBorders>
          <w:bottom w:val="single" w:color="8EAADB" w:themeColor="accent1" w:themeTint="99" w:sz="4" w:space="0"/>
        </w:tcBorders>
      </w:tcPr>
    </w:tblStylePr>
    <w:tblStylePr w:type="seCell">
      <w:tcPr>
        <w:tcBorders>
          <w:top w:val="single" w:color="8EAADB" w:themeColor="accent1" w:themeTint="99" w:sz="4" w:space="0"/>
        </w:tcBorders>
      </w:tcPr>
    </w:tblStylePr>
    <w:tblStylePr w:type="swCell">
      <w:tcPr>
        <w:tcBorders>
          <w:top w:val="single" w:color="8EAADB" w:themeColor="accent1" w:themeTint="99" w:sz="4" w:space="0"/>
        </w:tcBorders>
      </w:tcPr>
    </w:tblStylePr>
  </w:style>
  <w:style w:type="table" w:customStyle="1" w:styleId="574">
    <w:name w:val="Grid Table 7 Colorful Accent 2"/>
    <w:basedOn w:val="88"/>
    <w:autoRedefine/>
    <w:qFormat/>
    <w:uiPriority w:val="52"/>
    <w:rPr>
      <w:color w:val="C55A11" w:themeColor="accent2" w:themeShade="BF"/>
    </w:r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BE4D5" w:themeFill="accent2" w:themeFillTint="33"/>
      </w:tcPr>
    </w:tblStylePr>
    <w:tblStylePr w:type="band1Horz">
      <w:tcPr>
        <w:shd w:val="clear" w:color="auto" w:fill="FBE4D5" w:themeFill="accent2" w:themeFillTint="33"/>
      </w:tcPr>
    </w:tblStylePr>
    <w:tblStylePr w:type="neCell">
      <w:tcPr>
        <w:tcBorders>
          <w:bottom w:val="single" w:color="F4B083" w:themeColor="accent2" w:themeTint="99" w:sz="4" w:space="0"/>
        </w:tcBorders>
      </w:tcPr>
    </w:tblStylePr>
    <w:tblStylePr w:type="nwCell">
      <w:tcPr>
        <w:tcBorders>
          <w:bottom w:val="single" w:color="F4B083" w:themeColor="accent2" w:themeTint="99" w:sz="4" w:space="0"/>
        </w:tcBorders>
      </w:tcPr>
    </w:tblStylePr>
    <w:tblStylePr w:type="seCell">
      <w:tcPr>
        <w:tcBorders>
          <w:top w:val="single" w:color="F4B083" w:themeColor="accent2" w:themeTint="99" w:sz="4" w:space="0"/>
        </w:tcBorders>
      </w:tcPr>
    </w:tblStylePr>
    <w:tblStylePr w:type="swCell">
      <w:tcPr>
        <w:tcBorders>
          <w:top w:val="single" w:color="F4B083" w:themeColor="accent2" w:themeTint="99" w:sz="4" w:space="0"/>
        </w:tcBorders>
      </w:tcPr>
    </w:tblStylePr>
  </w:style>
  <w:style w:type="table" w:customStyle="1" w:styleId="575">
    <w:name w:val="Grid Table 7 Colorful Accent 3"/>
    <w:basedOn w:val="88"/>
    <w:autoRedefine/>
    <w:qFormat/>
    <w:uiPriority w:val="52"/>
    <w:rPr>
      <w:color w:val="7C7C7C" w:themeColor="accent3" w:themeShade="BF"/>
    </w:r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CECEC" w:themeFill="accent3" w:themeFillTint="33"/>
      </w:tcPr>
    </w:tblStylePr>
    <w:tblStylePr w:type="band1Horz">
      <w:tcPr>
        <w:shd w:val="clear" w:color="auto" w:fill="ECECEC" w:themeFill="accent3" w:themeFillTint="33"/>
      </w:tcPr>
    </w:tblStylePr>
    <w:tblStylePr w:type="neCell">
      <w:tcPr>
        <w:tcBorders>
          <w:bottom w:val="single" w:color="C8C8C8" w:themeColor="accent3" w:themeTint="99" w:sz="4" w:space="0"/>
        </w:tcBorders>
      </w:tcPr>
    </w:tblStylePr>
    <w:tblStylePr w:type="nwCell">
      <w:tcPr>
        <w:tcBorders>
          <w:bottom w:val="single" w:color="C8C8C8" w:themeColor="accent3" w:themeTint="99" w:sz="4" w:space="0"/>
        </w:tcBorders>
      </w:tcPr>
    </w:tblStylePr>
    <w:tblStylePr w:type="seCell">
      <w:tcPr>
        <w:tcBorders>
          <w:top w:val="single" w:color="C8C8C8" w:themeColor="accent3" w:themeTint="99" w:sz="4" w:space="0"/>
        </w:tcBorders>
      </w:tcPr>
    </w:tblStylePr>
    <w:tblStylePr w:type="swCell">
      <w:tcPr>
        <w:tcBorders>
          <w:top w:val="single" w:color="C8C8C8" w:themeColor="accent3" w:themeTint="99" w:sz="4" w:space="0"/>
        </w:tcBorders>
      </w:tcPr>
    </w:tblStylePr>
  </w:style>
  <w:style w:type="table" w:customStyle="1" w:styleId="576">
    <w:name w:val="Grid Table 7 Colorful Accent 4"/>
    <w:basedOn w:val="88"/>
    <w:autoRedefine/>
    <w:qFormat/>
    <w:uiPriority w:val="52"/>
    <w:rPr>
      <w:color w:val="BF9000" w:themeColor="accent4" w:themeShade="BF"/>
    </w:r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EF2CC" w:themeFill="accent4" w:themeFillTint="33"/>
      </w:tcPr>
    </w:tblStylePr>
    <w:tblStylePr w:type="band1Horz">
      <w:tcPr>
        <w:shd w:val="clear" w:color="auto" w:fill="FEF2CC" w:themeFill="accent4" w:themeFillTint="33"/>
      </w:tcPr>
    </w:tblStylePr>
    <w:tblStylePr w:type="neCell">
      <w:tcPr>
        <w:tcBorders>
          <w:bottom w:val="single" w:color="FFD965" w:themeColor="accent4" w:themeTint="99" w:sz="4" w:space="0"/>
        </w:tcBorders>
      </w:tcPr>
    </w:tblStylePr>
    <w:tblStylePr w:type="nwCell">
      <w:tcPr>
        <w:tcBorders>
          <w:bottom w:val="single" w:color="FFD965" w:themeColor="accent4" w:themeTint="99" w:sz="4" w:space="0"/>
        </w:tcBorders>
      </w:tcPr>
    </w:tblStylePr>
    <w:tblStylePr w:type="seCell">
      <w:tcPr>
        <w:tcBorders>
          <w:top w:val="single" w:color="FFD965" w:themeColor="accent4" w:themeTint="99" w:sz="4" w:space="0"/>
        </w:tcBorders>
      </w:tcPr>
    </w:tblStylePr>
    <w:tblStylePr w:type="swCell">
      <w:tcPr>
        <w:tcBorders>
          <w:top w:val="single" w:color="FFD965" w:themeColor="accent4" w:themeTint="99" w:sz="4" w:space="0"/>
        </w:tcBorders>
      </w:tcPr>
    </w:tblStylePr>
  </w:style>
  <w:style w:type="table" w:customStyle="1" w:styleId="577">
    <w:name w:val="Grid Table 7 Colorful Accent 5"/>
    <w:basedOn w:val="88"/>
    <w:autoRedefine/>
    <w:qFormat/>
    <w:uiPriority w:val="52"/>
    <w:rPr>
      <w:color w:val="2E75B6" w:themeColor="accent5" w:themeShade="BF"/>
    </w:r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bottom w:val="single" w:color="9CC2E5" w:themeColor="accent5" w:themeTint="99" w:sz="4" w:space="0"/>
        </w:tcBorders>
      </w:tcPr>
    </w:tblStylePr>
    <w:tblStylePr w:type="nwCell">
      <w:tcPr>
        <w:tcBorders>
          <w:bottom w:val="single" w:color="9CC2E5" w:themeColor="accent5" w:themeTint="99" w:sz="4" w:space="0"/>
        </w:tcBorders>
      </w:tcPr>
    </w:tblStylePr>
    <w:tblStylePr w:type="seCell">
      <w:tcPr>
        <w:tcBorders>
          <w:top w:val="single" w:color="9CC2E5" w:themeColor="accent5" w:themeTint="99" w:sz="4" w:space="0"/>
        </w:tcBorders>
      </w:tcPr>
    </w:tblStylePr>
    <w:tblStylePr w:type="swCell">
      <w:tcPr>
        <w:tcBorders>
          <w:top w:val="single" w:color="9CC2E5" w:themeColor="accent5" w:themeTint="99" w:sz="4" w:space="0"/>
        </w:tcBorders>
      </w:tcPr>
    </w:tblStylePr>
  </w:style>
  <w:style w:type="table" w:customStyle="1" w:styleId="578">
    <w:name w:val="Grid Table 7 Colorful Accent 6"/>
    <w:basedOn w:val="88"/>
    <w:autoRedefine/>
    <w:qFormat/>
    <w:uiPriority w:val="52"/>
    <w:rPr>
      <w:color w:val="548235" w:themeColor="accent6" w:themeShade="BF"/>
    </w:r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2EFD9" w:themeFill="accent6" w:themeFillTint="33"/>
      </w:tcPr>
    </w:tblStylePr>
    <w:tblStylePr w:type="band1Horz">
      <w:tcPr>
        <w:shd w:val="clear" w:color="auto" w:fill="E2EFD9" w:themeFill="accent6" w:themeFillTint="33"/>
      </w:tcPr>
    </w:tblStylePr>
    <w:tblStylePr w:type="neCell">
      <w:tcPr>
        <w:tcBorders>
          <w:bottom w:val="single" w:color="A8D08D" w:themeColor="accent6" w:themeTint="99" w:sz="4" w:space="0"/>
        </w:tcBorders>
      </w:tcPr>
    </w:tblStylePr>
    <w:tblStylePr w:type="nwCell">
      <w:tcPr>
        <w:tcBorders>
          <w:bottom w:val="single" w:color="A8D08D" w:themeColor="accent6" w:themeTint="99" w:sz="4" w:space="0"/>
        </w:tcBorders>
      </w:tcPr>
    </w:tblStylePr>
    <w:tblStylePr w:type="seCell">
      <w:tcPr>
        <w:tcBorders>
          <w:top w:val="single" w:color="A8D08D" w:themeColor="accent6" w:themeTint="99" w:sz="4" w:space="0"/>
        </w:tcBorders>
      </w:tcPr>
    </w:tblStylePr>
    <w:tblStylePr w:type="swCell">
      <w:tcPr>
        <w:tcBorders>
          <w:top w:val="single" w:color="A8D08D" w:themeColor="accent6" w:themeTint="99" w:sz="4" w:space="0"/>
        </w:tcBorders>
      </w:tcPr>
    </w:tblStylePr>
  </w:style>
  <w:style w:type="character" w:customStyle="1" w:styleId="579">
    <w:name w:val="井号标签1"/>
    <w:basedOn w:val="231"/>
    <w:autoRedefine/>
    <w:qFormat/>
    <w:uiPriority w:val="0"/>
    <w:rPr>
      <w:color w:val="2B579A"/>
      <w:shd w:val="clear" w:color="auto" w:fill="E1DFDD"/>
    </w:rPr>
  </w:style>
  <w:style w:type="character" w:customStyle="1" w:styleId="580">
    <w:name w:val="HTML 地址 字符"/>
    <w:basedOn w:val="231"/>
    <w:link w:val="41"/>
    <w:autoRedefine/>
    <w:qFormat/>
    <w:uiPriority w:val="0"/>
    <w:rPr>
      <w:i/>
      <w:iCs/>
      <w:sz w:val="24"/>
      <w:szCs w:val="24"/>
      <w:lang w:eastAsia="en-US"/>
    </w:rPr>
  </w:style>
  <w:style w:type="character" w:customStyle="1" w:styleId="581">
    <w:name w:val="Intense Emphasis"/>
    <w:basedOn w:val="231"/>
    <w:autoRedefine/>
    <w:qFormat/>
    <w:uiPriority w:val="21"/>
    <w:rPr>
      <w:i/>
      <w:iCs/>
      <w:color w:val="4472C4" w:themeColor="accent1"/>
      <w14:textFill>
        <w14:solidFill>
          <w14:schemeClr w14:val="accent1"/>
        </w14:solidFill>
      </w14:textFill>
    </w:rPr>
  </w:style>
  <w:style w:type="paragraph" w:styleId="582">
    <w:name w:val="Intense Quote"/>
    <w:basedOn w:val="1"/>
    <w:next w:val="1"/>
    <w:link w:val="583"/>
    <w:autoRedefine/>
    <w:qFormat/>
    <w:uiPriority w:val="30"/>
    <w:pPr>
      <w:pBdr>
        <w:top w:val="single" w:color="4472C4" w:themeColor="accent1" w:sz="4" w:space="10"/>
        <w:bottom w:val="single" w:color="4472C4" w:themeColor="accent1" w:sz="4" w:space="10"/>
      </w:pBdr>
      <w:spacing w:before="360" w:after="360"/>
      <w:ind w:left="864" w:right="864"/>
      <w:jc w:val="center"/>
    </w:pPr>
    <w:rPr>
      <w:i/>
      <w:iCs/>
      <w:color w:val="4472C4" w:themeColor="accent1"/>
      <w14:textFill>
        <w14:solidFill>
          <w14:schemeClr w14:val="accent1"/>
        </w14:solidFill>
      </w14:textFill>
    </w:rPr>
  </w:style>
  <w:style w:type="character" w:customStyle="1" w:styleId="583">
    <w:name w:val="明显引用 字符"/>
    <w:basedOn w:val="231"/>
    <w:link w:val="582"/>
    <w:autoRedefine/>
    <w:qFormat/>
    <w:uiPriority w:val="30"/>
    <w:rPr>
      <w:i/>
      <w:iCs/>
      <w:color w:val="4472C4" w:themeColor="accent1"/>
      <w:sz w:val="24"/>
      <w:szCs w:val="24"/>
      <w:lang w:eastAsia="en-US"/>
      <w14:textFill>
        <w14:solidFill>
          <w14:schemeClr w14:val="accent1"/>
        </w14:solidFill>
      </w14:textFill>
    </w:rPr>
  </w:style>
  <w:style w:type="character" w:customStyle="1" w:styleId="584">
    <w:name w:val="Intense Reference"/>
    <w:basedOn w:val="231"/>
    <w:autoRedefine/>
    <w:qFormat/>
    <w:uiPriority w:val="32"/>
    <w:rPr>
      <w:b/>
      <w:bCs/>
      <w:smallCaps/>
      <w:color w:val="4472C4" w:themeColor="accent1"/>
      <w:spacing w:val="5"/>
      <w14:textFill>
        <w14:solidFill>
          <w14:schemeClr w14:val="accent1"/>
        </w14:solidFill>
      </w14:textFill>
    </w:rPr>
  </w:style>
  <w:style w:type="paragraph" w:styleId="585">
    <w:name w:val="List Paragraph"/>
    <w:basedOn w:val="1"/>
    <w:autoRedefine/>
    <w:qFormat/>
    <w:uiPriority w:val="34"/>
    <w:pPr>
      <w:ind w:left="720"/>
      <w:contextualSpacing/>
    </w:pPr>
  </w:style>
  <w:style w:type="table" w:customStyle="1" w:styleId="586">
    <w:name w:val="List Table 1 Light"/>
    <w:basedOn w:val="88"/>
    <w:autoRedefine/>
    <w:qFormat/>
    <w:uiPriority w:val="46"/>
    <w:tblStylePr w:type="firstRow">
      <w:rPr>
        <w:b/>
        <w:bCs/>
      </w:rPr>
      <w:tcPr>
        <w:tcBorders>
          <w:bottom w:val="single" w:color="666666" w:themeColor="text1" w:themeTint="99" w:sz="4" w:space="0"/>
        </w:tcBorders>
      </w:tcPr>
    </w:tblStylePr>
    <w:tblStylePr w:type="lastRow">
      <w:rPr>
        <w:b/>
        <w:bCs/>
      </w:rPr>
      <w:tcPr>
        <w:tcBorders>
          <w:top w:val="sing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587">
    <w:name w:val="List Table 1 Light Accent 1"/>
    <w:basedOn w:val="88"/>
    <w:autoRedefine/>
    <w:qFormat/>
    <w:uiPriority w:val="46"/>
    <w:tblStylePr w:type="firstRow">
      <w:rPr>
        <w:b/>
        <w:bCs/>
      </w:rPr>
      <w:tcPr>
        <w:tcBorders>
          <w:bottom w:val="single" w:color="8EAADB" w:themeColor="accent1" w:themeTint="99" w:sz="4" w:space="0"/>
        </w:tcBorders>
      </w:tcPr>
    </w:tblStylePr>
    <w:tblStylePr w:type="lastRow">
      <w:rPr>
        <w:b/>
        <w:bCs/>
      </w:rPr>
      <w:tcPr>
        <w:tcBorders>
          <w:top w:val="sing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588">
    <w:name w:val="List Table 1 Light Accent 2"/>
    <w:basedOn w:val="88"/>
    <w:autoRedefine/>
    <w:qFormat/>
    <w:uiPriority w:val="46"/>
    <w:tblStylePr w:type="firstRow">
      <w:rPr>
        <w:b/>
        <w:bCs/>
      </w:rPr>
      <w:tcPr>
        <w:tcBorders>
          <w:bottom w:val="single" w:color="F4B083" w:themeColor="accent2" w:themeTint="99" w:sz="4" w:space="0"/>
        </w:tcBorders>
      </w:tcPr>
    </w:tblStylePr>
    <w:tblStylePr w:type="lastRow">
      <w:rPr>
        <w:b/>
        <w:bCs/>
      </w:rPr>
      <w:tcPr>
        <w:tcBorders>
          <w:top w:val="single" w:color="F4B083" w:themeColor="accent2" w:themeTint="99"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589">
    <w:name w:val="List Table 1 Light Accent 3"/>
    <w:basedOn w:val="88"/>
    <w:autoRedefine/>
    <w:qFormat/>
    <w:uiPriority w:val="46"/>
    <w:tblStylePr w:type="firstRow">
      <w:rPr>
        <w:b/>
        <w:bCs/>
      </w:rPr>
      <w:tcPr>
        <w:tcBorders>
          <w:bottom w:val="single" w:color="C8C8C8" w:themeColor="accent3" w:themeTint="99" w:sz="4" w:space="0"/>
        </w:tcBorders>
      </w:tcPr>
    </w:tblStylePr>
    <w:tblStylePr w:type="lastRow">
      <w:rPr>
        <w:b/>
        <w:bCs/>
      </w:rPr>
      <w:tcPr>
        <w:tcBorders>
          <w:top w:val="sing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590">
    <w:name w:val="List Table 1 Light Accent 4"/>
    <w:basedOn w:val="88"/>
    <w:autoRedefine/>
    <w:qFormat/>
    <w:uiPriority w:val="46"/>
    <w:tblStylePr w:type="firstRow">
      <w:rPr>
        <w:b/>
        <w:bCs/>
      </w:rPr>
      <w:tcPr>
        <w:tcBorders>
          <w:bottom w:val="single" w:color="FFD965" w:themeColor="accent4" w:themeTint="99" w:sz="4" w:space="0"/>
        </w:tcBorders>
      </w:tcPr>
    </w:tblStylePr>
    <w:tblStylePr w:type="lastRow">
      <w:rPr>
        <w:b/>
        <w:bCs/>
      </w:rPr>
      <w:tcPr>
        <w:tcBorders>
          <w:top w:val="sing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591">
    <w:name w:val="List Table 1 Light Accent 5"/>
    <w:basedOn w:val="88"/>
    <w:autoRedefine/>
    <w:qFormat/>
    <w:uiPriority w:val="46"/>
    <w:tblStylePr w:type="firstRow">
      <w:rPr>
        <w:b/>
        <w:bCs/>
      </w:rPr>
      <w:tcPr>
        <w:tcBorders>
          <w:bottom w:val="single" w:color="9CC2E5" w:themeColor="accent5" w:themeTint="99" w:sz="4" w:space="0"/>
        </w:tcBorders>
      </w:tcPr>
    </w:tblStylePr>
    <w:tblStylePr w:type="lastRow">
      <w:rPr>
        <w:b/>
        <w:bCs/>
      </w:rPr>
      <w:tcPr>
        <w:tcBorders>
          <w:top w:val="sing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592">
    <w:name w:val="List Table 1 Light Accent 6"/>
    <w:basedOn w:val="88"/>
    <w:autoRedefine/>
    <w:qFormat/>
    <w:uiPriority w:val="46"/>
    <w:tblStylePr w:type="firstRow">
      <w:rPr>
        <w:b/>
        <w:bCs/>
      </w:rPr>
      <w:tcPr>
        <w:tcBorders>
          <w:bottom w:val="single" w:color="A8D08D" w:themeColor="accent6" w:themeTint="99" w:sz="4" w:space="0"/>
        </w:tcBorders>
      </w:tcPr>
    </w:tblStylePr>
    <w:tblStylePr w:type="lastRow">
      <w:rPr>
        <w:b/>
        <w:bCs/>
      </w:rPr>
      <w:tcPr>
        <w:tcBorders>
          <w:top w:val="sing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593">
    <w:name w:val="List Table 2"/>
    <w:basedOn w:val="88"/>
    <w:autoRedefine/>
    <w:qFormat/>
    <w:uiPriority w:val="47"/>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594">
    <w:name w:val="List Table 2 Accent 1"/>
    <w:basedOn w:val="88"/>
    <w:autoRedefine/>
    <w:qFormat/>
    <w:uiPriority w:val="47"/>
    <w:tblPr>
      <w:tblBorders>
        <w:top w:val="single" w:color="8EAADB" w:themeColor="accent1" w:themeTint="99" w:sz="4" w:space="0"/>
        <w:bottom w:val="single" w:color="8EAADB" w:themeColor="accent1" w:themeTint="99" w:sz="4" w:space="0"/>
        <w:insideH w:val="single" w:color="8EAADB"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595">
    <w:name w:val="List Table 2 Accent 2"/>
    <w:basedOn w:val="88"/>
    <w:autoRedefine/>
    <w:qFormat/>
    <w:uiPriority w:val="47"/>
    <w:tblPr>
      <w:tblBorders>
        <w:top w:val="single" w:color="F4B083" w:themeColor="accent2" w:themeTint="99" w:sz="4" w:space="0"/>
        <w:bottom w:val="single" w:color="F4B083" w:themeColor="accent2" w:themeTint="99" w:sz="4" w:space="0"/>
        <w:insideH w:val="single" w:color="F4B083"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596">
    <w:name w:val="List Table 2 Accent 3"/>
    <w:basedOn w:val="88"/>
    <w:autoRedefine/>
    <w:qFormat/>
    <w:uiPriority w:val="47"/>
    <w:tblPr>
      <w:tblBorders>
        <w:top w:val="single" w:color="C8C8C8" w:themeColor="accent3" w:themeTint="99" w:sz="4" w:space="0"/>
        <w:bottom w:val="single" w:color="C8C8C8" w:themeColor="accent3" w:themeTint="99" w:sz="4" w:space="0"/>
        <w:insideH w:val="single" w:color="C8C8C8"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597">
    <w:name w:val="List Table 2 Accent 4"/>
    <w:basedOn w:val="88"/>
    <w:autoRedefine/>
    <w:qFormat/>
    <w:uiPriority w:val="47"/>
    <w:tblPr>
      <w:tblBorders>
        <w:top w:val="single" w:color="FFD965" w:themeColor="accent4" w:themeTint="99" w:sz="4" w:space="0"/>
        <w:bottom w:val="single" w:color="FFD965" w:themeColor="accent4" w:themeTint="99" w:sz="4" w:space="0"/>
        <w:insideH w:val="single" w:color="FFD965"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598">
    <w:name w:val="List Table 2 Accent 5"/>
    <w:basedOn w:val="88"/>
    <w:autoRedefine/>
    <w:qFormat/>
    <w:uiPriority w:val="47"/>
    <w:tblPr>
      <w:tblBorders>
        <w:top w:val="single" w:color="9CC2E5" w:themeColor="accent5" w:themeTint="99" w:sz="4" w:space="0"/>
        <w:bottom w:val="single" w:color="9CC2E5" w:themeColor="accent5" w:themeTint="99" w:sz="4" w:space="0"/>
        <w:insideH w:val="single" w:color="9CC2E5"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599">
    <w:name w:val="List Table 2 Accent 6"/>
    <w:basedOn w:val="88"/>
    <w:autoRedefine/>
    <w:qFormat/>
    <w:uiPriority w:val="47"/>
    <w:tblPr>
      <w:tblBorders>
        <w:top w:val="single" w:color="A8D08D" w:themeColor="accent6" w:themeTint="99" w:sz="4" w:space="0"/>
        <w:bottom w:val="single" w:color="A8D08D" w:themeColor="accent6" w:themeTint="99" w:sz="4" w:space="0"/>
        <w:insideH w:val="single" w:color="A8D08D"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600">
    <w:name w:val="List Table 3"/>
    <w:basedOn w:val="88"/>
    <w:autoRedefine/>
    <w:qFormat/>
    <w:uiPriority w:val="48"/>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14:textFill>
          <w14:solidFill>
            <w14:schemeClr w14:val="bg1"/>
          </w14:solidFill>
        </w14:textFill>
      </w:rPr>
      <w:tcPr>
        <w:shd w:val="clear" w:color="auto" w:fill="000000" w:themeFill="text1"/>
      </w:tcPr>
    </w:tblStylePr>
    <w:tblStylePr w:type="lastRow">
      <w:rPr>
        <w:b/>
        <w:bCs/>
      </w:rPr>
      <w:tcPr>
        <w:tcBorders>
          <w:top w:val="double" w:color="000000" w:themeColor="tex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000000" w:themeColor="text1" w:sz="4" w:space="0"/>
          <w:left w:val="nil"/>
        </w:tcBorders>
      </w:tcPr>
    </w:tblStylePr>
    <w:tblStylePr w:type="swCell">
      <w:tcPr>
        <w:tcBorders>
          <w:top w:val="double" w:color="000000" w:themeColor="text1" w:sz="4" w:space="0"/>
          <w:right w:val="nil"/>
        </w:tcBorders>
      </w:tcPr>
    </w:tblStylePr>
  </w:style>
  <w:style w:type="table" w:customStyle="1" w:styleId="601">
    <w:name w:val="List Table 3 Accent 1"/>
    <w:basedOn w:val="88"/>
    <w:autoRedefine/>
    <w:qFormat/>
    <w:uiPriority w:val="48"/>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14:textFill>
          <w14:solidFill>
            <w14:schemeClr w14:val="bg1"/>
          </w14:solidFill>
        </w14:textFill>
      </w:rPr>
      <w:tcPr>
        <w:shd w:val="clear" w:color="auto" w:fill="4472C4" w:themeFill="accent1"/>
      </w:tcPr>
    </w:tblStylePr>
    <w:tblStylePr w:type="lastRow">
      <w:rPr>
        <w:b/>
        <w:bCs/>
      </w:rPr>
      <w:tcPr>
        <w:tcBorders>
          <w:top w:val="double" w:color="4472C4" w:themeColor="accen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472C4" w:themeColor="accent1" w:sz="4" w:space="0"/>
          <w:right w:val="single" w:color="4472C4" w:themeColor="accent1" w:sz="4" w:space="0"/>
        </w:tcBorders>
      </w:tcPr>
    </w:tblStylePr>
    <w:tblStylePr w:type="band1Horz">
      <w:tcPr>
        <w:tcBorders>
          <w:top w:val="single" w:color="4472C4" w:themeColor="accent1" w:sz="4" w:space="0"/>
          <w:bottom w:val="single" w:color="4472C4" w:themeColor="accen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472C4" w:themeColor="accent1" w:sz="4" w:space="0"/>
          <w:left w:val="nil"/>
        </w:tcBorders>
      </w:tcPr>
    </w:tblStylePr>
    <w:tblStylePr w:type="swCell">
      <w:tcPr>
        <w:tcBorders>
          <w:top w:val="double" w:color="4472C4" w:themeColor="accent1" w:sz="4" w:space="0"/>
          <w:right w:val="nil"/>
        </w:tcBorders>
      </w:tcPr>
    </w:tblStylePr>
  </w:style>
  <w:style w:type="table" w:customStyle="1" w:styleId="602">
    <w:name w:val="List Table 3 Accent 2"/>
    <w:basedOn w:val="88"/>
    <w:uiPriority w:val="48"/>
    <w:tblPr>
      <w:tblBorders>
        <w:top w:val="single" w:color="ED7D31" w:themeColor="accent2" w:sz="4" w:space="0"/>
        <w:left w:val="single" w:color="ED7D31" w:themeColor="accent2" w:sz="4" w:space="0"/>
        <w:bottom w:val="single" w:color="ED7D31" w:themeColor="accent2" w:sz="4" w:space="0"/>
        <w:right w:val="single" w:color="ED7D31" w:themeColor="accent2" w:sz="4" w:space="0"/>
      </w:tblBorders>
    </w:tblPr>
    <w:tblStylePr w:type="firstRow">
      <w:rPr>
        <w:b/>
        <w:bCs/>
        <w:color w:val="FFFFFF" w:themeColor="background1"/>
        <w14:textFill>
          <w14:solidFill>
            <w14:schemeClr w14:val="bg1"/>
          </w14:solidFill>
        </w14:textFill>
      </w:rPr>
      <w:tcPr>
        <w:shd w:val="clear" w:color="auto" w:fill="ED7D31" w:themeFill="accent2"/>
      </w:tcPr>
    </w:tblStylePr>
    <w:tblStylePr w:type="lastRow">
      <w:rPr>
        <w:b/>
        <w:bCs/>
      </w:rPr>
      <w:tcPr>
        <w:tcBorders>
          <w:top w:val="double" w:color="ED7D31" w:themeColor="accent2"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ED7D31" w:themeColor="accent2" w:sz="4" w:space="0"/>
          <w:right w:val="single" w:color="ED7D31" w:themeColor="accent2" w:sz="4" w:space="0"/>
        </w:tcBorders>
      </w:tcPr>
    </w:tblStylePr>
    <w:tblStylePr w:type="band1Horz">
      <w:tcPr>
        <w:tcBorders>
          <w:top w:val="single" w:color="ED7D31" w:themeColor="accent2" w:sz="4" w:space="0"/>
          <w:bottom w:val="single" w:color="ED7D31" w:themeColor="accent2"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ED7D31" w:themeColor="accent2" w:sz="4" w:space="0"/>
          <w:left w:val="nil"/>
        </w:tcBorders>
      </w:tcPr>
    </w:tblStylePr>
    <w:tblStylePr w:type="swCell">
      <w:tcPr>
        <w:tcBorders>
          <w:top w:val="double" w:color="ED7D31" w:themeColor="accent2" w:sz="4" w:space="0"/>
          <w:right w:val="nil"/>
        </w:tcBorders>
      </w:tcPr>
    </w:tblStylePr>
  </w:style>
  <w:style w:type="table" w:customStyle="1" w:styleId="603">
    <w:name w:val="List Table 3 Accent 3"/>
    <w:basedOn w:val="88"/>
    <w:autoRedefine/>
    <w:qFormat/>
    <w:uiPriority w:val="48"/>
    <w:tblPr>
      <w:tblBorders>
        <w:top w:val="single" w:color="A5A5A5" w:themeColor="accent3" w:sz="4" w:space="0"/>
        <w:left w:val="single" w:color="A5A5A5" w:themeColor="accent3" w:sz="4" w:space="0"/>
        <w:bottom w:val="single" w:color="A5A5A5" w:themeColor="accent3" w:sz="4" w:space="0"/>
        <w:right w:val="single" w:color="A5A5A5" w:themeColor="accent3" w:sz="4" w:space="0"/>
      </w:tblBorders>
    </w:tblPr>
    <w:tblStylePr w:type="firstRow">
      <w:rPr>
        <w:b/>
        <w:bCs/>
        <w:color w:val="FFFFFF" w:themeColor="background1"/>
        <w14:textFill>
          <w14:solidFill>
            <w14:schemeClr w14:val="bg1"/>
          </w14:solidFill>
        </w14:textFill>
      </w:rPr>
      <w:tcPr>
        <w:shd w:val="clear" w:color="auto" w:fill="A5A5A5" w:themeFill="accent3"/>
      </w:tcPr>
    </w:tblStylePr>
    <w:tblStylePr w:type="lastRow">
      <w:rPr>
        <w:b/>
        <w:bCs/>
      </w:rPr>
      <w:tcPr>
        <w:tcBorders>
          <w:top w:val="double" w:color="A5A5A5" w:themeColor="accent3"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A5A5A5" w:themeColor="accent3" w:sz="4" w:space="0"/>
          <w:right w:val="single" w:color="A5A5A5" w:themeColor="accent3" w:sz="4" w:space="0"/>
        </w:tcBorders>
      </w:tcPr>
    </w:tblStylePr>
    <w:tblStylePr w:type="band1Horz">
      <w:tcPr>
        <w:tcBorders>
          <w:top w:val="single" w:color="A5A5A5" w:themeColor="accent3" w:sz="4" w:space="0"/>
          <w:bottom w:val="single" w:color="A5A5A5" w:themeColor="accent3"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A5A5A5" w:themeColor="accent3" w:sz="4" w:space="0"/>
          <w:left w:val="nil"/>
        </w:tcBorders>
      </w:tcPr>
    </w:tblStylePr>
    <w:tblStylePr w:type="swCell">
      <w:tcPr>
        <w:tcBorders>
          <w:top w:val="double" w:color="A5A5A5" w:themeColor="accent3" w:sz="4" w:space="0"/>
          <w:right w:val="nil"/>
        </w:tcBorders>
      </w:tcPr>
    </w:tblStylePr>
  </w:style>
  <w:style w:type="table" w:customStyle="1" w:styleId="604">
    <w:name w:val="List Table 3 Accent 4"/>
    <w:basedOn w:val="88"/>
    <w:autoRedefine/>
    <w:qFormat/>
    <w:uiPriority w:val="48"/>
    <w:tblPr>
      <w:tblBorders>
        <w:top w:val="single" w:color="FFC000" w:themeColor="accent4" w:sz="4" w:space="0"/>
        <w:left w:val="single" w:color="FFC000" w:themeColor="accent4" w:sz="4" w:space="0"/>
        <w:bottom w:val="single" w:color="FFC000" w:themeColor="accent4" w:sz="4" w:space="0"/>
        <w:right w:val="single" w:color="FFC000" w:themeColor="accent4" w:sz="4" w:space="0"/>
      </w:tblBorders>
    </w:tblPr>
    <w:tblStylePr w:type="firstRow">
      <w:rPr>
        <w:b/>
        <w:bCs/>
        <w:color w:val="FFFFFF" w:themeColor="background1"/>
        <w14:textFill>
          <w14:solidFill>
            <w14:schemeClr w14:val="bg1"/>
          </w14:solidFill>
        </w14:textFill>
      </w:rPr>
      <w:tcPr>
        <w:shd w:val="clear" w:color="auto" w:fill="FFC000" w:themeFill="accent4"/>
      </w:tcPr>
    </w:tblStylePr>
    <w:tblStylePr w:type="lastRow">
      <w:rPr>
        <w:b/>
        <w:bCs/>
      </w:rPr>
      <w:tcPr>
        <w:tcBorders>
          <w:top w:val="double" w:color="FFC000" w:themeColor="accent4"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FFC000" w:themeColor="accent4" w:sz="4" w:space="0"/>
          <w:right w:val="single" w:color="FFC000" w:themeColor="accent4" w:sz="4" w:space="0"/>
        </w:tcBorders>
      </w:tcPr>
    </w:tblStylePr>
    <w:tblStylePr w:type="band1Horz">
      <w:tcPr>
        <w:tcBorders>
          <w:top w:val="single" w:color="FFC000" w:themeColor="accent4" w:sz="4" w:space="0"/>
          <w:bottom w:val="single" w:color="FFC000" w:themeColor="accent4"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FFC000" w:themeColor="accent4" w:sz="4" w:space="0"/>
          <w:left w:val="nil"/>
        </w:tcBorders>
      </w:tcPr>
    </w:tblStylePr>
    <w:tblStylePr w:type="swCell">
      <w:tcPr>
        <w:tcBorders>
          <w:top w:val="double" w:color="FFC000" w:themeColor="accent4" w:sz="4" w:space="0"/>
          <w:right w:val="nil"/>
        </w:tcBorders>
      </w:tcPr>
    </w:tblStylePr>
  </w:style>
  <w:style w:type="table" w:customStyle="1" w:styleId="605">
    <w:name w:val="List Table 3 Accent 5"/>
    <w:basedOn w:val="88"/>
    <w:autoRedefine/>
    <w:qFormat/>
    <w:uiPriority w:val="48"/>
    <w:tblPr>
      <w:tblBorders>
        <w:top w:val="single" w:color="5B9BD5" w:themeColor="accent5" w:sz="4" w:space="0"/>
        <w:left w:val="single" w:color="5B9BD5" w:themeColor="accent5" w:sz="4" w:space="0"/>
        <w:bottom w:val="single" w:color="5B9BD5" w:themeColor="accent5" w:sz="4" w:space="0"/>
        <w:right w:val="single" w:color="5B9BD5" w:themeColor="accent5" w:sz="4" w:space="0"/>
      </w:tblBorders>
    </w:tblPr>
    <w:tblStylePr w:type="firstRow">
      <w:rPr>
        <w:b/>
        <w:bCs/>
        <w:color w:val="FFFFFF" w:themeColor="background1"/>
        <w14:textFill>
          <w14:solidFill>
            <w14:schemeClr w14:val="bg1"/>
          </w14:solidFill>
        </w14:textFill>
      </w:rPr>
      <w:tcPr>
        <w:shd w:val="clear" w:color="auto" w:fill="5B9BD5" w:themeFill="accent5"/>
      </w:tcPr>
    </w:tblStylePr>
    <w:tblStylePr w:type="lastRow">
      <w:rPr>
        <w:b/>
        <w:bCs/>
      </w:rPr>
      <w:tcPr>
        <w:tcBorders>
          <w:top w:val="double" w:color="5B9BD5" w:themeColor="accent5"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5B9BD5" w:themeColor="accent5" w:sz="4" w:space="0"/>
          <w:right w:val="single" w:color="5B9BD5" w:themeColor="accent5" w:sz="4" w:space="0"/>
        </w:tcBorders>
      </w:tcPr>
    </w:tblStylePr>
    <w:tblStylePr w:type="band1Horz">
      <w:tcPr>
        <w:tcBorders>
          <w:top w:val="single" w:color="5B9BD5" w:themeColor="accent5" w:sz="4" w:space="0"/>
          <w:bottom w:val="single" w:color="5B9BD5" w:themeColor="accent5"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5B9BD5" w:themeColor="accent5" w:sz="4" w:space="0"/>
          <w:left w:val="nil"/>
        </w:tcBorders>
      </w:tcPr>
    </w:tblStylePr>
    <w:tblStylePr w:type="swCell">
      <w:tcPr>
        <w:tcBorders>
          <w:top w:val="double" w:color="5B9BD5" w:themeColor="accent5" w:sz="4" w:space="0"/>
          <w:right w:val="nil"/>
        </w:tcBorders>
      </w:tcPr>
    </w:tblStylePr>
  </w:style>
  <w:style w:type="table" w:customStyle="1" w:styleId="606">
    <w:name w:val="List Table 3 Accent 6"/>
    <w:basedOn w:val="88"/>
    <w:autoRedefine/>
    <w:qFormat/>
    <w:uiPriority w:val="48"/>
    <w:tblPr>
      <w:tblBorders>
        <w:top w:val="single" w:color="70AD47" w:themeColor="accent6" w:sz="4" w:space="0"/>
        <w:left w:val="single" w:color="70AD47" w:themeColor="accent6" w:sz="4" w:space="0"/>
        <w:bottom w:val="single" w:color="70AD47" w:themeColor="accent6" w:sz="4" w:space="0"/>
        <w:right w:val="single" w:color="70AD47" w:themeColor="accent6" w:sz="4" w:space="0"/>
      </w:tblBorders>
    </w:tblPr>
    <w:tblStylePr w:type="firstRow">
      <w:rPr>
        <w:b/>
        <w:bCs/>
        <w:color w:val="FFFFFF" w:themeColor="background1"/>
        <w14:textFill>
          <w14:solidFill>
            <w14:schemeClr w14:val="bg1"/>
          </w14:solidFill>
        </w14:textFill>
      </w:rPr>
      <w:tcPr>
        <w:shd w:val="clear" w:color="auto" w:fill="70AD47" w:themeFill="accent6"/>
      </w:tcPr>
    </w:tblStylePr>
    <w:tblStylePr w:type="lastRow">
      <w:rPr>
        <w:b/>
        <w:bCs/>
      </w:rPr>
      <w:tcPr>
        <w:tcBorders>
          <w:top w:val="double" w:color="70AD47" w:themeColor="accent6"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70AD47" w:themeColor="accent6" w:sz="4" w:space="0"/>
          <w:right w:val="single" w:color="70AD47" w:themeColor="accent6" w:sz="4" w:space="0"/>
        </w:tcBorders>
      </w:tcPr>
    </w:tblStylePr>
    <w:tblStylePr w:type="band1Horz">
      <w:tcPr>
        <w:tcBorders>
          <w:top w:val="single" w:color="70AD47" w:themeColor="accent6" w:sz="4" w:space="0"/>
          <w:bottom w:val="single" w:color="70AD47" w:themeColor="accent6"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70AD47" w:themeColor="accent6" w:sz="4" w:space="0"/>
          <w:left w:val="nil"/>
        </w:tcBorders>
      </w:tcPr>
    </w:tblStylePr>
    <w:tblStylePr w:type="swCell">
      <w:tcPr>
        <w:tcBorders>
          <w:top w:val="double" w:color="70AD47" w:themeColor="accent6" w:sz="4" w:space="0"/>
          <w:right w:val="nil"/>
        </w:tcBorders>
      </w:tcPr>
    </w:tblStylePr>
  </w:style>
  <w:style w:type="table" w:customStyle="1" w:styleId="607">
    <w:name w:val="List Table 4"/>
    <w:basedOn w:val="88"/>
    <w:autoRedefine/>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608">
    <w:name w:val="List Table 4 Accent 1"/>
    <w:basedOn w:val="88"/>
    <w:autoRedefine/>
    <w:uiPriority w:val="49"/>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tcBorders>
        <w:shd w:val="clear" w:color="auto" w:fill="4472C4" w:themeFill="accent1"/>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609">
    <w:name w:val="List Table 4 Accent 2"/>
    <w:basedOn w:val="88"/>
    <w:autoRedefine/>
    <w:qFormat/>
    <w:uiPriority w:val="49"/>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tblBorders>
    </w:tblPr>
    <w:tblStylePr w:type="firstRow">
      <w:rPr>
        <w:b/>
        <w:bCs/>
        <w:color w:val="FFFFFF" w:themeColor="background1"/>
        <w14:textFill>
          <w14:solidFill>
            <w14:schemeClr w14:val="bg1"/>
          </w14:solidFill>
        </w14:textFill>
      </w:r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tcBorders>
        <w:shd w:val="clear" w:color="auto" w:fill="ED7D31" w:themeFill="accent2"/>
      </w:tcPr>
    </w:tblStylePr>
    <w:tblStylePr w:type="lastRow">
      <w:rPr>
        <w:b/>
        <w:bCs/>
      </w:rPr>
      <w:tcPr>
        <w:tcBorders>
          <w:top w:val="double" w:color="F4B083" w:themeColor="accent2" w:themeTint="99"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610">
    <w:name w:val="List Table 4 Accent 3"/>
    <w:basedOn w:val="88"/>
    <w:autoRedefine/>
    <w:qFormat/>
    <w:uiPriority w:val="49"/>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tcBorders>
        <w:shd w:val="clear" w:color="auto" w:fill="A5A5A5" w:themeFill="accent3"/>
      </w:tcPr>
    </w:tblStylePr>
    <w:tblStylePr w:type="lastRow">
      <w:rPr>
        <w:b/>
        <w:bCs/>
      </w:rPr>
      <w:tcPr>
        <w:tcBorders>
          <w:top w:val="doub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611">
    <w:name w:val="List Table 4 Accent 4"/>
    <w:basedOn w:val="88"/>
    <w:autoRedefine/>
    <w:qFormat/>
    <w:uiPriority w:val="49"/>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tcBorders>
        <w:shd w:val="clear" w:color="auto" w:fill="FFC000" w:themeFill="accent4"/>
      </w:tcPr>
    </w:tblStylePr>
    <w:tblStylePr w:type="lastRow">
      <w:rPr>
        <w:b/>
        <w:bCs/>
      </w:rPr>
      <w:tcPr>
        <w:tcBorders>
          <w:top w:val="doub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612">
    <w:name w:val="List Table 4 Accent 5"/>
    <w:basedOn w:val="88"/>
    <w:autoRedefine/>
    <w:qFormat/>
    <w:uiPriority w:val="49"/>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tcBorders>
        <w:shd w:val="clear" w:color="auto" w:fill="5B9BD5" w:themeFill="accent5"/>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613">
    <w:name w:val="List Table 4 Accent 6"/>
    <w:basedOn w:val="88"/>
    <w:autoRedefine/>
    <w:qFormat/>
    <w:uiPriority w:val="49"/>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tcBorders>
        <w:shd w:val="clear" w:color="auto" w:fill="70AD47" w:themeFill="accent6"/>
      </w:tcPr>
    </w:tblStylePr>
    <w:tblStylePr w:type="lastRow">
      <w:rPr>
        <w:b/>
        <w:bCs/>
      </w:rPr>
      <w:tcPr>
        <w:tcBorders>
          <w:top w:val="doub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614">
    <w:name w:val="List Table 5 Dark"/>
    <w:basedOn w:val="88"/>
    <w:autoRedefine/>
    <w:qFormat/>
    <w:uiPriority w:val="50"/>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615">
    <w:name w:val="List Table 5 Dark Accent 1"/>
    <w:basedOn w:val="88"/>
    <w:autoRedefine/>
    <w:qFormat/>
    <w:uiPriority w:val="50"/>
    <w:rPr>
      <w:color w:val="FFFFFF" w:themeColor="background1"/>
      <w14:textFill>
        <w14:solidFill>
          <w14:schemeClr w14:val="bg1"/>
        </w14:solidFill>
      </w14:textFill>
    </w:rPr>
    <w:tblPr>
      <w:tblBorders>
        <w:top w:val="single" w:color="4472C4" w:themeColor="accent1" w:sz="24" w:space="0"/>
        <w:left w:val="single" w:color="4472C4" w:themeColor="accent1" w:sz="24" w:space="0"/>
        <w:bottom w:val="single" w:color="4472C4" w:themeColor="accent1" w:sz="24" w:space="0"/>
        <w:right w:val="single" w:color="4472C4" w:themeColor="accent1" w:sz="24" w:space="0"/>
      </w:tblBorders>
    </w:tblPr>
    <w:tcPr>
      <w:shd w:val="clear" w:color="auto" w:fill="4472C4" w:themeFill="accen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616">
    <w:name w:val="List Table 5 Dark Accent 2"/>
    <w:basedOn w:val="88"/>
    <w:autoRedefine/>
    <w:qFormat/>
    <w:uiPriority w:val="50"/>
    <w:rPr>
      <w:color w:val="FFFFFF" w:themeColor="background1"/>
      <w14:textFill>
        <w14:solidFill>
          <w14:schemeClr w14:val="bg1"/>
        </w14:solidFill>
      </w14:textFill>
    </w:rPr>
    <w:tblPr>
      <w:tblBorders>
        <w:top w:val="single" w:color="ED7D31" w:themeColor="accent2" w:sz="24" w:space="0"/>
        <w:left w:val="single" w:color="ED7D31" w:themeColor="accent2" w:sz="24" w:space="0"/>
        <w:bottom w:val="single" w:color="ED7D31" w:themeColor="accent2" w:sz="24" w:space="0"/>
        <w:right w:val="single" w:color="ED7D31" w:themeColor="accent2" w:sz="24" w:space="0"/>
      </w:tblBorders>
    </w:tblPr>
    <w:tcPr>
      <w:shd w:val="clear" w:color="auto" w:fill="ED7D31" w:themeFill="accent2"/>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617">
    <w:name w:val="List Table 5 Dark Accent 3"/>
    <w:basedOn w:val="88"/>
    <w:autoRedefine/>
    <w:qFormat/>
    <w:uiPriority w:val="50"/>
    <w:rPr>
      <w:color w:val="FFFFFF" w:themeColor="background1"/>
      <w14:textFill>
        <w14:solidFill>
          <w14:schemeClr w14:val="bg1"/>
        </w14:solidFill>
      </w14:textFill>
    </w:rPr>
    <w:tblPr>
      <w:tblBorders>
        <w:top w:val="single" w:color="A5A5A5" w:themeColor="accent3" w:sz="24" w:space="0"/>
        <w:left w:val="single" w:color="A5A5A5" w:themeColor="accent3" w:sz="24" w:space="0"/>
        <w:bottom w:val="single" w:color="A5A5A5" w:themeColor="accent3" w:sz="24" w:space="0"/>
        <w:right w:val="single" w:color="A5A5A5" w:themeColor="accent3" w:sz="24" w:space="0"/>
      </w:tblBorders>
    </w:tblPr>
    <w:tcPr>
      <w:shd w:val="clear" w:color="auto" w:fill="A5A5A5" w:themeFill="accent3"/>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618">
    <w:name w:val="List Table 5 Dark Accent 4"/>
    <w:basedOn w:val="88"/>
    <w:autoRedefine/>
    <w:qFormat/>
    <w:uiPriority w:val="50"/>
    <w:rPr>
      <w:color w:val="FFFFFF" w:themeColor="background1"/>
      <w14:textFill>
        <w14:solidFill>
          <w14:schemeClr w14:val="bg1"/>
        </w14:solidFill>
      </w14:textFill>
    </w:rPr>
    <w:tblPr>
      <w:tblBorders>
        <w:top w:val="single" w:color="FFC000" w:themeColor="accent4" w:sz="24" w:space="0"/>
        <w:left w:val="single" w:color="FFC000" w:themeColor="accent4" w:sz="24" w:space="0"/>
        <w:bottom w:val="single" w:color="FFC000" w:themeColor="accent4" w:sz="24" w:space="0"/>
        <w:right w:val="single" w:color="FFC000" w:themeColor="accent4" w:sz="24" w:space="0"/>
      </w:tblBorders>
    </w:tblPr>
    <w:tcPr>
      <w:shd w:val="clear" w:color="auto" w:fill="FFC000" w:themeFill="accent4"/>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619">
    <w:name w:val="List Table 5 Dark Accent 5"/>
    <w:basedOn w:val="88"/>
    <w:autoRedefine/>
    <w:qFormat/>
    <w:uiPriority w:val="50"/>
    <w:rPr>
      <w:color w:val="FFFFFF" w:themeColor="background1"/>
      <w14:textFill>
        <w14:solidFill>
          <w14:schemeClr w14:val="bg1"/>
        </w14:solidFill>
      </w14:textFill>
    </w:rPr>
    <w:tblPr>
      <w:tblBorders>
        <w:top w:val="single" w:color="5B9BD5" w:themeColor="accent5" w:sz="24" w:space="0"/>
        <w:left w:val="single" w:color="5B9BD5" w:themeColor="accent5" w:sz="24" w:space="0"/>
        <w:bottom w:val="single" w:color="5B9BD5" w:themeColor="accent5" w:sz="24" w:space="0"/>
        <w:right w:val="single" w:color="5B9BD5" w:themeColor="accent5" w:sz="24" w:space="0"/>
      </w:tblBorders>
    </w:tblPr>
    <w:tcPr>
      <w:shd w:val="clear" w:color="auto" w:fill="5B9BD5" w:themeFill="accent5"/>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620">
    <w:name w:val="List Table 5 Dark Accent 6"/>
    <w:basedOn w:val="88"/>
    <w:autoRedefine/>
    <w:qFormat/>
    <w:uiPriority w:val="50"/>
    <w:rPr>
      <w:color w:val="FFFFFF" w:themeColor="background1"/>
      <w14:textFill>
        <w14:solidFill>
          <w14:schemeClr w14:val="bg1"/>
        </w14:solidFill>
      </w14:textFill>
    </w:rPr>
    <w:tblPr>
      <w:tblBorders>
        <w:top w:val="single" w:color="70AD47" w:themeColor="accent6" w:sz="24" w:space="0"/>
        <w:left w:val="single" w:color="70AD47" w:themeColor="accent6" w:sz="24" w:space="0"/>
        <w:bottom w:val="single" w:color="70AD47" w:themeColor="accent6" w:sz="24" w:space="0"/>
        <w:right w:val="single" w:color="70AD47" w:themeColor="accent6" w:sz="24" w:space="0"/>
      </w:tblBorders>
    </w:tblPr>
    <w:tcPr>
      <w:shd w:val="clear" w:color="auto" w:fill="70AD47" w:themeFill="accent6"/>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621">
    <w:name w:val="List Table 6 Colorful"/>
    <w:basedOn w:val="88"/>
    <w:autoRedefine/>
    <w:qFormat/>
    <w:uiPriority w:val="51"/>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firstRow">
      <w:rPr>
        <w:b/>
        <w:bCs/>
      </w:rPr>
      <w:tcPr>
        <w:tcBorders>
          <w:bottom w:val="single" w:color="000000" w:themeColor="text1" w:sz="4"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622">
    <w:name w:val="List Table 6 Colorful Accent 1"/>
    <w:basedOn w:val="88"/>
    <w:autoRedefine/>
    <w:qFormat/>
    <w:uiPriority w:val="51"/>
    <w:rPr>
      <w:color w:val="2F5597" w:themeColor="accent1" w:themeShade="BF"/>
    </w:rPr>
    <w:tblPr>
      <w:tblBorders>
        <w:top w:val="single" w:color="4472C4" w:themeColor="accent1" w:sz="4" w:space="0"/>
        <w:bottom w:val="single" w:color="4472C4" w:themeColor="accent1" w:sz="4" w:space="0"/>
      </w:tblBorders>
    </w:tblPr>
    <w:tblStylePr w:type="firstRow">
      <w:rPr>
        <w:b/>
        <w:bCs/>
      </w:rPr>
      <w:tcPr>
        <w:tcBorders>
          <w:bottom w:val="single" w:color="4472C4" w:themeColor="accent1" w:sz="4" w:space="0"/>
        </w:tcBorders>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623">
    <w:name w:val="List Table 6 Colorful Accent 2"/>
    <w:basedOn w:val="88"/>
    <w:autoRedefine/>
    <w:qFormat/>
    <w:uiPriority w:val="51"/>
    <w:rPr>
      <w:color w:val="C55A11" w:themeColor="accent2" w:themeShade="BF"/>
    </w:rPr>
    <w:tblPr>
      <w:tblBorders>
        <w:top w:val="single" w:color="ED7D31" w:themeColor="accent2" w:sz="4" w:space="0"/>
        <w:bottom w:val="single" w:color="ED7D31" w:themeColor="accent2" w:sz="4" w:space="0"/>
      </w:tblBorders>
    </w:tblPr>
    <w:tblStylePr w:type="firstRow">
      <w:rPr>
        <w:b/>
        <w:bCs/>
      </w:rPr>
      <w:tcPr>
        <w:tcBorders>
          <w:bottom w:val="single" w:color="ED7D31" w:themeColor="accent2" w:sz="4" w:space="0"/>
        </w:tcBorders>
      </w:tcPr>
    </w:tblStylePr>
    <w:tblStylePr w:type="lastRow">
      <w:rPr>
        <w:b/>
        <w:bCs/>
      </w:rPr>
      <w:tcPr>
        <w:tcBorders>
          <w:top w:val="double" w:color="ED7D31" w:themeColor="accent2"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624">
    <w:name w:val="List Table 6 Colorful Accent 3"/>
    <w:basedOn w:val="88"/>
    <w:autoRedefine/>
    <w:qFormat/>
    <w:uiPriority w:val="51"/>
    <w:rPr>
      <w:color w:val="7C7C7C" w:themeColor="accent3" w:themeShade="BF"/>
    </w:rPr>
    <w:tblPr>
      <w:tblBorders>
        <w:top w:val="single" w:color="A5A5A5" w:themeColor="accent3" w:sz="4" w:space="0"/>
        <w:bottom w:val="single" w:color="A5A5A5" w:themeColor="accent3" w:sz="4" w:space="0"/>
      </w:tblBorders>
    </w:tblPr>
    <w:tblStylePr w:type="firstRow">
      <w:rPr>
        <w:b/>
        <w:bCs/>
      </w:rPr>
      <w:tcPr>
        <w:tcBorders>
          <w:bottom w:val="single" w:color="A5A5A5" w:themeColor="accent3" w:sz="4" w:space="0"/>
        </w:tcBorders>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625">
    <w:name w:val="List Table 6 Colorful Accent 4"/>
    <w:basedOn w:val="88"/>
    <w:autoRedefine/>
    <w:qFormat/>
    <w:uiPriority w:val="51"/>
    <w:rPr>
      <w:color w:val="BF9000" w:themeColor="accent4" w:themeShade="BF"/>
    </w:rPr>
    <w:tblPr>
      <w:tblBorders>
        <w:top w:val="single" w:color="FFC000" w:themeColor="accent4" w:sz="4" w:space="0"/>
        <w:bottom w:val="single" w:color="FFC000" w:themeColor="accent4" w:sz="4" w:space="0"/>
      </w:tblBorders>
    </w:tblPr>
    <w:tblStylePr w:type="firstRow">
      <w:rPr>
        <w:b/>
        <w:bCs/>
      </w:rPr>
      <w:tcPr>
        <w:tcBorders>
          <w:bottom w:val="single" w:color="FFC000" w:themeColor="accent4" w:sz="4" w:space="0"/>
        </w:tcBorders>
      </w:tcPr>
    </w:tblStylePr>
    <w:tblStylePr w:type="lastRow">
      <w:rPr>
        <w:b/>
        <w:bCs/>
      </w:rPr>
      <w:tcPr>
        <w:tcBorders>
          <w:top w:val="double" w:color="FFC000" w:themeColor="accent4"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626">
    <w:name w:val="List Table 6 Colorful Accent 5"/>
    <w:basedOn w:val="88"/>
    <w:autoRedefine/>
    <w:qFormat/>
    <w:uiPriority w:val="51"/>
    <w:rPr>
      <w:color w:val="2E75B6" w:themeColor="accent5" w:themeShade="BF"/>
    </w:rPr>
    <w:tblPr>
      <w:tblBorders>
        <w:top w:val="single" w:color="5B9BD5" w:themeColor="accent5" w:sz="4" w:space="0"/>
        <w:bottom w:val="single" w:color="5B9BD5" w:themeColor="accent5" w:sz="4" w:space="0"/>
      </w:tblBorders>
    </w:tblPr>
    <w:tblStylePr w:type="firstRow">
      <w:rPr>
        <w:b/>
        <w:bCs/>
      </w:rPr>
      <w:tcPr>
        <w:tcBorders>
          <w:bottom w:val="single" w:color="5B9BD5" w:themeColor="accent5" w:sz="4" w:space="0"/>
        </w:tcBorders>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627">
    <w:name w:val="List Table 6 Colorful Accent 6"/>
    <w:basedOn w:val="88"/>
    <w:autoRedefine/>
    <w:qFormat/>
    <w:uiPriority w:val="51"/>
    <w:rPr>
      <w:color w:val="548235" w:themeColor="accent6" w:themeShade="BF"/>
    </w:rPr>
    <w:tblPr>
      <w:tblBorders>
        <w:top w:val="single" w:color="70AD47" w:themeColor="accent6" w:sz="4" w:space="0"/>
        <w:bottom w:val="single" w:color="70AD47" w:themeColor="accent6" w:sz="4" w:space="0"/>
      </w:tblBorders>
    </w:tblPr>
    <w:tblStylePr w:type="firstRow">
      <w:rPr>
        <w:b/>
        <w:bCs/>
      </w:rPr>
      <w:tcPr>
        <w:tcBorders>
          <w:bottom w:val="single" w:color="70AD47" w:themeColor="accent6" w:sz="4" w:space="0"/>
        </w:tcBorders>
      </w:tcPr>
    </w:tblStylePr>
    <w:tblStylePr w:type="lastRow">
      <w:rPr>
        <w:b/>
        <w:bCs/>
      </w:rPr>
      <w:tcPr>
        <w:tcBorders>
          <w:top w:val="double" w:color="70AD47" w:themeColor="accent6"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628">
    <w:name w:val="List Table 7 Colorful"/>
    <w:basedOn w:val="88"/>
    <w:autoRedefine/>
    <w:qFormat/>
    <w:uiPriority w:val="52"/>
    <w:rPr>
      <w:color w:val="000000" w:themeColor="text1"/>
      <w14:textFill>
        <w14:solidFill>
          <w14:schemeClr w14:val="tx1"/>
        </w14:solidFill>
      </w14:textFill>
    </w:rPr>
    <w:tblStylePr w:type="firstRow">
      <w:rPr>
        <w:rFonts w:asciiTheme="majorHAnsi" w:hAnsiTheme="majorHAnsi" w:eastAsiaTheme="majorEastAsia" w:cstheme="majorBidi"/>
        <w:i/>
        <w:iCs/>
        <w:sz w:val="26"/>
      </w:r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000000" w:themeColor="text1" w:sz="4" w:space="0"/>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629">
    <w:name w:val="List Table 7 Colorful Accent 1"/>
    <w:basedOn w:val="88"/>
    <w:autoRedefine/>
    <w:qFormat/>
    <w:uiPriority w:val="52"/>
    <w:rPr>
      <w:color w:val="2F5597" w:themeColor="accent1" w:themeShade="BF"/>
    </w:rPr>
    <w:tblStylePr w:type="firstRow">
      <w:rPr>
        <w:rFonts w:asciiTheme="majorHAnsi" w:hAnsiTheme="majorHAnsi" w:eastAsiaTheme="majorEastAsia" w:cstheme="majorBidi"/>
        <w:i/>
        <w:iCs/>
        <w:sz w:val="26"/>
      </w:rPr>
      <w:tcPr>
        <w:tcBorders>
          <w:bottom w:val="single" w:color="4472C4" w:themeColor="accen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4472C4"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4472C4" w:themeColor="accen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4472C4" w:themeColor="accent1" w:sz="4" w:space="0"/>
        </w:tcBorders>
        <w:shd w:val="clear" w:color="auto" w:fill="FFFFFF" w:themeFill="background1"/>
      </w:tcPr>
    </w:tblStylePr>
    <w:tblStylePr w:type="band1Vert">
      <w:tcPr>
        <w:shd w:val="clear" w:color="auto" w:fill="D9E2F3" w:themeFill="accent1" w:themeFillTint="33"/>
      </w:tcPr>
    </w:tblStylePr>
    <w:tblStylePr w:type="band1Horz">
      <w:tcPr>
        <w:shd w:val="clear" w:color="auto" w:fill="D9E2F3" w:themeFill="accen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630">
    <w:name w:val="List Table 7 Colorful Accent 2"/>
    <w:basedOn w:val="88"/>
    <w:autoRedefine/>
    <w:qFormat/>
    <w:uiPriority w:val="52"/>
    <w:rPr>
      <w:color w:val="C55A11" w:themeColor="accent2" w:themeShade="BF"/>
    </w:rPr>
    <w:tblStylePr w:type="firstRow">
      <w:rPr>
        <w:rFonts w:asciiTheme="majorHAnsi" w:hAnsiTheme="majorHAnsi" w:eastAsiaTheme="majorEastAsia" w:cstheme="majorBidi"/>
        <w:i/>
        <w:iCs/>
        <w:sz w:val="26"/>
      </w:rPr>
      <w:tcPr>
        <w:tcBorders>
          <w:bottom w:val="single" w:color="ED7D31" w:themeColor="accent2"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ED7D31"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ED7D31" w:themeColor="accent2"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ED7D31" w:themeColor="accent2" w:sz="4" w:space="0"/>
        </w:tcBorders>
        <w:shd w:val="clear" w:color="auto" w:fill="FFFFFF" w:themeFill="background1"/>
      </w:tcPr>
    </w:tblStylePr>
    <w:tblStylePr w:type="band1Vert">
      <w:tcPr>
        <w:shd w:val="clear" w:color="auto" w:fill="FBE4D5" w:themeFill="accent2" w:themeFillTint="33"/>
      </w:tcPr>
    </w:tblStylePr>
    <w:tblStylePr w:type="band1Horz">
      <w:tcPr>
        <w:shd w:val="clear" w:color="auto" w:fill="FBE4D5" w:themeFill="accent2"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631">
    <w:name w:val="List Table 7 Colorful Accent 3"/>
    <w:basedOn w:val="88"/>
    <w:autoRedefine/>
    <w:qFormat/>
    <w:uiPriority w:val="52"/>
    <w:rPr>
      <w:color w:val="7C7C7C" w:themeColor="accent3" w:themeShade="BF"/>
    </w:rPr>
    <w:tblStylePr w:type="firstRow">
      <w:rPr>
        <w:rFonts w:asciiTheme="majorHAnsi" w:hAnsiTheme="majorHAnsi" w:eastAsiaTheme="majorEastAsia" w:cstheme="majorBidi"/>
        <w:i/>
        <w:iCs/>
        <w:sz w:val="26"/>
      </w:rPr>
      <w:tcPr>
        <w:tcBorders>
          <w:bottom w:val="single" w:color="A5A5A5" w:themeColor="accent3"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A5A5A5"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A5A5A5" w:themeColor="accent3"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A5A5A5" w:themeColor="accent3" w:sz="4" w:space="0"/>
        </w:tcBorders>
        <w:shd w:val="clear" w:color="auto" w:fill="FFFFFF" w:themeFill="background1"/>
      </w:tcPr>
    </w:tblStylePr>
    <w:tblStylePr w:type="band1Vert">
      <w:tcPr>
        <w:shd w:val="clear" w:color="auto" w:fill="ECECEC" w:themeFill="accent3" w:themeFillTint="33"/>
      </w:tcPr>
    </w:tblStylePr>
    <w:tblStylePr w:type="band1Horz">
      <w:tcPr>
        <w:shd w:val="clear" w:color="auto" w:fill="ECECEC" w:themeFill="accent3"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632">
    <w:name w:val="List Table 7 Colorful Accent 4"/>
    <w:basedOn w:val="88"/>
    <w:autoRedefine/>
    <w:qFormat/>
    <w:uiPriority w:val="52"/>
    <w:rPr>
      <w:color w:val="BF9000" w:themeColor="accent4" w:themeShade="BF"/>
    </w:rPr>
    <w:tblStylePr w:type="firstRow">
      <w:rPr>
        <w:rFonts w:asciiTheme="majorHAnsi" w:hAnsiTheme="majorHAnsi" w:eastAsiaTheme="majorEastAsia" w:cstheme="majorBidi"/>
        <w:i/>
        <w:iCs/>
        <w:sz w:val="26"/>
      </w:rPr>
      <w:tcPr>
        <w:tcBorders>
          <w:bottom w:val="single" w:color="FFC000" w:themeColor="accent4"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FFC000"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FFC000" w:themeColor="accent4"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FFC000" w:themeColor="accent4" w:sz="4" w:space="0"/>
        </w:tcBorders>
        <w:shd w:val="clear" w:color="auto" w:fill="FFFFFF" w:themeFill="background1"/>
      </w:tcPr>
    </w:tblStylePr>
    <w:tblStylePr w:type="band1Vert">
      <w:tcPr>
        <w:shd w:val="clear" w:color="auto" w:fill="FEF2CC" w:themeFill="accent4" w:themeFillTint="33"/>
      </w:tcPr>
    </w:tblStylePr>
    <w:tblStylePr w:type="band1Horz">
      <w:tcPr>
        <w:shd w:val="clear" w:color="auto" w:fill="FEF2CC" w:themeFill="accent4"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633">
    <w:name w:val="List Table 7 Colorful Accent 5"/>
    <w:basedOn w:val="88"/>
    <w:autoRedefine/>
    <w:qFormat/>
    <w:uiPriority w:val="52"/>
    <w:rPr>
      <w:color w:val="2E75B6" w:themeColor="accent5" w:themeShade="BF"/>
    </w:rPr>
    <w:tblStylePr w:type="firstRow">
      <w:rPr>
        <w:rFonts w:asciiTheme="majorHAnsi" w:hAnsiTheme="majorHAnsi" w:eastAsiaTheme="majorEastAsia" w:cstheme="majorBidi"/>
        <w:i/>
        <w:iCs/>
        <w:sz w:val="26"/>
      </w:rPr>
      <w:tcPr>
        <w:tcBorders>
          <w:bottom w:val="single" w:color="5B9BD5" w:themeColor="accent5"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5B9BD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5B9BD5" w:themeColor="accent5"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5B9BD5" w:themeColor="accent5" w:sz="4" w:space="0"/>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634">
    <w:name w:val="List Table 7 Colorful Accent 6"/>
    <w:basedOn w:val="88"/>
    <w:autoRedefine/>
    <w:qFormat/>
    <w:uiPriority w:val="52"/>
    <w:rPr>
      <w:color w:val="548235" w:themeColor="accent6" w:themeShade="BF"/>
    </w:rPr>
    <w:tblStylePr w:type="firstRow">
      <w:rPr>
        <w:rFonts w:asciiTheme="majorHAnsi" w:hAnsiTheme="majorHAnsi" w:eastAsiaTheme="majorEastAsia" w:cstheme="majorBidi"/>
        <w:i/>
        <w:iCs/>
        <w:sz w:val="26"/>
      </w:rPr>
      <w:tcPr>
        <w:tcBorders>
          <w:bottom w:val="single" w:color="70AD47" w:themeColor="accent6"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0AD47"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0AD47" w:themeColor="accent6"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0AD47" w:themeColor="accent6" w:sz="4" w:space="0"/>
        </w:tcBorders>
        <w:shd w:val="clear" w:color="auto" w:fill="FFFFFF" w:themeFill="background1"/>
      </w:tcPr>
    </w:tblStylePr>
    <w:tblStylePr w:type="band1Vert">
      <w:tcPr>
        <w:shd w:val="clear" w:color="auto" w:fill="E2EFD9" w:themeFill="accent6" w:themeFillTint="33"/>
      </w:tcPr>
    </w:tblStylePr>
    <w:tblStylePr w:type="band1Horz">
      <w:tcPr>
        <w:shd w:val="clear" w:color="auto" w:fill="E2EFD9" w:themeFill="accent6"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character" w:customStyle="1" w:styleId="635">
    <w:name w:val="@他1"/>
    <w:basedOn w:val="231"/>
    <w:autoRedefine/>
    <w:qFormat/>
    <w:uiPriority w:val="0"/>
    <w:rPr>
      <w:color w:val="2B579A"/>
      <w:shd w:val="clear" w:color="auto" w:fill="E1DFDD"/>
    </w:rPr>
  </w:style>
  <w:style w:type="character" w:customStyle="1" w:styleId="636">
    <w:name w:val="信息标题 字符"/>
    <w:basedOn w:val="231"/>
    <w:link w:val="79"/>
    <w:autoRedefine/>
    <w:qFormat/>
    <w:uiPriority w:val="0"/>
    <w:rPr>
      <w:rFonts w:asciiTheme="majorHAnsi" w:hAnsiTheme="majorHAnsi" w:eastAsiaTheme="majorEastAsia" w:cstheme="majorBidi"/>
      <w:sz w:val="24"/>
      <w:szCs w:val="24"/>
      <w:shd w:val="pct20" w:color="auto" w:fill="auto"/>
      <w:lang w:eastAsia="en-US"/>
    </w:rPr>
  </w:style>
  <w:style w:type="paragraph" w:styleId="637">
    <w:name w:val="No Spacing"/>
    <w:autoRedefine/>
    <w:qFormat/>
    <w:uiPriority w:val="1"/>
    <w:rPr>
      <w:rFonts w:ascii="Times New Roman" w:hAnsi="Times New Roman" w:eastAsia="宋体" w:cs="Times New Roman"/>
      <w:sz w:val="24"/>
      <w:szCs w:val="24"/>
      <w:lang w:val="en-US" w:eastAsia="en-US" w:bidi="ar-SA"/>
    </w:rPr>
  </w:style>
  <w:style w:type="character" w:customStyle="1" w:styleId="638">
    <w:name w:val="注释标题 字符"/>
    <w:basedOn w:val="231"/>
    <w:link w:val="16"/>
    <w:autoRedefine/>
    <w:qFormat/>
    <w:uiPriority w:val="0"/>
    <w:rPr>
      <w:sz w:val="24"/>
      <w:szCs w:val="24"/>
      <w:lang w:eastAsia="en-US"/>
    </w:rPr>
  </w:style>
  <w:style w:type="table" w:customStyle="1" w:styleId="639">
    <w:name w:val="Plain Table 1"/>
    <w:basedOn w:val="88"/>
    <w:autoRedefine/>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640">
    <w:name w:val="Plain Table 2"/>
    <w:basedOn w:val="88"/>
    <w:autoRedefine/>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641">
    <w:name w:val="Plain Table 3"/>
    <w:basedOn w:val="88"/>
    <w:autoRedefine/>
    <w:qFormat/>
    <w:uiPriority w:val="43"/>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642">
    <w:name w:val="Plain Table 4"/>
    <w:basedOn w:val="88"/>
    <w:autoRedefine/>
    <w:qFormat/>
    <w:uiPriority w:val="44"/>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643">
    <w:name w:val="Plain Table 5"/>
    <w:basedOn w:val="88"/>
    <w:autoRedefine/>
    <w:qFormat/>
    <w:uiPriority w:val="45"/>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character" w:customStyle="1" w:styleId="644">
    <w:name w:val="纯文本 字符"/>
    <w:basedOn w:val="231"/>
    <w:link w:val="45"/>
    <w:autoRedefine/>
    <w:qFormat/>
    <w:uiPriority w:val="0"/>
    <w:rPr>
      <w:rFonts w:ascii="Consolas" w:hAnsi="Consolas"/>
      <w:sz w:val="21"/>
      <w:szCs w:val="21"/>
      <w:lang w:eastAsia="en-US"/>
    </w:rPr>
  </w:style>
  <w:style w:type="paragraph" w:styleId="645">
    <w:name w:val="Quote"/>
    <w:basedOn w:val="1"/>
    <w:next w:val="1"/>
    <w:link w:val="646"/>
    <w:autoRedefine/>
    <w:qFormat/>
    <w:uiPriority w:val="2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646">
    <w:name w:val="引用 字符"/>
    <w:basedOn w:val="231"/>
    <w:link w:val="645"/>
    <w:autoRedefine/>
    <w:qFormat/>
    <w:uiPriority w:val="29"/>
    <w:rPr>
      <w:i/>
      <w:iCs/>
      <w:color w:val="404040" w:themeColor="text1" w:themeTint="BF"/>
      <w:sz w:val="24"/>
      <w:szCs w:val="24"/>
      <w:lang w:eastAsia="en-US"/>
      <w14:textFill>
        <w14:solidFill>
          <w14:schemeClr w14:val="tx1">
            <w14:lumMod w14:val="75000"/>
            <w14:lumOff w14:val="25000"/>
          </w14:schemeClr>
        </w14:solidFill>
      </w14:textFill>
    </w:rPr>
  </w:style>
  <w:style w:type="character" w:customStyle="1" w:styleId="647">
    <w:name w:val="称呼 字符"/>
    <w:basedOn w:val="231"/>
    <w:link w:val="30"/>
    <w:autoRedefine/>
    <w:qFormat/>
    <w:uiPriority w:val="0"/>
    <w:rPr>
      <w:sz w:val="24"/>
      <w:szCs w:val="24"/>
      <w:lang w:eastAsia="en-US"/>
    </w:rPr>
  </w:style>
  <w:style w:type="character" w:customStyle="1" w:styleId="648">
    <w:name w:val="签名 字符"/>
    <w:basedOn w:val="231"/>
    <w:link w:val="58"/>
    <w:autoRedefine/>
    <w:qFormat/>
    <w:uiPriority w:val="0"/>
    <w:rPr>
      <w:sz w:val="24"/>
      <w:szCs w:val="24"/>
      <w:lang w:eastAsia="en-US"/>
    </w:rPr>
  </w:style>
  <w:style w:type="character" w:customStyle="1" w:styleId="649">
    <w:name w:val="智能超链接1"/>
    <w:basedOn w:val="231"/>
    <w:autoRedefine/>
    <w:qFormat/>
    <w:uiPriority w:val="0"/>
    <w:rPr>
      <w:u w:val="dotted"/>
    </w:rPr>
  </w:style>
  <w:style w:type="character" w:customStyle="1" w:styleId="650">
    <w:name w:val="智能链接1"/>
    <w:basedOn w:val="231"/>
    <w:autoRedefine/>
    <w:semiHidden/>
    <w:unhideWhenUsed/>
    <w:qFormat/>
    <w:uiPriority w:val="99"/>
    <w:rPr>
      <w:color w:val="0000FF"/>
      <w:u w:val="single"/>
      <w:shd w:val="clear" w:color="auto" w:fill="F3F2F1"/>
    </w:rPr>
  </w:style>
  <w:style w:type="character" w:customStyle="1" w:styleId="651">
    <w:name w:val="副标题 字符"/>
    <w:basedOn w:val="231"/>
    <w:link w:val="64"/>
    <w:autoRedefine/>
    <w:qFormat/>
    <w:uiPriority w:val="0"/>
    <w:rPr>
      <w:rFonts w:asciiTheme="minorHAnsi" w:hAnsiTheme="minorHAnsi" w:eastAsiaTheme="minorEastAsia" w:cstheme="minorBidi"/>
      <w:color w:val="595959" w:themeColor="text1" w:themeTint="A6"/>
      <w:spacing w:val="15"/>
      <w:sz w:val="22"/>
      <w:szCs w:val="22"/>
      <w:lang w:eastAsia="en-US"/>
      <w14:textFill>
        <w14:solidFill>
          <w14:schemeClr w14:val="tx1">
            <w14:lumMod w14:val="65000"/>
            <w14:lumOff w14:val="35000"/>
          </w14:schemeClr>
        </w14:solidFill>
      </w14:textFill>
    </w:rPr>
  </w:style>
  <w:style w:type="character" w:customStyle="1" w:styleId="652">
    <w:name w:val="Subtle Emphasis"/>
    <w:basedOn w:val="231"/>
    <w:autoRedefine/>
    <w:qFormat/>
    <w:uiPriority w:val="19"/>
    <w:rPr>
      <w:i/>
      <w:iCs/>
      <w:color w:val="404040" w:themeColor="text1" w:themeTint="BF"/>
      <w14:textFill>
        <w14:solidFill>
          <w14:schemeClr w14:val="tx1">
            <w14:lumMod w14:val="75000"/>
            <w14:lumOff w14:val="25000"/>
          </w14:schemeClr>
        </w14:solidFill>
      </w14:textFill>
    </w:rPr>
  </w:style>
  <w:style w:type="character" w:customStyle="1" w:styleId="653">
    <w:name w:val="Subtle Reference"/>
    <w:basedOn w:val="231"/>
    <w:autoRedefine/>
    <w:qFormat/>
    <w:uiPriority w:val="31"/>
    <w:rPr>
      <w:smallCaps/>
      <w:color w:val="595959" w:themeColor="text1" w:themeTint="A6"/>
      <w14:textFill>
        <w14:solidFill>
          <w14:schemeClr w14:val="tx1">
            <w14:lumMod w14:val="65000"/>
            <w14:lumOff w14:val="35000"/>
          </w14:schemeClr>
        </w14:solidFill>
      </w14:textFill>
    </w:rPr>
  </w:style>
  <w:style w:type="table" w:customStyle="1" w:styleId="654">
    <w:name w:val="Grid Table Light"/>
    <w:basedOn w:val="88"/>
    <w:autoRedefine/>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655">
    <w:name w:val="TOC Heading"/>
    <w:basedOn w:val="3"/>
    <w:next w:val="1"/>
    <w:autoRedefine/>
    <w:semiHidden/>
    <w:unhideWhenUsed/>
    <w:qFormat/>
    <w:uiPriority w:val="39"/>
    <w:pPr>
      <w:spacing w:before="240" w:line="240" w:lineRule="auto"/>
      <w:outlineLvl w:val="9"/>
    </w:pPr>
    <w:rPr>
      <w:rFonts w:asciiTheme="majorHAnsi" w:hAnsiTheme="majorHAnsi" w:eastAsiaTheme="majorEastAsia" w:cstheme="majorBidi"/>
      <w:b w:val="0"/>
      <w:bCs w:val="0"/>
      <w:color w:val="2F5597" w:themeColor="accent1" w:themeShade="BF"/>
      <w:sz w:val="32"/>
      <w:szCs w:val="32"/>
    </w:rPr>
  </w:style>
  <w:style w:type="character" w:customStyle="1" w:styleId="656">
    <w:name w:val="未处理的提及2"/>
    <w:basedOn w:val="231"/>
    <w:autoRedefine/>
    <w:qFormat/>
    <w:uiPriority w:val="0"/>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numbering" Target="numbering.xml"/><Relationship Id="rId23" Type="http://schemas.openxmlformats.org/officeDocument/2006/relationships/image" Target="media/image6.wmf"/><Relationship Id="rId22" Type="http://schemas.openxmlformats.org/officeDocument/2006/relationships/oleObject" Target="embeddings/oleObject1.bin"/><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jpeg"/><Relationship Id="rId18" Type="http://schemas.openxmlformats.org/officeDocument/2006/relationships/image" Target="media/image2.pn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6DF37FBE-1E4A-4EA9-8FA4-F1EE45C63B0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Pages>
  <Words>10288</Words>
  <Characters>58648</Characters>
  <Lines>488</Lines>
  <Paragraphs>137</Paragraphs>
  <TotalTime>964</TotalTime>
  <ScaleCrop>false</ScaleCrop>
  <LinksUpToDate>false</LinksUpToDate>
  <CharactersWithSpaces>68799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2024-05-10T16:50:00Z</dcterms:created>
  <dc:creator>abc</dc:creator>
  <cp:lastModifiedBy>CM-Engineering</cp:lastModifiedBy>
  <cp:lastPrinted>2023-03-24T09:11:00Z</cp:lastPrinted>
  <dcterms:modified xsi:type="dcterms:W3CDTF">2024-10-23T07:49:52Z</dcterms:modified>
  <dc:title>Nattapong DAMRONGWIRIYANUPAP, Linyuan LI, Yunping XI</dc:title>
  <cp:revision>297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1">
    <vt:filetime>2024-05-08T04:59:46Z</vt:filetime>
  </property>
  <property fmtid="{D5CDD505-2E9C-101B-9397-08002B2CF9AE}" pid="3" name="x_a">
    <vt:bool>false</vt:bool>
  </property>
  <property fmtid="{D5CDD505-2E9C-101B-9397-08002B2CF9AE}" pid="4" name="x_p">
    <vt:bool>false</vt:bool>
  </property>
  <property fmtid="{D5CDD505-2E9C-101B-9397-08002B2CF9AE}" pid="5" name="x_t">
    <vt:bool>true</vt:bool>
  </property>
  <property fmtid="{D5CDD505-2E9C-101B-9397-08002B2CF9AE}" pid="6" name="KSOProductBuildVer">
    <vt:lpwstr>2052-12.1.0.16417</vt:lpwstr>
  </property>
  <property fmtid="{D5CDD505-2E9C-101B-9397-08002B2CF9AE}" pid="7" name="ICV">
    <vt:lpwstr>52167F726E7F44B0B3C1F8752F6DD91D_13</vt:lpwstr>
  </property>
</Properties>
</file>