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3DE04" w14:textId="77777777" w:rsidR="0092109E" w:rsidRPr="0092109E" w:rsidRDefault="0092109E" w:rsidP="0092109E">
      <w:pPr>
        <w:widowControl/>
        <w:autoSpaceDE w:val="0"/>
        <w:autoSpaceDN w:val="0"/>
        <w:adjustRightInd w:val="0"/>
        <w:snapToGrid w:val="0"/>
        <w:rPr>
          <w:rFonts w:ascii="Times New Roman" w:hAnsi="Times New Roman"/>
          <w:kern w:val="0"/>
          <w:sz w:val="22"/>
        </w:rPr>
      </w:pPr>
      <w:r w:rsidRPr="0092109E">
        <w:rPr>
          <w:rFonts w:ascii="Times New Roman" w:hAnsi="Times New Roman"/>
          <w:kern w:val="0"/>
          <w:sz w:val="22"/>
        </w:rPr>
        <w:t xml:space="preserve">Supplementary data for </w:t>
      </w:r>
    </w:p>
    <w:p w14:paraId="45C70032" w14:textId="77777777" w:rsidR="0092109E" w:rsidRPr="0092109E" w:rsidRDefault="0092109E" w:rsidP="0092109E">
      <w:pPr>
        <w:snapToGrid w:val="0"/>
        <w:spacing w:before="120"/>
        <w:rPr>
          <w:rFonts w:ascii="Times New Roman" w:eastAsiaTheme="minorEastAsia" w:hAnsi="Times New Roman"/>
          <w:sz w:val="30"/>
          <w:szCs w:val="30"/>
        </w:rPr>
      </w:pPr>
      <w:r w:rsidRPr="0092109E">
        <w:rPr>
          <w:rFonts w:ascii="Times New Roman" w:eastAsiaTheme="minorEastAsia" w:hAnsi="Times New Roman"/>
          <w:b/>
          <w:sz w:val="30"/>
          <w:szCs w:val="30"/>
        </w:rPr>
        <w:t>High-Affinity Decoy PD-1 Mutant Screened from an Epitope-Specific Cell Library</w:t>
      </w:r>
    </w:p>
    <w:p w14:paraId="7E5F4DCF" w14:textId="77777777" w:rsidR="0092109E" w:rsidRPr="0092109E" w:rsidRDefault="0092109E" w:rsidP="0092109E">
      <w:pPr>
        <w:pStyle w:val="HTML"/>
        <w:widowControl w:val="0"/>
        <w:shd w:val="clear" w:color="auto" w:fill="FFFFFF"/>
        <w:autoSpaceDE w:val="0"/>
        <w:autoSpaceDN w:val="0"/>
        <w:adjustRightInd w:val="0"/>
        <w:snapToGrid w:val="0"/>
        <w:spacing w:before="120"/>
        <w:rPr>
          <w:rFonts w:ascii="Times New Roman" w:eastAsiaTheme="minorEastAsia" w:hAnsi="Times New Roman"/>
          <w:bCs/>
        </w:rPr>
      </w:pPr>
      <w:bookmarkStart w:id="0" w:name="OLE_LINK1"/>
      <w:bookmarkStart w:id="1" w:name="_Hlk76134951"/>
      <w:r w:rsidRPr="0092109E">
        <w:rPr>
          <w:rFonts w:ascii="Times New Roman" w:eastAsiaTheme="minorEastAsia" w:hAnsi="Times New Roman"/>
          <w:bCs/>
        </w:rPr>
        <w:t>Hao Liu</w:t>
      </w:r>
      <w:r w:rsidRPr="0092109E">
        <w:rPr>
          <w:rFonts w:ascii="Times New Roman" w:eastAsiaTheme="minorEastAsia" w:hAnsi="Times New Roman"/>
          <w:bCs/>
          <w:vertAlign w:val="superscript"/>
        </w:rPr>
        <w:t xml:space="preserve"> a,b,#</w:t>
      </w:r>
      <w:r w:rsidRPr="0092109E">
        <w:rPr>
          <w:rFonts w:ascii="Times New Roman" w:eastAsiaTheme="minorEastAsia" w:hAnsi="Times New Roman"/>
          <w:bCs/>
        </w:rPr>
        <w:t>, Chunxia Qiao</w:t>
      </w:r>
      <w:r w:rsidRPr="0092109E">
        <w:rPr>
          <w:rFonts w:ascii="Times New Roman" w:eastAsiaTheme="minorEastAsia" w:hAnsi="Times New Roman"/>
          <w:bCs/>
          <w:vertAlign w:val="superscript"/>
        </w:rPr>
        <w:t xml:space="preserve"> a,#</w:t>
      </w:r>
      <w:r w:rsidRPr="0092109E">
        <w:rPr>
          <w:rFonts w:ascii="Times New Roman" w:eastAsiaTheme="minorEastAsia" w:hAnsi="Times New Roman"/>
          <w:bCs/>
        </w:rPr>
        <w:t>, Naijing Hu</w:t>
      </w:r>
      <w:bookmarkEnd w:id="0"/>
      <w:r w:rsidRPr="0092109E">
        <w:rPr>
          <w:rFonts w:ascii="Times New Roman" w:eastAsiaTheme="minorEastAsia" w:hAnsi="Times New Roman"/>
          <w:bCs/>
          <w:vertAlign w:val="superscript"/>
        </w:rPr>
        <w:t xml:space="preserve"> a,c,#</w:t>
      </w:r>
      <w:r w:rsidRPr="0092109E">
        <w:rPr>
          <w:rFonts w:ascii="Times New Roman" w:eastAsiaTheme="minorEastAsia" w:hAnsi="Times New Roman"/>
          <w:bCs/>
        </w:rPr>
        <w:t>, Zhihong Wang</w:t>
      </w:r>
      <w:r w:rsidRPr="0092109E">
        <w:rPr>
          <w:rFonts w:ascii="Times New Roman" w:eastAsiaTheme="minorEastAsia" w:hAnsi="Times New Roman"/>
          <w:bCs/>
          <w:vertAlign w:val="superscript"/>
        </w:rPr>
        <w:t xml:space="preserve"> a,d</w:t>
      </w:r>
      <w:r w:rsidRPr="0092109E">
        <w:rPr>
          <w:rFonts w:ascii="Times New Roman" w:eastAsiaTheme="minorEastAsia" w:hAnsi="Times New Roman"/>
          <w:bCs/>
        </w:rPr>
        <w:t>, Jing Wang</w:t>
      </w:r>
      <w:r w:rsidRPr="0092109E">
        <w:rPr>
          <w:rFonts w:ascii="Times New Roman" w:eastAsiaTheme="minorEastAsia" w:hAnsi="Times New Roman"/>
          <w:bCs/>
          <w:vertAlign w:val="superscript"/>
        </w:rPr>
        <w:t xml:space="preserve"> a</w:t>
      </w:r>
      <w:r w:rsidRPr="0092109E">
        <w:rPr>
          <w:rFonts w:ascii="Times New Roman" w:eastAsiaTheme="minorEastAsia" w:hAnsi="Times New Roman"/>
          <w:bCs/>
        </w:rPr>
        <w:t>, Jiannan Feng</w:t>
      </w:r>
      <w:r w:rsidRPr="0092109E">
        <w:rPr>
          <w:rFonts w:ascii="Times New Roman" w:eastAsiaTheme="minorEastAsia" w:hAnsi="Times New Roman"/>
          <w:bCs/>
          <w:vertAlign w:val="superscript"/>
        </w:rPr>
        <w:t xml:space="preserve"> a</w:t>
      </w:r>
      <w:r w:rsidRPr="0092109E">
        <w:rPr>
          <w:rFonts w:ascii="Times New Roman" w:eastAsiaTheme="minorEastAsia" w:hAnsi="Times New Roman"/>
          <w:bCs/>
        </w:rPr>
        <w:t>, Beifen Shen</w:t>
      </w:r>
      <w:r w:rsidRPr="0092109E">
        <w:rPr>
          <w:rFonts w:ascii="Times New Roman" w:eastAsiaTheme="minorEastAsia" w:hAnsi="Times New Roman"/>
          <w:bCs/>
          <w:vertAlign w:val="superscript"/>
        </w:rPr>
        <w:t xml:space="preserve"> a</w:t>
      </w:r>
      <w:r w:rsidRPr="0092109E">
        <w:rPr>
          <w:rFonts w:ascii="Times New Roman" w:eastAsiaTheme="minorEastAsia" w:hAnsi="Times New Roman"/>
          <w:bCs/>
        </w:rPr>
        <w:t>, Yuanfang Ma</w:t>
      </w:r>
      <w:r w:rsidRPr="0092109E">
        <w:rPr>
          <w:rFonts w:ascii="Times New Roman" w:eastAsiaTheme="minorEastAsia" w:hAnsi="Times New Roman"/>
          <w:bCs/>
          <w:vertAlign w:val="superscript"/>
        </w:rPr>
        <w:t xml:space="preserve"> b,</w:t>
      </w:r>
      <w:r w:rsidRPr="0092109E">
        <w:rPr>
          <w:rFonts w:ascii="Times New Roman" w:eastAsiaTheme="minorEastAsia" w:hAnsi="Times New Roman"/>
          <w:bCs/>
        </w:rPr>
        <w:t>*, Longlong Luo</w:t>
      </w:r>
      <w:bookmarkEnd w:id="1"/>
      <w:r w:rsidRPr="0092109E">
        <w:rPr>
          <w:rFonts w:ascii="Times New Roman" w:eastAsiaTheme="minorEastAsia" w:hAnsi="Times New Roman"/>
          <w:bCs/>
          <w:vertAlign w:val="superscript"/>
        </w:rPr>
        <w:t xml:space="preserve"> a,</w:t>
      </w:r>
      <w:r w:rsidRPr="0092109E">
        <w:rPr>
          <w:rFonts w:ascii="Times New Roman" w:eastAsiaTheme="minorEastAsia" w:hAnsi="Times New Roman"/>
          <w:bCs/>
        </w:rPr>
        <w:t>*</w:t>
      </w:r>
    </w:p>
    <w:p w14:paraId="293901A0" w14:textId="458A9AD8" w:rsidR="0092109E" w:rsidRPr="0092109E" w:rsidRDefault="0092109E" w:rsidP="0092109E">
      <w:pPr>
        <w:pStyle w:val="haffiliations"/>
        <w:autoSpaceDE w:val="0"/>
        <w:autoSpaceDN w:val="0"/>
        <w:adjustRightInd w:val="0"/>
        <w:snapToGrid w:val="0"/>
        <w:spacing w:before="0"/>
        <w:rPr>
          <w:bCs/>
          <w:i/>
          <w:iCs/>
          <w:sz w:val="18"/>
          <w:szCs w:val="18"/>
          <w:lang w:eastAsia="zh-CN"/>
        </w:rPr>
      </w:pPr>
      <w:r w:rsidRPr="0092109E">
        <w:rPr>
          <w:bCs/>
          <w:sz w:val="18"/>
          <w:szCs w:val="18"/>
          <w:vertAlign w:val="superscript"/>
          <w:lang w:eastAsia="zh-CN"/>
        </w:rPr>
        <w:t xml:space="preserve">a </w:t>
      </w:r>
      <w:r w:rsidRPr="0092109E">
        <w:rPr>
          <w:bCs/>
          <w:i/>
          <w:iCs/>
          <w:sz w:val="18"/>
          <w:szCs w:val="18"/>
          <w:lang w:eastAsia="zh-CN"/>
        </w:rPr>
        <w:t>State Key Laboratory of Toxicology and Medical Countermeasures, Beijing Institute of Pharmacology and Toxicology, Beijing 100850, China.</w:t>
      </w:r>
    </w:p>
    <w:p w14:paraId="0B0021AF" w14:textId="77777777" w:rsidR="0092109E" w:rsidRPr="0092109E" w:rsidRDefault="0092109E" w:rsidP="0092109E">
      <w:pPr>
        <w:pStyle w:val="haffiliations"/>
        <w:autoSpaceDE w:val="0"/>
        <w:autoSpaceDN w:val="0"/>
        <w:adjustRightInd w:val="0"/>
        <w:snapToGrid w:val="0"/>
        <w:spacing w:before="0"/>
        <w:rPr>
          <w:bCs/>
          <w:i/>
          <w:iCs/>
          <w:sz w:val="18"/>
          <w:szCs w:val="18"/>
          <w:lang w:eastAsia="zh-CN"/>
        </w:rPr>
      </w:pPr>
      <w:r w:rsidRPr="0092109E">
        <w:rPr>
          <w:bCs/>
          <w:sz w:val="18"/>
          <w:szCs w:val="18"/>
          <w:vertAlign w:val="superscript"/>
          <w:lang w:eastAsia="zh-CN"/>
        </w:rPr>
        <w:t xml:space="preserve">b </w:t>
      </w:r>
      <w:r w:rsidRPr="0092109E">
        <w:rPr>
          <w:bCs/>
          <w:i/>
          <w:iCs/>
          <w:sz w:val="18"/>
          <w:szCs w:val="18"/>
          <w:lang w:eastAsia="zh-CN"/>
        </w:rPr>
        <w:t>Laboratory of Cellular and Molecular Immunology, Institute of Immunology, Henan University, Kaifeng 475001, China</w:t>
      </w:r>
    </w:p>
    <w:p w14:paraId="1F18DFCA" w14:textId="77777777" w:rsidR="0092109E" w:rsidRPr="0092109E" w:rsidRDefault="0092109E" w:rsidP="0092109E">
      <w:pPr>
        <w:pStyle w:val="haffiliations"/>
        <w:autoSpaceDE w:val="0"/>
        <w:autoSpaceDN w:val="0"/>
        <w:adjustRightInd w:val="0"/>
        <w:snapToGrid w:val="0"/>
        <w:spacing w:before="0"/>
        <w:rPr>
          <w:bCs/>
          <w:i/>
          <w:iCs/>
          <w:sz w:val="18"/>
          <w:szCs w:val="18"/>
          <w:lang w:eastAsia="zh-CN"/>
        </w:rPr>
      </w:pPr>
      <w:r w:rsidRPr="0092109E">
        <w:rPr>
          <w:bCs/>
          <w:sz w:val="18"/>
          <w:szCs w:val="18"/>
          <w:vertAlign w:val="superscript"/>
          <w:lang w:eastAsia="zh-CN"/>
        </w:rPr>
        <w:t xml:space="preserve">c </w:t>
      </w:r>
      <w:r w:rsidRPr="0092109E">
        <w:rPr>
          <w:bCs/>
          <w:i/>
          <w:iCs/>
          <w:sz w:val="18"/>
          <w:szCs w:val="18"/>
          <w:lang w:eastAsia="zh-CN"/>
        </w:rPr>
        <w:t>School of Life Science and Biopharmaceutics, Shenyang Pharmaceutical University, Shenyang 110016, China</w:t>
      </w:r>
    </w:p>
    <w:p w14:paraId="184DF81D" w14:textId="77777777" w:rsidR="0092109E" w:rsidRPr="0092109E" w:rsidRDefault="0092109E" w:rsidP="0092109E">
      <w:pPr>
        <w:pStyle w:val="haffiliations"/>
        <w:autoSpaceDE w:val="0"/>
        <w:autoSpaceDN w:val="0"/>
        <w:adjustRightInd w:val="0"/>
        <w:snapToGrid w:val="0"/>
        <w:spacing w:before="0"/>
        <w:rPr>
          <w:bCs/>
          <w:i/>
          <w:iCs/>
          <w:sz w:val="18"/>
          <w:szCs w:val="18"/>
          <w:lang w:eastAsia="zh-CN"/>
        </w:rPr>
      </w:pPr>
      <w:r w:rsidRPr="0092109E">
        <w:rPr>
          <w:bCs/>
          <w:sz w:val="18"/>
          <w:szCs w:val="18"/>
          <w:vertAlign w:val="superscript"/>
          <w:lang w:eastAsia="zh-CN"/>
        </w:rPr>
        <w:t xml:space="preserve">d </w:t>
      </w:r>
      <w:r w:rsidRPr="0092109E">
        <w:rPr>
          <w:bCs/>
          <w:i/>
          <w:iCs/>
          <w:sz w:val="18"/>
          <w:szCs w:val="18"/>
          <w:lang w:eastAsia="zh-CN"/>
        </w:rPr>
        <w:t>School of Basic Medicine and Clinical Pharmacy, China Pharmaceutical University, Nanjing 210009, China</w:t>
      </w:r>
    </w:p>
    <w:p w14:paraId="4EFBAC0A" w14:textId="77777777" w:rsidR="0092109E" w:rsidRPr="0092109E" w:rsidRDefault="0092109E" w:rsidP="00F61202">
      <w:pPr>
        <w:jc w:val="center"/>
        <w:rPr>
          <w:rFonts w:ascii="Times New Roman" w:hAnsi="Times New Roman"/>
          <w:bCs/>
          <w:sz w:val="18"/>
          <w:szCs w:val="18"/>
        </w:rPr>
      </w:pPr>
    </w:p>
    <w:p w14:paraId="68FB6301" w14:textId="7DFC3149" w:rsidR="00746049" w:rsidRPr="00F61202" w:rsidRDefault="00746049" w:rsidP="00F61202">
      <w:pPr>
        <w:jc w:val="center"/>
        <w:rPr>
          <w:rFonts w:ascii="Times New Roman" w:hAnsi="Times New Roman"/>
          <w:bCs/>
          <w:sz w:val="18"/>
          <w:szCs w:val="18"/>
        </w:rPr>
      </w:pPr>
      <w:r w:rsidRPr="00F61202">
        <w:rPr>
          <w:rFonts w:ascii="Times New Roman" w:hAnsi="Times New Roman"/>
          <w:bCs/>
          <w:noProof/>
          <w:sz w:val="18"/>
          <w:szCs w:val="18"/>
        </w:rPr>
        <w:drawing>
          <wp:inline distT="0" distB="0" distL="0" distR="0" wp14:anchorId="7C1A7390" wp14:editId="34430862">
            <wp:extent cx="1966912" cy="105254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t="2632" r="9363"/>
                    <a:stretch>
                      <a:fillRect/>
                    </a:stretch>
                  </pic:blipFill>
                  <pic:spPr bwMode="auto">
                    <a:xfrm>
                      <a:off x="0" y="0"/>
                      <a:ext cx="1992582" cy="1066279"/>
                    </a:xfrm>
                    <a:prstGeom prst="rect">
                      <a:avLst/>
                    </a:prstGeom>
                    <a:noFill/>
                    <a:ln>
                      <a:noFill/>
                    </a:ln>
                  </pic:spPr>
                </pic:pic>
              </a:graphicData>
            </a:graphic>
          </wp:inline>
        </w:drawing>
      </w:r>
    </w:p>
    <w:p w14:paraId="0F12013F" w14:textId="6C99AFF3" w:rsidR="00746049" w:rsidRPr="00F61202" w:rsidRDefault="00746049" w:rsidP="00F61202">
      <w:pPr>
        <w:adjustRightInd w:val="0"/>
        <w:snapToGrid w:val="0"/>
        <w:jc w:val="center"/>
        <w:rPr>
          <w:rFonts w:ascii="Times New Roman" w:hAnsi="Times New Roman"/>
          <w:bCs/>
          <w:sz w:val="18"/>
          <w:szCs w:val="18"/>
        </w:rPr>
      </w:pPr>
      <w:r w:rsidRPr="00A41ED2">
        <w:rPr>
          <w:rFonts w:ascii="Times New Roman" w:hAnsi="Times New Roman"/>
          <w:b/>
          <w:sz w:val="18"/>
          <w:szCs w:val="18"/>
        </w:rPr>
        <w:t>Fig</w:t>
      </w:r>
      <w:r w:rsidR="00F61202" w:rsidRPr="00A41ED2">
        <w:rPr>
          <w:rFonts w:ascii="Times New Roman" w:hAnsi="Times New Roman"/>
          <w:b/>
          <w:sz w:val="18"/>
          <w:szCs w:val="18"/>
        </w:rPr>
        <w:t>.</w:t>
      </w:r>
      <w:r w:rsidRPr="00A41ED2">
        <w:rPr>
          <w:rFonts w:ascii="Times New Roman" w:hAnsi="Times New Roman"/>
          <w:b/>
          <w:sz w:val="18"/>
          <w:szCs w:val="18"/>
        </w:rPr>
        <w:t xml:space="preserve"> S1</w:t>
      </w:r>
      <w:r w:rsidR="00F61202" w:rsidRPr="00F61202">
        <w:rPr>
          <w:rFonts w:ascii="Times New Roman" w:hAnsi="Times New Roman"/>
          <w:bCs/>
          <w:sz w:val="18"/>
          <w:szCs w:val="18"/>
        </w:rPr>
        <w:t>.</w:t>
      </w:r>
      <w:r w:rsidRPr="00F61202">
        <w:rPr>
          <w:rFonts w:ascii="Times New Roman" w:hAnsi="Times New Roman"/>
          <w:bCs/>
          <w:sz w:val="18"/>
          <w:szCs w:val="18"/>
        </w:rPr>
        <w:t xml:space="preserve"> Electrophenisis data of PD-1 mutants (molecular weight ~650</w:t>
      </w:r>
      <w:r w:rsidR="00F61202" w:rsidRPr="00F61202">
        <w:rPr>
          <w:rFonts w:ascii="Times New Roman" w:hAnsi="Times New Roman"/>
          <w:bCs/>
          <w:sz w:val="18"/>
          <w:szCs w:val="18"/>
        </w:rPr>
        <w:t xml:space="preserve"> </w:t>
      </w:r>
      <w:r w:rsidRPr="00F61202">
        <w:rPr>
          <w:rFonts w:ascii="Times New Roman" w:hAnsi="Times New Roman"/>
          <w:bCs/>
          <w:sz w:val="18"/>
          <w:szCs w:val="18"/>
        </w:rPr>
        <w:t>bp) for the library using overlap PCR.</w:t>
      </w:r>
    </w:p>
    <w:p w14:paraId="5EFFF250" w14:textId="77777777" w:rsidR="00F61202" w:rsidRPr="00F61202" w:rsidRDefault="00F61202" w:rsidP="00F61202">
      <w:pPr>
        <w:adjustRightInd w:val="0"/>
        <w:snapToGrid w:val="0"/>
        <w:jc w:val="center"/>
        <w:rPr>
          <w:rFonts w:ascii="Times New Roman" w:hAnsi="Times New Roman"/>
          <w:bCs/>
          <w:sz w:val="18"/>
          <w:szCs w:val="18"/>
        </w:rPr>
      </w:pPr>
    </w:p>
    <w:p w14:paraId="6D289E4F" w14:textId="1B1EEBF2" w:rsidR="00746049" w:rsidRPr="00F61202" w:rsidRDefault="00746049" w:rsidP="00F61202">
      <w:pPr>
        <w:jc w:val="center"/>
        <w:rPr>
          <w:rFonts w:ascii="Times New Roman" w:hAnsi="Times New Roman"/>
          <w:bCs/>
          <w:sz w:val="18"/>
          <w:szCs w:val="18"/>
        </w:rPr>
      </w:pPr>
      <w:r w:rsidRPr="00F61202">
        <w:rPr>
          <w:rFonts w:ascii="Times New Roman" w:hAnsi="Times New Roman"/>
          <w:bCs/>
          <w:noProof/>
          <w:sz w:val="18"/>
          <w:szCs w:val="18"/>
        </w:rPr>
        <w:drawing>
          <wp:inline distT="0" distB="0" distL="0" distR="0" wp14:anchorId="1DD04351" wp14:editId="738A0ED7">
            <wp:extent cx="3128444" cy="2833687"/>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2153" cy="2846104"/>
                    </a:xfrm>
                    <a:prstGeom prst="rect">
                      <a:avLst/>
                    </a:prstGeom>
                    <a:noFill/>
                    <a:ln>
                      <a:noFill/>
                    </a:ln>
                  </pic:spPr>
                </pic:pic>
              </a:graphicData>
            </a:graphic>
          </wp:inline>
        </w:drawing>
      </w:r>
    </w:p>
    <w:p w14:paraId="4A4E2F6A" w14:textId="50B86C92" w:rsidR="00746049" w:rsidRPr="00F61202" w:rsidRDefault="00F61202" w:rsidP="00F61202">
      <w:pPr>
        <w:jc w:val="center"/>
        <w:rPr>
          <w:rFonts w:ascii="Times New Roman" w:hAnsi="Times New Roman"/>
          <w:bCs/>
          <w:sz w:val="18"/>
          <w:szCs w:val="18"/>
        </w:rPr>
      </w:pPr>
      <w:r w:rsidRPr="00F61202">
        <w:rPr>
          <w:rFonts w:ascii="Times New Roman" w:hAnsi="Times New Roman" w:hint="eastAsia"/>
          <w:bCs/>
          <w:sz w:val="18"/>
          <w:szCs w:val="18"/>
        </w:rPr>
        <w:t>(</w:t>
      </w:r>
      <w:r w:rsidRPr="00F61202">
        <w:rPr>
          <w:rFonts w:ascii="Times New Roman" w:hAnsi="Times New Roman"/>
          <w:bCs/>
          <w:sz w:val="18"/>
          <w:szCs w:val="18"/>
        </w:rPr>
        <w:t>a)</w:t>
      </w:r>
    </w:p>
    <w:p w14:paraId="347DD2F2" w14:textId="4410A8C1" w:rsidR="00746049" w:rsidRPr="00F61202" w:rsidRDefault="00746049" w:rsidP="00F61202">
      <w:pPr>
        <w:jc w:val="center"/>
        <w:rPr>
          <w:rFonts w:ascii="Times New Roman" w:hAnsi="Times New Roman"/>
          <w:bCs/>
          <w:sz w:val="18"/>
          <w:szCs w:val="18"/>
        </w:rPr>
      </w:pPr>
      <w:r w:rsidRPr="00F61202">
        <w:rPr>
          <w:rFonts w:ascii="Times New Roman" w:hAnsi="Times New Roman"/>
          <w:bCs/>
          <w:noProof/>
          <w:sz w:val="18"/>
          <w:szCs w:val="18"/>
        </w:rPr>
        <w:lastRenderedPageBreak/>
        <w:drawing>
          <wp:inline distT="0" distB="0" distL="0" distR="0" wp14:anchorId="2524493D" wp14:editId="0AA3332E">
            <wp:extent cx="3530328" cy="245808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8107" cy="2470464"/>
                    </a:xfrm>
                    <a:prstGeom prst="rect">
                      <a:avLst/>
                    </a:prstGeom>
                    <a:noFill/>
                  </pic:spPr>
                </pic:pic>
              </a:graphicData>
            </a:graphic>
          </wp:inline>
        </w:drawing>
      </w:r>
    </w:p>
    <w:p w14:paraId="5A1254CC" w14:textId="08D45EDB" w:rsidR="00746049" w:rsidRPr="00F61202" w:rsidRDefault="00F61202" w:rsidP="00F61202">
      <w:pPr>
        <w:jc w:val="center"/>
        <w:rPr>
          <w:rFonts w:ascii="Times New Roman" w:hAnsi="Times New Roman"/>
          <w:bCs/>
          <w:sz w:val="18"/>
          <w:szCs w:val="18"/>
        </w:rPr>
      </w:pPr>
      <w:r>
        <w:rPr>
          <w:rFonts w:ascii="Times New Roman" w:hAnsi="Times New Roman" w:hint="eastAsia"/>
          <w:bCs/>
          <w:sz w:val="18"/>
          <w:szCs w:val="18"/>
        </w:rPr>
        <w:t>(</w:t>
      </w:r>
      <w:r>
        <w:rPr>
          <w:rFonts w:ascii="Times New Roman" w:hAnsi="Times New Roman"/>
          <w:bCs/>
          <w:sz w:val="18"/>
          <w:szCs w:val="18"/>
        </w:rPr>
        <w:t>b)</w:t>
      </w:r>
    </w:p>
    <w:p w14:paraId="74C4D1E8" w14:textId="75A77B52" w:rsidR="00746049" w:rsidRDefault="00746049" w:rsidP="00F61202">
      <w:pPr>
        <w:adjustRightInd w:val="0"/>
        <w:snapToGrid w:val="0"/>
        <w:rPr>
          <w:rFonts w:ascii="Times New Roman" w:hAnsi="Times New Roman"/>
          <w:bCs/>
          <w:sz w:val="18"/>
          <w:szCs w:val="18"/>
        </w:rPr>
      </w:pPr>
      <w:r w:rsidRPr="00F61202">
        <w:rPr>
          <w:rFonts w:ascii="Times New Roman" w:hAnsi="Times New Roman"/>
          <w:b/>
          <w:sz w:val="18"/>
          <w:szCs w:val="18"/>
        </w:rPr>
        <w:t>Fig</w:t>
      </w:r>
      <w:r w:rsidR="00F61202" w:rsidRPr="00F61202">
        <w:rPr>
          <w:rFonts w:ascii="Times New Roman" w:hAnsi="Times New Roman"/>
          <w:b/>
          <w:sz w:val="18"/>
          <w:szCs w:val="18"/>
        </w:rPr>
        <w:t>.</w:t>
      </w:r>
      <w:r w:rsidRPr="00F61202">
        <w:rPr>
          <w:rFonts w:ascii="Times New Roman" w:hAnsi="Times New Roman"/>
          <w:b/>
          <w:sz w:val="18"/>
          <w:szCs w:val="18"/>
        </w:rPr>
        <w:t xml:space="preserve"> S2</w:t>
      </w:r>
      <w:r w:rsidR="00F61202">
        <w:rPr>
          <w:rFonts w:ascii="Times New Roman" w:hAnsi="Times New Roman"/>
          <w:b/>
          <w:sz w:val="18"/>
          <w:szCs w:val="18"/>
        </w:rPr>
        <w:t>.</w:t>
      </w:r>
      <w:r w:rsidRPr="00F61202">
        <w:rPr>
          <w:rFonts w:ascii="Times New Roman" w:hAnsi="Times New Roman"/>
          <w:bCs/>
          <w:sz w:val="18"/>
          <w:szCs w:val="18"/>
        </w:rPr>
        <w:t xml:space="preserve"> The genes of the library varied, indicating the good viability of the sequences in the library.</w:t>
      </w:r>
      <w:r w:rsidR="00F61202">
        <w:rPr>
          <w:rFonts w:ascii="Times New Roman" w:hAnsi="Times New Roman" w:hint="eastAsia"/>
          <w:bCs/>
          <w:sz w:val="18"/>
          <w:szCs w:val="18"/>
        </w:rPr>
        <w:t xml:space="preserve"> </w:t>
      </w:r>
      <w:r w:rsidR="00F61202">
        <w:rPr>
          <w:rFonts w:ascii="Times New Roman" w:hAnsi="Times New Roman"/>
          <w:bCs/>
          <w:sz w:val="18"/>
          <w:szCs w:val="18"/>
        </w:rPr>
        <w:t>(a)</w:t>
      </w:r>
      <w:r w:rsidRPr="00F61202">
        <w:rPr>
          <w:rFonts w:ascii="Times New Roman" w:hAnsi="Times New Roman"/>
          <w:bCs/>
          <w:sz w:val="18"/>
          <w:szCs w:val="18"/>
        </w:rPr>
        <w:t xml:space="preserve"> </w:t>
      </w:r>
      <w:r w:rsidR="00F61202">
        <w:rPr>
          <w:rFonts w:ascii="Times New Roman" w:hAnsi="Times New Roman"/>
          <w:bCs/>
          <w:sz w:val="18"/>
          <w:szCs w:val="18"/>
        </w:rPr>
        <w:t>A</w:t>
      </w:r>
      <w:r w:rsidRPr="00F61202">
        <w:rPr>
          <w:rFonts w:ascii="Times New Roman" w:hAnsi="Times New Roman"/>
          <w:bCs/>
          <w:sz w:val="18"/>
          <w:szCs w:val="18"/>
        </w:rPr>
        <w:t>lignment of sequenced genes from the library;</w:t>
      </w:r>
      <w:r w:rsidR="00F61202">
        <w:rPr>
          <w:rFonts w:ascii="Times New Roman" w:hAnsi="Times New Roman"/>
          <w:bCs/>
          <w:sz w:val="18"/>
          <w:szCs w:val="18"/>
        </w:rPr>
        <w:t xml:space="preserve"> (b)</w:t>
      </w:r>
      <w:r w:rsidRPr="00F61202">
        <w:rPr>
          <w:rFonts w:ascii="Times New Roman" w:hAnsi="Times New Roman"/>
          <w:bCs/>
          <w:sz w:val="18"/>
          <w:szCs w:val="18"/>
        </w:rPr>
        <w:t xml:space="preserve"> distribution of the designed amino acids in the library.</w:t>
      </w:r>
    </w:p>
    <w:p w14:paraId="3532FB04" w14:textId="77777777" w:rsidR="00F61202" w:rsidRPr="00F61202" w:rsidRDefault="00F61202" w:rsidP="00F61202">
      <w:pPr>
        <w:adjustRightInd w:val="0"/>
        <w:snapToGrid w:val="0"/>
        <w:rPr>
          <w:rFonts w:ascii="Times New Roman" w:hAnsi="Times New Roman"/>
          <w:bCs/>
          <w:sz w:val="18"/>
          <w:szCs w:val="18"/>
        </w:rPr>
      </w:pPr>
    </w:p>
    <w:p w14:paraId="3DB59F5A" w14:textId="2629FA56" w:rsidR="00746049" w:rsidRPr="00F61202" w:rsidRDefault="00EC65E4" w:rsidP="00F61202">
      <w:pPr>
        <w:jc w:val="center"/>
        <w:rPr>
          <w:rFonts w:ascii="Times New Roman" w:hAnsi="Times New Roman"/>
          <w:bCs/>
          <w:sz w:val="18"/>
          <w:szCs w:val="18"/>
        </w:rPr>
      </w:pPr>
      <w:r w:rsidRPr="00F61202">
        <w:rPr>
          <w:rFonts w:ascii="Times New Roman" w:hAnsi="Times New Roman"/>
          <w:bCs/>
          <w:sz w:val="18"/>
          <w:szCs w:val="18"/>
        </w:rPr>
        <w:object w:dxaOrig="15534" w:dyaOrig="8221" w14:anchorId="4AA14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6.5pt" o:ole="">
            <v:imagedata r:id="rId9" o:title=""/>
          </v:shape>
          <o:OLEObject Type="Embed" ProgID="Prism5.Document" ShapeID="_x0000_i1025" DrawAspect="Content" ObjectID="_1686999825" r:id="rId10"/>
        </w:object>
      </w:r>
    </w:p>
    <w:p w14:paraId="66B92BD7" w14:textId="26ECE87D" w:rsidR="00746049" w:rsidRDefault="00746049" w:rsidP="00EC65E4">
      <w:pPr>
        <w:adjustRightInd w:val="0"/>
        <w:snapToGrid w:val="0"/>
        <w:rPr>
          <w:rFonts w:ascii="Times New Roman" w:hAnsi="Times New Roman"/>
          <w:bCs/>
          <w:sz w:val="18"/>
          <w:szCs w:val="18"/>
        </w:rPr>
      </w:pPr>
      <w:r w:rsidRPr="00F61202">
        <w:rPr>
          <w:rFonts w:ascii="Times New Roman" w:hAnsi="Times New Roman"/>
          <w:b/>
          <w:sz w:val="18"/>
          <w:szCs w:val="18"/>
        </w:rPr>
        <w:t>Fig</w:t>
      </w:r>
      <w:r w:rsidR="00F61202" w:rsidRPr="00F61202">
        <w:rPr>
          <w:rFonts w:ascii="Times New Roman" w:hAnsi="Times New Roman"/>
          <w:b/>
          <w:sz w:val="18"/>
          <w:szCs w:val="18"/>
        </w:rPr>
        <w:t>.</w:t>
      </w:r>
      <w:r w:rsidRPr="00F61202">
        <w:rPr>
          <w:rFonts w:ascii="Times New Roman" w:hAnsi="Times New Roman"/>
          <w:b/>
          <w:sz w:val="18"/>
          <w:szCs w:val="18"/>
        </w:rPr>
        <w:t>S3</w:t>
      </w:r>
      <w:r w:rsidR="00F61202" w:rsidRPr="00F61202">
        <w:rPr>
          <w:rFonts w:ascii="Times New Roman" w:hAnsi="Times New Roman"/>
          <w:b/>
          <w:sz w:val="18"/>
          <w:szCs w:val="18"/>
        </w:rPr>
        <w:t>.</w:t>
      </w:r>
      <w:r w:rsidRPr="00F61202">
        <w:rPr>
          <w:rFonts w:ascii="Times New Roman" w:hAnsi="Times New Roman"/>
          <w:bCs/>
          <w:sz w:val="18"/>
          <w:szCs w:val="18"/>
        </w:rPr>
        <w:t xml:space="preserve"> ELISA detection of 29 PD-1 mutants bound to PD-L1 or PD-L2.</w:t>
      </w:r>
      <w:r w:rsidR="00F61202">
        <w:rPr>
          <w:rFonts w:ascii="Times New Roman" w:hAnsi="Times New Roman" w:hint="eastAsia"/>
          <w:bCs/>
          <w:sz w:val="18"/>
          <w:szCs w:val="18"/>
        </w:rPr>
        <w:t xml:space="preserve"> </w:t>
      </w:r>
      <w:r w:rsidRPr="00F61202">
        <w:rPr>
          <w:rFonts w:ascii="Times New Roman" w:hAnsi="Times New Roman"/>
          <w:bCs/>
          <w:sz w:val="18"/>
          <w:szCs w:val="18"/>
        </w:rPr>
        <w:t>Those clones with enhanced binding capacity were chosen for further identification.</w:t>
      </w:r>
    </w:p>
    <w:p w14:paraId="699FB9BB" w14:textId="77777777" w:rsidR="00EC65E4" w:rsidRPr="00F61202" w:rsidRDefault="00EC65E4" w:rsidP="00EC65E4">
      <w:pPr>
        <w:adjustRightInd w:val="0"/>
        <w:snapToGrid w:val="0"/>
        <w:rPr>
          <w:rFonts w:ascii="Times New Roman" w:hAnsi="Times New Roman"/>
          <w:bCs/>
          <w:sz w:val="18"/>
          <w:szCs w:val="18"/>
        </w:rPr>
      </w:pPr>
    </w:p>
    <w:p w14:paraId="68D3D1D6" w14:textId="65392753" w:rsidR="00746049" w:rsidRPr="00F61202" w:rsidRDefault="00746049" w:rsidP="00F61202">
      <w:pPr>
        <w:jc w:val="center"/>
        <w:rPr>
          <w:rFonts w:ascii="Times New Roman" w:hAnsi="Times New Roman"/>
          <w:bCs/>
          <w:sz w:val="18"/>
          <w:szCs w:val="18"/>
        </w:rPr>
      </w:pPr>
      <w:r w:rsidRPr="00F61202">
        <w:rPr>
          <w:rFonts w:ascii="Times New Roman" w:hAnsi="Times New Roman"/>
          <w:bCs/>
          <w:noProof/>
          <w:sz w:val="18"/>
          <w:szCs w:val="18"/>
        </w:rPr>
        <w:drawing>
          <wp:inline distT="0" distB="0" distL="0" distR="0" wp14:anchorId="2740F3B0" wp14:editId="44A2B1D2">
            <wp:extent cx="5062538" cy="1915670"/>
            <wp:effectExtent l="0" t="0" r="508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l="4160" t="10983" r="7776" b="35838"/>
                    <a:stretch>
                      <a:fillRect/>
                    </a:stretch>
                  </pic:blipFill>
                  <pic:spPr bwMode="auto">
                    <a:xfrm>
                      <a:off x="0" y="0"/>
                      <a:ext cx="5072995" cy="1919627"/>
                    </a:xfrm>
                    <a:prstGeom prst="rect">
                      <a:avLst/>
                    </a:prstGeom>
                    <a:noFill/>
                    <a:ln>
                      <a:noFill/>
                    </a:ln>
                  </pic:spPr>
                </pic:pic>
              </a:graphicData>
            </a:graphic>
          </wp:inline>
        </w:drawing>
      </w:r>
    </w:p>
    <w:p w14:paraId="066A7543" w14:textId="24E7996B" w:rsidR="00746049" w:rsidRDefault="00746049" w:rsidP="00EC65E4">
      <w:pPr>
        <w:adjustRightInd w:val="0"/>
        <w:snapToGrid w:val="0"/>
        <w:jc w:val="center"/>
        <w:rPr>
          <w:rFonts w:ascii="Times New Roman" w:hAnsi="Times New Roman"/>
          <w:bCs/>
          <w:sz w:val="18"/>
          <w:szCs w:val="18"/>
        </w:rPr>
      </w:pPr>
      <w:r w:rsidRPr="00EC65E4">
        <w:rPr>
          <w:rFonts w:ascii="Times New Roman" w:hAnsi="Times New Roman"/>
          <w:b/>
          <w:sz w:val="18"/>
          <w:szCs w:val="18"/>
        </w:rPr>
        <w:t>Fig</w:t>
      </w:r>
      <w:r w:rsidR="00EC65E4" w:rsidRPr="00EC65E4">
        <w:rPr>
          <w:rFonts w:ascii="Times New Roman" w:hAnsi="Times New Roman"/>
          <w:b/>
          <w:sz w:val="18"/>
          <w:szCs w:val="18"/>
        </w:rPr>
        <w:t>.</w:t>
      </w:r>
      <w:r w:rsidRPr="00EC65E4">
        <w:rPr>
          <w:rFonts w:ascii="Times New Roman" w:hAnsi="Times New Roman"/>
          <w:b/>
          <w:sz w:val="18"/>
          <w:szCs w:val="18"/>
        </w:rPr>
        <w:t xml:space="preserve"> S4</w:t>
      </w:r>
      <w:r w:rsidR="00EC65E4">
        <w:rPr>
          <w:rFonts w:ascii="Times New Roman" w:hAnsi="Times New Roman"/>
          <w:b/>
          <w:sz w:val="18"/>
          <w:szCs w:val="18"/>
        </w:rPr>
        <w:t>.</w:t>
      </w:r>
      <w:r w:rsidRPr="00F61202">
        <w:rPr>
          <w:rFonts w:ascii="Times New Roman" w:hAnsi="Times New Roman"/>
          <w:bCs/>
          <w:sz w:val="18"/>
          <w:szCs w:val="18"/>
        </w:rPr>
        <w:t xml:space="preserve"> ELISA detection of nine selected PD-1 mutants to bind to PD-L1 on a dose-dependent manner.</w:t>
      </w:r>
    </w:p>
    <w:p w14:paraId="63F564FA" w14:textId="77777777" w:rsidR="00EC65E4" w:rsidRPr="00F61202" w:rsidRDefault="00EC65E4" w:rsidP="00EC65E4">
      <w:pPr>
        <w:adjustRightInd w:val="0"/>
        <w:snapToGrid w:val="0"/>
        <w:jc w:val="center"/>
        <w:rPr>
          <w:rFonts w:ascii="Times New Roman" w:hAnsi="Times New Roman"/>
          <w:bCs/>
          <w:sz w:val="18"/>
          <w:szCs w:val="18"/>
        </w:rPr>
      </w:pPr>
    </w:p>
    <w:p w14:paraId="3D2138F9" w14:textId="5D677AE4" w:rsidR="00746049" w:rsidRPr="00F61202" w:rsidRDefault="00746049" w:rsidP="00EC65E4">
      <w:pPr>
        <w:jc w:val="center"/>
        <w:rPr>
          <w:rFonts w:ascii="Times New Roman" w:hAnsi="Times New Roman"/>
          <w:bCs/>
          <w:sz w:val="18"/>
          <w:szCs w:val="18"/>
        </w:rPr>
      </w:pPr>
      <w:r w:rsidRPr="00F61202">
        <w:rPr>
          <w:rFonts w:ascii="Times New Roman" w:hAnsi="Times New Roman"/>
          <w:bCs/>
          <w:noProof/>
          <w:sz w:val="18"/>
          <w:szCs w:val="18"/>
        </w:rPr>
        <w:lastRenderedPageBreak/>
        <w:drawing>
          <wp:inline distT="0" distB="0" distL="0" distR="0" wp14:anchorId="01D16548" wp14:editId="61E9B23B">
            <wp:extent cx="5274310" cy="209931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l="16455" t="28035" r="19891" b="31503"/>
                    <a:stretch>
                      <a:fillRect/>
                    </a:stretch>
                  </pic:blipFill>
                  <pic:spPr bwMode="auto">
                    <a:xfrm>
                      <a:off x="0" y="0"/>
                      <a:ext cx="5274310" cy="2099310"/>
                    </a:xfrm>
                    <a:prstGeom prst="rect">
                      <a:avLst/>
                    </a:prstGeom>
                    <a:noFill/>
                    <a:ln>
                      <a:noFill/>
                    </a:ln>
                  </pic:spPr>
                </pic:pic>
              </a:graphicData>
            </a:graphic>
          </wp:inline>
        </w:drawing>
      </w:r>
    </w:p>
    <w:p w14:paraId="11E94DDF" w14:textId="264AB55A" w:rsidR="00746049" w:rsidRDefault="00746049" w:rsidP="00EC65E4">
      <w:pPr>
        <w:adjustRightInd w:val="0"/>
        <w:snapToGrid w:val="0"/>
        <w:jc w:val="center"/>
        <w:rPr>
          <w:rFonts w:ascii="Times New Roman" w:hAnsi="Times New Roman"/>
          <w:bCs/>
          <w:sz w:val="18"/>
          <w:szCs w:val="18"/>
        </w:rPr>
      </w:pPr>
      <w:r w:rsidRPr="00EC65E4">
        <w:rPr>
          <w:rFonts w:ascii="Times New Roman" w:hAnsi="Times New Roman"/>
          <w:b/>
          <w:sz w:val="18"/>
          <w:szCs w:val="18"/>
        </w:rPr>
        <w:t>Fig</w:t>
      </w:r>
      <w:r w:rsidR="00EC65E4" w:rsidRPr="00EC65E4">
        <w:rPr>
          <w:rFonts w:ascii="Times New Roman" w:hAnsi="Times New Roman"/>
          <w:b/>
          <w:sz w:val="18"/>
          <w:szCs w:val="18"/>
        </w:rPr>
        <w:t>.</w:t>
      </w:r>
      <w:r w:rsidRPr="00EC65E4">
        <w:rPr>
          <w:rFonts w:ascii="Times New Roman" w:hAnsi="Times New Roman"/>
          <w:b/>
          <w:sz w:val="18"/>
          <w:szCs w:val="18"/>
        </w:rPr>
        <w:t xml:space="preserve"> S5</w:t>
      </w:r>
      <w:r w:rsidR="00EC65E4" w:rsidRPr="00EC65E4">
        <w:rPr>
          <w:rFonts w:ascii="Times New Roman" w:hAnsi="Times New Roman"/>
          <w:b/>
          <w:sz w:val="18"/>
          <w:szCs w:val="18"/>
        </w:rPr>
        <w:t>.</w:t>
      </w:r>
      <w:r w:rsidRPr="00F61202">
        <w:rPr>
          <w:rFonts w:ascii="Times New Roman" w:hAnsi="Times New Roman"/>
          <w:bCs/>
          <w:sz w:val="18"/>
          <w:szCs w:val="18"/>
        </w:rPr>
        <w:t xml:space="preserve"> ELISA detection of nine selected PD-1 mutants to bind to PD-L2 on a dose-dependent manner.</w:t>
      </w:r>
    </w:p>
    <w:p w14:paraId="4B4FE56C" w14:textId="77777777" w:rsidR="005B0356" w:rsidRPr="00376E9B" w:rsidRDefault="005B0356" w:rsidP="005B0356">
      <w:pPr>
        <w:rPr>
          <w:rFonts w:hint="eastAsia"/>
          <w:bCs/>
          <w:sz w:val="18"/>
          <w:szCs w:val="15"/>
        </w:rPr>
      </w:pPr>
    </w:p>
    <w:p w14:paraId="53212F48" w14:textId="77777777" w:rsidR="005B0356" w:rsidRPr="00376E9B" w:rsidRDefault="005B0356" w:rsidP="005B0356">
      <w:pPr>
        <w:jc w:val="center"/>
        <w:rPr>
          <w:sz w:val="18"/>
          <w:szCs w:val="15"/>
        </w:rPr>
      </w:pPr>
      <w:r w:rsidRPr="00376E9B">
        <w:rPr>
          <w:sz w:val="18"/>
          <w:szCs w:val="15"/>
        </w:rPr>
        <w:object w:dxaOrig="15988" w:dyaOrig="8731" w14:anchorId="0B47166A">
          <v:shape id="_x0000_i1029" type="#_x0000_t75" style="width:327pt;height:177.75pt" o:ole="">
            <v:imagedata r:id="rId13" o:title=""/>
          </v:shape>
          <o:OLEObject Type="Embed" ProgID="Prism5.Document" ShapeID="_x0000_i1029" DrawAspect="Content" ObjectID="_1686999826" r:id="rId14"/>
        </w:object>
      </w:r>
    </w:p>
    <w:p w14:paraId="3B1FCF33" w14:textId="26A599EC" w:rsidR="005B0356" w:rsidRPr="00376E9B" w:rsidRDefault="005B0356" w:rsidP="005B0356">
      <w:pPr>
        <w:jc w:val="center"/>
        <w:rPr>
          <w:bCs/>
          <w:sz w:val="18"/>
          <w:szCs w:val="15"/>
        </w:rPr>
      </w:pPr>
      <w:r w:rsidRPr="00376E9B">
        <w:rPr>
          <w:bCs/>
          <w:sz w:val="18"/>
          <w:szCs w:val="15"/>
        </w:rPr>
        <w:t>(</w:t>
      </w:r>
      <w:r>
        <w:rPr>
          <w:rFonts w:hint="eastAsia"/>
          <w:bCs/>
          <w:sz w:val="18"/>
          <w:szCs w:val="15"/>
        </w:rPr>
        <w:t>a</w:t>
      </w:r>
      <w:r w:rsidRPr="00376E9B">
        <w:rPr>
          <w:bCs/>
          <w:sz w:val="18"/>
          <w:szCs w:val="15"/>
        </w:rPr>
        <w:t>)</w:t>
      </w:r>
    </w:p>
    <w:p w14:paraId="4E5C9C89" w14:textId="77777777" w:rsidR="005B0356" w:rsidRPr="00376E9B" w:rsidRDefault="005B0356" w:rsidP="005B0356">
      <w:pPr>
        <w:jc w:val="center"/>
        <w:rPr>
          <w:b/>
          <w:sz w:val="18"/>
          <w:szCs w:val="15"/>
        </w:rPr>
      </w:pPr>
      <w:r w:rsidRPr="00376E9B">
        <w:rPr>
          <w:sz w:val="18"/>
          <w:szCs w:val="15"/>
        </w:rPr>
        <w:object w:dxaOrig="15988" w:dyaOrig="8731" w14:anchorId="413395A2">
          <v:shape id="_x0000_i1030" type="#_x0000_t75" style="width:318pt;height:173.25pt" o:ole="">
            <v:imagedata r:id="rId15" o:title=""/>
          </v:shape>
          <o:OLEObject Type="Embed" ProgID="Prism5.Document" ShapeID="_x0000_i1030" DrawAspect="Content" ObjectID="_1686999827" r:id="rId16"/>
        </w:object>
      </w:r>
    </w:p>
    <w:p w14:paraId="51EE18C6" w14:textId="624CD1C8" w:rsidR="005B0356" w:rsidRPr="00376E9B" w:rsidRDefault="005B0356" w:rsidP="005B0356">
      <w:pPr>
        <w:jc w:val="center"/>
        <w:rPr>
          <w:bCs/>
          <w:sz w:val="18"/>
          <w:szCs w:val="15"/>
        </w:rPr>
      </w:pPr>
      <w:r w:rsidRPr="00376E9B">
        <w:rPr>
          <w:bCs/>
          <w:sz w:val="18"/>
          <w:szCs w:val="15"/>
        </w:rPr>
        <w:t>(</w:t>
      </w:r>
      <w:r>
        <w:rPr>
          <w:bCs/>
          <w:sz w:val="18"/>
          <w:szCs w:val="15"/>
        </w:rPr>
        <w:t>b</w:t>
      </w:r>
      <w:r w:rsidRPr="00376E9B">
        <w:rPr>
          <w:bCs/>
          <w:sz w:val="18"/>
          <w:szCs w:val="15"/>
        </w:rPr>
        <w:t>)</w:t>
      </w:r>
    </w:p>
    <w:p w14:paraId="36393813" w14:textId="118747DE" w:rsidR="005B0356" w:rsidRDefault="005B0356" w:rsidP="005B0356">
      <w:pPr>
        <w:jc w:val="center"/>
        <w:rPr>
          <w:b/>
          <w:sz w:val="18"/>
          <w:szCs w:val="15"/>
        </w:rPr>
      </w:pPr>
    </w:p>
    <w:p w14:paraId="4C290A11" w14:textId="77777777" w:rsidR="005B0356" w:rsidRDefault="005B0356" w:rsidP="005B0356">
      <w:pPr>
        <w:ind w:right="420"/>
        <w:jc w:val="center"/>
        <w:rPr>
          <w:b/>
          <w:sz w:val="18"/>
          <w:szCs w:val="15"/>
        </w:rPr>
      </w:pPr>
    </w:p>
    <w:p w14:paraId="5D740DDC" w14:textId="77777777" w:rsidR="005B0356" w:rsidRDefault="005B0356" w:rsidP="005B0356">
      <w:pPr>
        <w:ind w:right="420"/>
        <w:jc w:val="center"/>
        <w:rPr>
          <w:b/>
          <w:sz w:val="18"/>
          <w:szCs w:val="15"/>
        </w:rPr>
      </w:pPr>
    </w:p>
    <w:p w14:paraId="4844890A" w14:textId="77777777" w:rsidR="005B0356" w:rsidRPr="00376E9B" w:rsidRDefault="005B0356" w:rsidP="005B0356">
      <w:pPr>
        <w:ind w:right="420"/>
        <w:jc w:val="center"/>
        <w:rPr>
          <w:b/>
          <w:sz w:val="18"/>
          <w:szCs w:val="15"/>
        </w:rPr>
      </w:pPr>
    </w:p>
    <w:p w14:paraId="084A0F7D" w14:textId="77777777" w:rsidR="005B0356" w:rsidRPr="00376E9B" w:rsidRDefault="005B0356" w:rsidP="005B0356">
      <w:pPr>
        <w:ind w:right="420"/>
        <w:jc w:val="center"/>
        <w:rPr>
          <w:b/>
          <w:sz w:val="18"/>
          <w:szCs w:val="15"/>
        </w:rPr>
      </w:pPr>
    </w:p>
    <w:p w14:paraId="1C40F37F" w14:textId="77777777" w:rsidR="005B0356" w:rsidRPr="00376E9B" w:rsidRDefault="005B0356" w:rsidP="005B0356">
      <w:pPr>
        <w:ind w:right="420"/>
        <w:jc w:val="center"/>
        <w:rPr>
          <w:b/>
          <w:sz w:val="18"/>
          <w:szCs w:val="15"/>
        </w:rPr>
      </w:pPr>
    </w:p>
    <w:p w14:paraId="46A86CA3" w14:textId="2A27EA8E" w:rsidR="005B0356" w:rsidRDefault="005B0356" w:rsidP="005B0356">
      <w:pPr>
        <w:ind w:right="420"/>
        <w:jc w:val="center"/>
        <w:rPr>
          <w:b/>
          <w:sz w:val="18"/>
          <w:szCs w:val="15"/>
        </w:rPr>
      </w:pPr>
      <w:r>
        <w:rPr>
          <w:b/>
          <w:noProof/>
          <w:sz w:val="18"/>
          <w:szCs w:val="15"/>
        </w:rPr>
        <w:lastRenderedPageBreak/>
        <w:object w:dxaOrig="1440" w:dyaOrig="1440" w14:anchorId="3ECE4C04">
          <v:shape id="_x0000_s1030" type="#_x0000_t75" style="position:absolute;left:0;text-align:left;margin-left:77.45pt;margin-top:-7.3pt;width:272.1pt;height:192.4pt;z-index:251659264">
            <v:imagedata r:id="rId17" o:title=""/>
          </v:shape>
          <o:OLEObject Type="Embed" ProgID="Prism5.Document" ShapeID="_x0000_s1030" DrawAspect="Content" ObjectID="_1686999831" r:id="rId18"/>
        </w:object>
      </w:r>
    </w:p>
    <w:p w14:paraId="661C81C1" w14:textId="77777777" w:rsidR="005B0356" w:rsidRDefault="005B0356" w:rsidP="005B0356">
      <w:pPr>
        <w:ind w:right="420"/>
        <w:jc w:val="center"/>
        <w:rPr>
          <w:b/>
          <w:sz w:val="18"/>
          <w:szCs w:val="15"/>
        </w:rPr>
      </w:pPr>
    </w:p>
    <w:p w14:paraId="28E8BAE0" w14:textId="77777777" w:rsidR="005B0356" w:rsidRDefault="005B0356" w:rsidP="005B0356">
      <w:pPr>
        <w:ind w:right="420"/>
        <w:jc w:val="center"/>
        <w:rPr>
          <w:b/>
          <w:sz w:val="18"/>
          <w:szCs w:val="15"/>
        </w:rPr>
      </w:pPr>
    </w:p>
    <w:p w14:paraId="12C390F8" w14:textId="77777777" w:rsidR="005B0356" w:rsidRDefault="005B0356" w:rsidP="005B0356">
      <w:pPr>
        <w:ind w:right="420"/>
        <w:jc w:val="center"/>
        <w:rPr>
          <w:b/>
          <w:sz w:val="18"/>
          <w:szCs w:val="15"/>
        </w:rPr>
      </w:pPr>
    </w:p>
    <w:p w14:paraId="70F83F8D" w14:textId="77777777" w:rsidR="005B0356" w:rsidRDefault="005B0356" w:rsidP="005B0356">
      <w:pPr>
        <w:ind w:right="420"/>
        <w:jc w:val="center"/>
        <w:rPr>
          <w:b/>
          <w:sz w:val="18"/>
          <w:szCs w:val="15"/>
        </w:rPr>
      </w:pPr>
    </w:p>
    <w:p w14:paraId="0134A297" w14:textId="77777777" w:rsidR="005B0356" w:rsidRDefault="005B0356" w:rsidP="005B0356">
      <w:pPr>
        <w:ind w:right="420"/>
        <w:jc w:val="center"/>
        <w:rPr>
          <w:b/>
          <w:sz w:val="18"/>
          <w:szCs w:val="15"/>
        </w:rPr>
      </w:pPr>
    </w:p>
    <w:p w14:paraId="62683823" w14:textId="77777777" w:rsidR="005B0356" w:rsidRDefault="005B0356" w:rsidP="005B0356">
      <w:pPr>
        <w:ind w:right="420"/>
        <w:jc w:val="center"/>
        <w:rPr>
          <w:b/>
          <w:sz w:val="18"/>
          <w:szCs w:val="15"/>
        </w:rPr>
      </w:pPr>
    </w:p>
    <w:p w14:paraId="02CA14C0" w14:textId="082C64E9" w:rsidR="005B0356" w:rsidRPr="00376E9B" w:rsidRDefault="005B0356" w:rsidP="005B0356">
      <w:pPr>
        <w:ind w:right="420"/>
        <w:jc w:val="center"/>
        <w:rPr>
          <w:b/>
          <w:sz w:val="18"/>
          <w:szCs w:val="15"/>
        </w:rPr>
      </w:pPr>
    </w:p>
    <w:p w14:paraId="1D8AB36A" w14:textId="77777777" w:rsidR="005B0356" w:rsidRPr="00376E9B" w:rsidRDefault="005B0356" w:rsidP="005B0356">
      <w:pPr>
        <w:ind w:right="420"/>
        <w:jc w:val="center"/>
        <w:rPr>
          <w:b/>
          <w:sz w:val="18"/>
          <w:szCs w:val="15"/>
        </w:rPr>
      </w:pPr>
    </w:p>
    <w:p w14:paraId="6D119CAF" w14:textId="77777777" w:rsidR="005B0356" w:rsidRPr="00376E9B" w:rsidRDefault="005B0356" w:rsidP="005B0356">
      <w:pPr>
        <w:ind w:right="420"/>
        <w:jc w:val="center"/>
        <w:rPr>
          <w:b/>
          <w:sz w:val="18"/>
          <w:szCs w:val="15"/>
        </w:rPr>
      </w:pPr>
    </w:p>
    <w:p w14:paraId="57B4D8BD" w14:textId="77777777" w:rsidR="005B0356" w:rsidRPr="00376E9B" w:rsidRDefault="005B0356" w:rsidP="005B0356">
      <w:pPr>
        <w:ind w:right="420"/>
        <w:jc w:val="center"/>
        <w:rPr>
          <w:b/>
          <w:sz w:val="18"/>
          <w:szCs w:val="15"/>
        </w:rPr>
      </w:pPr>
    </w:p>
    <w:p w14:paraId="2D04FF68" w14:textId="77777777" w:rsidR="005B0356" w:rsidRDefault="005B0356" w:rsidP="005B0356">
      <w:pPr>
        <w:jc w:val="center"/>
        <w:rPr>
          <w:bCs/>
          <w:sz w:val="18"/>
          <w:szCs w:val="15"/>
        </w:rPr>
      </w:pPr>
    </w:p>
    <w:p w14:paraId="4FEBAB8B" w14:textId="758721ED" w:rsidR="005B0356" w:rsidRPr="00376E9B" w:rsidRDefault="005B0356" w:rsidP="005B0356">
      <w:pPr>
        <w:jc w:val="center"/>
        <w:rPr>
          <w:bCs/>
          <w:sz w:val="18"/>
          <w:szCs w:val="15"/>
        </w:rPr>
      </w:pPr>
      <w:r w:rsidRPr="00376E9B">
        <w:rPr>
          <w:rFonts w:hint="eastAsia"/>
          <w:bCs/>
          <w:sz w:val="18"/>
          <w:szCs w:val="15"/>
        </w:rPr>
        <w:t>(</w:t>
      </w:r>
      <w:r>
        <w:rPr>
          <w:bCs/>
          <w:sz w:val="18"/>
          <w:szCs w:val="15"/>
        </w:rPr>
        <w:t>c</w:t>
      </w:r>
      <w:r w:rsidRPr="00376E9B">
        <w:rPr>
          <w:bCs/>
          <w:sz w:val="18"/>
          <w:szCs w:val="15"/>
        </w:rPr>
        <w:t>)</w:t>
      </w:r>
    </w:p>
    <w:p w14:paraId="1F20C804" w14:textId="77777777" w:rsidR="005B0356" w:rsidRPr="005B0356" w:rsidRDefault="005B0356" w:rsidP="005B0356">
      <w:pPr>
        <w:autoSpaceDE w:val="0"/>
        <w:autoSpaceDN w:val="0"/>
        <w:adjustRightInd w:val="0"/>
        <w:snapToGrid w:val="0"/>
        <w:rPr>
          <w:rFonts w:ascii="Times New Roman" w:eastAsiaTheme="minorEastAsia" w:hAnsi="Times New Roman"/>
          <w:b/>
          <w:sz w:val="18"/>
          <w:szCs w:val="18"/>
        </w:rPr>
      </w:pPr>
    </w:p>
    <w:p w14:paraId="7CBD8611" w14:textId="7C5D85A6" w:rsidR="005B0356" w:rsidRPr="005B0356" w:rsidRDefault="005B0356" w:rsidP="005B0356">
      <w:pPr>
        <w:autoSpaceDE w:val="0"/>
        <w:autoSpaceDN w:val="0"/>
        <w:adjustRightInd w:val="0"/>
        <w:snapToGrid w:val="0"/>
        <w:rPr>
          <w:rFonts w:ascii="Times New Roman" w:eastAsiaTheme="minorEastAsia" w:hAnsi="Times New Roman"/>
          <w:sz w:val="18"/>
          <w:szCs w:val="18"/>
        </w:rPr>
      </w:pPr>
      <w:r w:rsidRPr="005B0356">
        <w:rPr>
          <w:rFonts w:ascii="Times New Roman" w:eastAsiaTheme="minorEastAsia" w:hAnsi="Times New Roman"/>
          <w:b/>
          <w:bCs/>
          <w:sz w:val="18"/>
          <w:szCs w:val="18"/>
        </w:rPr>
        <w:t>Fig. S6.</w:t>
      </w:r>
      <w:r>
        <w:rPr>
          <w:rFonts w:ascii="Times New Roman" w:eastAsiaTheme="minorEastAsia" w:hAnsi="Times New Roman"/>
          <w:sz w:val="18"/>
          <w:szCs w:val="18"/>
        </w:rPr>
        <w:t xml:space="preserve"> </w:t>
      </w:r>
      <w:r w:rsidRPr="005B0356">
        <w:rPr>
          <w:rFonts w:ascii="Times New Roman" w:eastAsiaTheme="minorEastAsia" w:hAnsi="Times New Roman"/>
          <w:sz w:val="18"/>
          <w:szCs w:val="18"/>
        </w:rPr>
        <w:t>Nine clones selected from the cell library inhibited PD-1 were found to bind to (</w:t>
      </w:r>
      <w:r>
        <w:rPr>
          <w:rFonts w:ascii="Times New Roman" w:eastAsiaTheme="minorEastAsia" w:hAnsi="Times New Roman"/>
          <w:sz w:val="18"/>
          <w:szCs w:val="18"/>
        </w:rPr>
        <w:t>a</w:t>
      </w:r>
      <w:r w:rsidRPr="005B0356">
        <w:rPr>
          <w:rFonts w:ascii="Times New Roman" w:eastAsiaTheme="minorEastAsia" w:hAnsi="Times New Roman"/>
          <w:sz w:val="18"/>
          <w:szCs w:val="18"/>
        </w:rPr>
        <w:t>) PD-L1 or (</w:t>
      </w:r>
      <w:r>
        <w:rPr>
          <w:rFonts w:ascii="Times New Roman" w:eastAsiaTheme="minorEastAsia" w:hAnsi="Times New Roman"/>
          <w:sz w:val="18"/>
          <w:szCs w:val="18"/>
        </w:rPr>
        <w:t>b</w:t>
      </w:r>
      <w:r w:rsidRPr="005B0356">
        <w:rPr>
          <w:rFonts w:ascii="Times New Roman" w:eastAsiaTheme="minorEastAsia" w:hAnsi="Times New Roman"/>
          <w:sz w:val="18"/>
          <w:szCs w:val="18"/>
        </w:rPr>
        <w:t>) PD-L2, as shown by ELISA detection. The nine clones (463, 407, 431, 446, 506, 411, 576, 408, and 410) were screened out because of their higher affinity. The heavy chain and light chain variable genes were amplified and transiently expressed to form full Ig in the 293T cells. The supernatant of the transfected cells was collected, diluted, and incubated with coated (</w:t>
      </w:r>
      <w:r>
        <w:rPr>
          <w:rFonts w:ascii="Times New Roman" w:eastAsiaTheme="minorEastAsia" w:hAnsi="Times New Roman"/>
          <w:sz w:val="18"/>
          <w:szCs w:val="18"/>
        </w:rPr>
        <w:t>a</w:t>
      </w:r>
      <w:r w:rsidRPr="005B0356">
        <w:rPr>
          <w:rFonts w:ascii="Times New Roman" w:eastAsiaTheme="minorEastAsia" w:hAnsi="Times New Roman"/>
          <w:sz w:val="18"/>
          <w:szCs w:val="18"/>
        </w:rPr>
        <w:t>) PD-L1 or (</w:t>
      </w:r>
      <w:r>
        <w:rPr>
          <w:rFonts w:ascii="Times New Roman" w:eastAsiaTheme="minorEastAsia" w:hAnsi="Times New Roman"/>
          <w:sz w:val="18"/>
          <w:szCs w:val="18"/>
        </w:rPr>
        <w:t>b</w:t>
      </w:r>
      <w:r w:rsidRPr="005B0356">
        <w:rPr>
          <w:rFonts w:ascii="Times New Roman" w:eastAsiaTheme="minorEastAsia" w:hAnsi="Times New Roman"/>
          <w:sz w:val="18"/>
          <w:szCs w:val="18"/>
        </w:rPr>
        <w:t>) PD-L2 to compete with the WT PD-1. Two mutants, 463 and 506, showed the best inhibition of PD-1 binding to PD-L1. (</w:t>
      </w:r>
      <w:r>
        <w:rPr>
          <w:rFonts w:ascii="Times New Roman" w:eastAsiaTheme="minorEastAsia" w:hAnsi="Times New Roman"/>
          <w:sz w:val="18"/>
          <w:szCs w:val="18"/>
        </w:rPr>
        <w:t>c</w:t>
      </w:r>
      <w:r w:rsidRPr="005B0356">
        <w:rPr>
          <w:rFonts w:ascii="Times New Roman" w:eastAsiaTheme="minorEastAsia" w:hAnsi="Times New Roman"/>
          <w:sz w:val="18"/>
          <w:szCs w:val="18"/>
        </w:rPr>
        <w:t>) 463 or 506 antagonized with PD-1 to bind to the PD-L1 expressed on the CHO-K1 cell surface. The commercial anti-PD-L1 antibody ATE and the anti-PD-1 antibody Opdivo were set as positive controls. 463 and 506 blocked PD-1 binding to membrane PD-L1 in a dose-dependent manner, and showed similar or even better inhibitory activity in comparison with the positive control antibodies.</w:t>
      </w:r>
    </w:p>
    <w:p w14:paraId="2926AA3C" w14:textId="77777777" w:rsidR="005B0356" w:rsidRPr="005B0356" w:rsidRDefault="005B0356" w:rsidP="00EC65E4">
      <w:pPr>
        <w:adjustRightInd w:val="0"/>
        <w:snapToGrid w:val="0"/>
        <w:jc w:val="center"/>
        <w:rPr>
          <w:rFonts w:ascii="Times New Roman" w:hAnsi="Times New Roman"/>
          <w:bCs/>
          <w:sz w:val="18"/>
          <w:szCs w:val="18"/>
        </w:rPr>
      </w:pPr>
    </w:p>
    <w:p w14:paraId="3E5D0F8C" w14:textId="0C78D02E" w:rsidR="00746049" w:rsidRPr="00F61202" w:rsidRDefault="00EC65E4" w:rsidP="00F61202">
      <w:pPr>
        <w:wordWrap w:val="0"/>
        <w:jc w:val="center"/>
        <w:rPr>
          <w:rFonts w:ascii="Times New Roman" w:hAnsi="Times New Roman"/>
          <w:bCs/>
          <w:sz w:val="18"/>
          <w:szCs w:val="18"/>
        </w:rPr>
      </w:pPr>
      <w:r w:rsidRPr="00F61202">
        <w:rPr>
          <w:rFonts w:ascii="Times New Roman" w:hAnsi="Times New Roman"/>
          <w:bCs/>
          <w:sz w:val="18"/>
          <w:szCs w:val="18"/>
        </w:rPr>
        <w:object w:dxaOrig="11226" w:dyaOrig="10092" w14:anchorId="5927336D">
          <v:shape id="_x0000_i1026" type="#_x0000_t75" style="width:201.4pt;height:181.15pt" o:ole="">
            <v:imagedata r:id="rId19" o:title=""/>
          </v:shape>
          <o:OLEObject Type="Embed" ProgID="Prism5.Document" ShapeID="_x0000_i1026" DrawAspect="Content" ObjectID="_1686999828" r:id="rId20"/>
        </w:object>
      </w:r>
    </w:p>
    <w:p w14:paraId="22C6238D" w14:textId="23196DF8" w:rsidR="00746049" w:rsidRDefault="00746049" w:rsidP="00EC65E4">
      <w:pPr>
        <w:adjustRightInd w:val="0"/>
        <w:snapToGrid w:val="0"/>
        <w:rPr>
          <w:rFonts w:ascii="Times New Roman" w:hAnsi="Times New Roman"/>
          <w:bCs/>
          <w:sz w:val="18"/>
          <w:szCs w:val="18"/>
        </w:rPr>
      </w:pPr>
      <w:r w:rsidRPr="00EC65E4">
        <w:rPr>
          <w:rFonts w:ascii="Times New Roman" w:hAnsi="Times New Roman"/>
          <w:b/>
          <w:sz w:val="18"/>
          <w:szCs w:val="18"/>
        </w:rPr>
        <w:t>Fig</w:t>
      </w:r>
      <w:r w:rsidR="00EC65E4" w:rsidRPr="00EC65E4">
        <w:rPr>
          <w:rFonts w:ascii="Times New Roman" w:hAnsi="Times New Roman"/>
          <w:b/>
          <w:sz w:val="18"/>
          <w:szCs w:val="18"/>
        </w:rPr>
        <w:t>.</w:t>
      </w:r>
      <w:r w:rsidRPr="00EC65E4">
        <w:rPr>
          <w:rFonts w:ascii="Times New Roman" w:hAnsi="Times New Roman"/>
          <w:b/>
          <w:sz w:val="18"/>
          <w:szCs w:val="18"/>
        </w:rPr>
        <w:t xml:space="preserve"> S</w:t>
      </w:r>
      <w:r w:rsidR="005B0356">
        <w:rPr>
          <w:rFonts w:ascii="Times New Roman" w:hAnsi="Times New Roman"/>
          <w:b/>
          <w:sz w:val="18"/>
          <w:szCs w:val="18"/>
        </w:rPr>
        <w:t>7</w:t>
      </w:r>
      <w:r w:rsidR="00EC65E4" w:rsidRPr="00EC65E4">
        <w:rPr>
          <w:rFonts w:ascii="Times New Roman" w:hAnsi="Times New Roman"/>
          <w:b/>
          <w:sz w:val="18"/>
          <w:szCs w:val="18"/>
        </w:rPr>
        <w:t>.</w:t>
      </w:r>
      <w:r w:rsidRPr="00F61202">
        <w:rPr>
          <w:rFonts w:ascii="Times New Roman" w:hAnsi="Times New Roman"/>
          <w:bCs/>
          <w:sz w:val="18"/>
          <w:szCs w:val="18"/>
        </w:rPr>
        <w:t xml:space="preserve"> The PD-1 mutant 463, Opdivo</w:t>
      </w:r>
      <w:r w:rsidR="00704116">
        <w:rPr>
          <w:rFonts w:ascii="Times New Roman" w:hAnsi="Times New Roman"/>
          <w:bCs/>
          <w:sz w:val="18"/>
          <w:szCs w:val="18"/>
        </w:rPr>
        <w:t>,</w:t>
      </w:r>
      <w:r w:rsidRPr="00F61202">
        <w:rPr>
          <w:rFonts w:ascii="Times New Roman" w:hAnsi="Times New Roman"/>
          <w:bCs/>
          <w:sz w:val="18"/>
          <w:szCs w:val="18"/>
        </w:rPr>
        <w:t xml:space="preserve"> or Atezolizumab inhibited PD-1 (</w:t>
      </w:r>
      <w:r w:rsidR="002B6C60">
        <w:rPr>
          <w:rFonts w:ascii="Times New Roman" w:hAnsi="Times New Roman" w:hint="eastAsia"/>
          <w:bCs/>
          <w:sz w:val="18"/>
          <w:szCs w:val="18"/>
        </w:rPr>
        <w:t>b</w:t>
      </w:r>
      <w:r w:rsidR="00EC65E4">
        <w:rPr>
          <w:rFonts w:ascii="Times New Roman" w:hAnsi="Times New Roman"/>
          <w:bCs/>
          <w:sz w:val="18"/>
          <w:szCs w:val="18"/>
        </w:rPr>
        <w:t>iotin</w:t>
      </w:r>
      <w:r w:rsidRPr="00F61202">
        <w:rPr>
          <w:rFonts w:ascii="Times New Roman" w:hAnsi="Times New Roman"/>
          <w:bCs/>
          <w:sz w:val="18"/>
          <w:szCs w:val="18"/>
        </w:rPr>
        <w:t xml:space="preserve"> conjugated, 1.25</w:t>
      </w:r>
      <w:r w:rsidR="00EC65E4">
        <w:rPr>
          <w:rFonts w:ascii="Times New Roman" w:hAnsi="Times New Roman"/>
          <w:bCs/>
          <w:sz w:val="18"/>
          <w:szCs w:val="18"/>
        </w:rPr>
        <w:t xml:space="preserve"> </w:t>
      </w:r>
      <w:r w:rsidR="002B6C60" w:rsidRPr="002B6C60">
        <w:rPr>
          <w:rFonts w:ascii="Times New Roman" w:eastAsiaTheme="minorEastAsia" w:hAnsi="Times New Roman"/>
          <w:sz w:val="18"/>
          <w:szCs w:val="18"/>
        </w:rPr>
        <w:t>μg·mL</w:t>
      </w:r>
      <w:r w:rsidR="002B6C60" w:rsidRPr="002B6C60">
        <w:rPr>
          <w:rFonts w:ascii="Times New Roman" w:eastAsiaTheme="minorEastAsia" w:hAnsi="Times New Roman"/>
          <w:sz w:val="18"/>
          <w:szCs w:val="18"/>
          <w:vertAlign w:val="superscript"/>
        </w:rPr>
        <w:t>–1</w:t>
      </w:r>
      <w:r w:rsidRPr="00F61202">
        <w:rPr>
          <w:rFonts w:ascii="Times New Roman" w:hAnsi="Times New Roman"/>
          <w:bCs/>
          <w:sz w:val="18"/>
          <w:szCs w:val="18"/>
        </w:rPr>
        <w:t>) binding to PD-L1 on a dose-dependent manner.</w:t>
      </w:r>
    </w:p>
    <w:p w14:paraId="09794106" w14:textId="77777777" w:rsidR="00EC65E4" w:rsidRPr="00F61202" w:rsidRDefault="00EC65E4" w:rsidP="00EC65E4">
      <w:pPr>
        <w:adjustRightInd w:val="0"/>
        <w:snapToGrid w:val="0"/>
        <w:rPr>
          <w:rFonts w:ascii="Times New Roman" w:hAnsi="Times New Roman"/>
          <w:bCs/>
          <w:sz w:val="18"/>
          <w:szCs w:val="18"/>
        </w:rPr>
      </w:pPr>
    </w:p>
    <w:p w14:paraId="264E99A3" w14:textId="7A340B7B" w:rsidR="00746049" w:rsidRPr="00F61202" w:rsidRDefault="00EC65E4" w:rsidP="00F61202">
      <w:pPr>
        <w:jc w:val="center"/>
        <w:rPr>
          <w:rFonts w:ascii="Times New Roman" w:hAnsi="Times New Roman"/>
          <w:bCs/>
          <w:sz w:val="18"/>
          <w:szCs w:val="18"/>
        </w:rPr>
      </w:pPr>
      <w:r w:rsidRPr="00F61202">
        <w:rPr>
          <w:rFonts w:ascii="Times New Roman" w:hAnsi="Times New Roman"/>
          <w:bCs/>
          <w:sz w:val="18"/>
          <w:szCs w:val="18"/>
        </w:rPr>
        <w:object w:dxaOrig="11226" w:dyaOrig="10659" w14:anchorId="4FECC640">
          <v:shape id="_x0000_i1027" type="#_x0000_t75" style="width:201.4pt;height:191.25pt" o:ole="">
            <v:imagedata r:id="rId21" o:title=""/>
          </v:shape>
          <o:OLEObject Type="Embed" ProgID="Prism5.Document" ShapeID="_x0000_i1027" DrawAspect="Content" ObjectID="_1686999829" r:id="rId22"/>
        </w:object>
      </w:r>
    </w:p>
    <w:p w14:paraId="60D513CF" w14:textId="0CEA74C8" w:rsidR="00746049" w:rsidRPr="00F61202" w:rsidRDefault="00746049" w:rsidP="00EC65E4">
      <w:pPr>
        <w:adjustRightInd w:val="0"/>
        <w:snapToGrid w:val="0"/>
        <w:rPr>
          <w:rFonts w:ascii="Times New Roman" w:hAnsi="Times New Roman"/>
          <w:bCs/>
          <w:sz w:val="18"/>
          <w:szCs w:val="18"/>
        </w:rPr>
      </w:pPr>
      <w:r w:rsidRPr="00EC65E4">
        <w:rPr>
          <w:rFonts w:ascii="Times New Roman" w:hAnsi="Times New Roman"/>
          <w:b/>
          <w:sz w:val="18"/>
          <w:szCs w:val="18"/>
        </w:rPr>
        <w:t>Fig</w:t>
      </w:r>
      <w:r w:rsidR="00EC65E4" w:rsidRPr="00EC65E4">
        <w:rPr>
          <w:rFonts w:ascii="Times New Roman" w:hAnsi="Times New Roman"/>
          <w:b/>
          <w:sz w:val="18"/>
          <w:szCs w:val="18"/>
        </w:rPr>
        <w:t>.</w:t>
      </w:r>
      <w:r w:rsidRPr="00EC65E4">
        <w:rPr>
          <w:rFonts w:ascii="Times New Roman" w:hAnsi="Times New Roman"/>
          <w:b/>
          <w:sz w:val="18"/>
          <w:szCs w:val="18"/>
        </w:rPr>
        <w:t>S</w:t>
      </w:r>
      <w:r w:rsidR="005B0356">
        <w:rPr>
          <w:rFonts w:ascii="Times New Roman" w:hAnsi="Times New Roman"/>
          <w:b/>
          <w:sz w:val="18"/>
          <w:szCs w:val="18"/>
        </w:rPr>
        <w:t>8</w:t>
      </w:r>
      <w:r w:rsidR="00EC65E4" w:rsidRPr="00EC65E4">
        <w:rPr>
          <w:rFonts w:ascii="Times New Roman" w:hAnsi="Times New Roman"/>
          <w:b/>
          <w:sz w:val="18"/>
          <w:szCs w:val="18"/>
        </w:rPr>
        <w:t>.</w:t>
      </w:r>
      <w:r w:rsidRPr="00EC65E4">
        <w:rPr>
          <w:rFonts w:ascii="Times New Roman" w:hAnsi="Times New Roman"/>
          <w:b/>
          <w:sz w:val="18"/>
          <w:szCs w:val="18"/>
        </w:rPr>
        <w:t xml:space="preserve"> </w:t>
      </w:r>
      <w:r w:rsidRPr="00F61202">
        <w:rPr>
          <w:rFonts w:ascii="Times New Roman" w:hAnsi="Times New Roman"/>
          <w:bCs/>
          <w:sz w:val="18"/>
          <w:szCs w:val="18"/>
        </w:rPr>
        <w:t>The PD-1 mutant 463 inhibited PD-1 (</w:t>
      </w:r>
      <w:r w:rsidR="002B6C60">
        <w:rPr>
          <w:rFonts w:ascii="Times New Roman" w:hAnsi="Times New Roman"/>
          <w:bCs/>
          <w:sz w:val="18"/>
          <w:szCs w:val="18"/>
        </w:rPr>
        <w:t>b</w:t>
      </w:r>
      <w:r w:rsidR="00EC65E4">
        <w:rPr>
          <w:rFonts w:ascii="Times New Roman" w:hAnsi="Times New Roman"/>
          <w:bCs/>
          <w:sz w:val="18"/>
          <w:szCs w:val="18"/>
        </w:rPr>
        <w:t>iotin</w:t>
      </w:r>
      <w:r w:rsidRPr="00F61202">
        <w:rPr>
          <w:rFonts w:ascii="Times New Roman" w:hAnsi="Times New Roman"/>
          <w:bCs/>
          <w:sz w:val="18"/>
          <w:szCs w:val="18"/>
        </w:rPr>
        <w:t xml:space="preserve"> conjugated, 1.25</w:t>
      </w:r>
      <w:r w:rsidR="00EC65E4" w:rsidRPr="002B6C60">
        <w:rPr>
          <w:rFonts w:ascii="Times New Roman" w:hAnsi="Times New Roman"/>
          <w:bCs/>
          <w:sz w:val="18"/>
          <w:szCs w:val="18"/>
        </w:rPr>
        <w:t xml:space="preserve"> </w:t>
      </w:r>
      <w:r w:rsidR="002B6C60" w:rsidRPr="002B6C60">
        <w:rPr>
          <w:rFonts w:ascii="Times New Roman" w:eastAsiaTheme="minorEastAsia" w:hAnsi="Times New Roman"/>
          <w:sz w:val="18"/>
          <w:szCs w:val="18"/>
        </w:rPr>
        <w:t>μg·mL</w:t>
      </w:r>
      <w:r w:rsidR="002B6C60" w:rsidRPr="002B6C60">
        <w:rPr>
          <w:rFonts w:ascii="Times New Roman" w:eastAsiaTheme="minorEastAsia" w:hAnsi="Times New Roman"/>
          <w:sz w:val="18"/>
          <w:szCs w:val="18"/>
          <w:vertAlign w:val="superscript"/>
        </w:rPr>
        <w:t>–1</w:t>
      </w:r>
      <w:r w:rsidRPr="00F61202">
        <w:rPr>
          <w:rFonts w:ascii="Times New Roman" w:hAnsi="Times New Roman"/>
          <w:bCs/>
          <w:sz w:val="18"/>
          <w:szCs w:val="18"/>
        </w:rPr>
        <w:t>) binding to PD-L2 on a dose-dependent manner.</w:t>
      </w:r>
    </w:p>
    <w:p w14:paraId="6965DB77" w14:textId="09555770" w:rsidR="00746049" w:rsidRPr="00F61202" w:rsidRDefault="00EC65E4" w:rsidP="00F61202">
      <w:pPr>
        <w:ind w:right="420"/>
        <w:jc w:val="center"/>
        <w:rPr>
          <w:rFonts w:ascii="Times New Roman" w:hAnsi="Times New Roman"/>
          <w:bCs/>
          <w:sz w:val="18"/>
          <w:szCs w:val="18"/>
        </w:rPr>
      </w:pPr>
      <w:r w:rsidRPr="00F61202">
        <w:rPr>
          <w:rFonts w:ascii="Times New Roman" w:hAnsi="Times New Roman"/>
          <w:bCs/>
          <w:sz w:val="18"/>
          <w:szCs w:val="18"/>
        </w:rPr>
        <w:object w:dxaOrig="11226" w:dyaOrig="10659" w14:anchorId="497E5413">
          <v:shape id="_x0000_i1028" type="#_x0000_t75" style="width:189pt;height:180pt" o:ole="">
            <v:imagedata r:id="rId23" o:title=""/>
          </v:shape>
          <o:OLEObject Type="Embed" ProgID="Prism5.Document" ShapeID="_x0000_i1028" DrawAspect="Content" ObjectID="_1686999830" r:id="rId24"/>
        </w:object>
      </w:r>
    </w:p>
    <w:p w14:paraId="0D5F4DBA" w14:textId="15974841" w:rsidR="00F14AA5" w:rsidRPr="00EC65E4" w:rsidRDefault="00746049" w:rsidP="00EC65E4">
      <w:pPr>
        <w:adjustRightInd w:val="0"/>
        <w:snapToGrid w:val="0"/>
        <w:rPr>
          <w:rFonts w:ascii="Times New Roman" w:hAnsi="Times New Roman"/>
          <w:bCs/>
          <w:sz w:val="18"/>
          <w:szCs w:val="18"/>
        </w:rPr>
      </w:pPr>
      <w:r w:rsidRPr="00EC65E4">
        <w:rPr>
          <w:rFonts w:ascii="Times New Roman" w:hAnsi="Times New Roman"/>
          <w:b/>
          <w:sz w:val="18"/>
          <w:szCs w:val="18"/>
        </w:rPr>
        <w:t>Fig</w:t>
      </w:r>
      <w:r w:rsidR="00EC65E4" w:rsidRPr="00EC65E4">
        <w:rPr>
          <w:rFonts w:ascii="Times New Roman" w:hAnsi="Times New Roman"/>
          <w:b/>
          <w:sz w:val="18"/>
          <w:szCs w:val="18"/>
        </w:rPr>
        <w:t>.</w:t>
      </w:r>
      <w:r w:rsidRPr="00EC65E4">
        <w:rPr>
          <w:rFonts w:ascii="Times New Roman" w:hAnsi="Times New Roman"/>
          <w:b/>
          <w:sz w:val="18"/>
          <w:szCs w:val="18"/>
        </w:rPr>
        <w:t xml:space="preserve"> S</w:t>
      </w:r>
      <w:r w:rsidR="005B0356">
        <w:rPr>
          <w:rFonts w:ascii="Times New Roman" w:hAnsi="Times New Roman"/>
          <w:b/>
          <w:sz w:val="18"/>
          <w:szCs w:val="18"/>
        </w:rPr>
        <w:t>9</w:t>
      </w:r>
      <w:r w:rsidR="00EC65E4" w:rsidRPr="00EC65E4">
        <w:rPr>
          <w:rFonts w:ascii="Times New Roman" w:hAnsi="Times New Roman"/>
          <w:b/>
          <w:sz w:val="18"/>
          <w:szCs w:val="18"/>
        </w:rPr>
        <w:t>.</w:t>
      </w:r>
      <w:r w:rsidRPr="00EC65E4">
        <w:rPr>
          <w:rFonts w:ascii="Times New Roman" w:hAnsi="Times New Roman"/>
          <w:b/>
          <w:sz w:val="18"/>
          <w:szCs w:val="18"/>
        </w:rPr>
        <w:t xml:space="preserve"> </w:t>
      </w:r>
      <w:r w:rsidRPr="00EC65E4">
        <w:rPr>
          <w:rFonts w:ascii="Times New Roman" w:hAnsi="Times New Roman"/>
          <w:bCs/>
          <w:sz w:val="18"/>
          <w:szCs w:val="18"/>
        </w:rPr>
        <w:t>The PD-1 mutant 463 inhibited PD-L1 (</w:t>
      </w:r>
      <w:r w:rsidR="002B6C60">
        <w:rPr>
          <w:rFonts w:ascii="Times New Roman" w:hAnsi="Times New Roman"/>
          <w:bCs/>
          <w:sz w:val="18"/>
          <w:szCs w:val="18"/>
        </w:rPr>
        <w:t>b</w:t>
      </w:r>
      <w:r w:rsidR="00EC65E4">
        <w:rPr>
          <w:rFonts w:ascii="Times New Roman" w:hAnsi="Times New Roman"/>
          <w:bCs/>
          <w:sz w:val="18"/>
          <w:szCs w:val="18"/>
        </w:rPr>
        <w:t>iotin</w:t>
      </w:r>
      <w:r w:rsidRPr="00EC65E4">
        <w:rPr>
          <w:rFonts w:ascii="Times New Roman" w:hAnsi="Times New Roman"/>
          <w:bCs/>
          <w:sz w:val="18"/>
          <w:szCs w:val="18"/>
        </w:rPr>
        <w:t xml:space="preserve"> conjugated, 5</w:t>
      </w:r>
      <w:r w:rsidR="00EC65E4" w:rsidRPr="002B6C60">
        <w:rPr>
          <w:rFonts w:ascii="Times New Roman" w:hAnsi="Times New Roman"/>
          <w:bCs/>
          <w:sz w:val="18"/>
          <w:szCs w:val="18"/>
        </w:rPr>
        <w:t xml:space="preserve"> </w:t>
      </w:r>
      <w:r w:rsidR="002B6C60" w:rsidRPr="002B6C60">
        <w:rPr>
          <w:rFonts w:ascii="Times New Roman" w:eastAsiaTheme="minorEastAsia" w:hAnsi="Times New Roman"/>
          <w:sz w:val="18"/>
          <w:szCs w:val="18"/>
        </w:rPr>
        <w:t>μg·mL</w:t>
      </w:r>
      <w:r w:rsidR="002B6C60" w:rsidRPr="002B6C60">
        <w:rPr>
          <w:rFonts w:ascii="Times New Roman" w:eastAsiaTheme="minorEastAsia" w:hAnsi="Times New Roman"/>
          <w:sz w:val="18"/>
          <w:szCs w:val="18"/>
          <w:vertAlign w:val="superscript"/>
        </w:rPr>
        <w:t>–1</w:t>
      </w:r>
      <w:r w:rsidRPr="00EC65E4">
        <w:rPr>
          <w:rFonts w:ascii="Times New Roman" w:hAnsi="Times New Roman"/>
          <w:bCs/>
          <w:sz w:val="18"/>
          <w:szCs w:val="18"/>
        </w:rPr>
        <w:t>) binding to CD80 on a dose-dependent manner.</w:t>
      </w:r>
    </w:p>
    <w:sectPr w:rsidR="00F14AA5" w:rsidRPr="00EC65E4" w:rsidSect="003928F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19E08" w14:textId="77777777" w:rsidR="00A04724" w:rsidRDefault="00A04724" w:rsidP="00F61202">
      <w:r>
        <w:separator/>
      </w:r>
    </w:p>
  </w:endnote>
  <w:endnote w:type="continuationSeparator" w:id="0">
    <w:p w14:paraId="2561F4DF" w14:textId="77777777" w:rsidR="00A04724" w:rsidRDefault="00A04724" w:rsidP="00F61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F9C0D" w14:textId="77777777" w:rsidR="00A04724" w:rsidRDefault="00A04724" w:rsidP="00F61202">
      <w:r>
        <w:separator/>
      </w:r>
    </w:p>
  </w:footnote>
  <w:footnote w:type="continuationSeparator" w:id="0">
    <w:p w14:paraId="71E6B01B" w14:textId="77777777" w:rsidR="00A04724" w:rsidRDefault="00A04724" w:rsidP="00F61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049"/>
    <w:rsid w:val="002B6C60"/>
    <w:rsid w:val="00357E43"/>
    <w:rsid w:val="005B0356"/>
    <w:rsid w:val="006272DB"/>
    <w:rsid w:val="00704116"/>
    <w:rsid w:val="00746049"/>
    <w:rsid w:val="007E4988"/>
    <w:rsid w:val="0092109E"/>
    <w:rsid w:val="00A04724"/>
    <w:rsid w:val="00A41ED2"/>
    <w:rsid w:val="00EC65E4"/>
    <w:rsid w:val="00F14AA5"/>
    <w:rsid w:val="00F61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7FB95"/>
  <w15:chartTrackingRefBased/>
  <w15:docId w15:val="{CAE12315-B48A-4156-9341-20B59615A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049"/>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120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1202"/>
    <w:rPr>
      <w:rFonts w:ascii="Calibri" w:eastAsia="宋体" w:hAnsi="Calibri" w:cs="Times New Roman"/>
      <w:sz w:val="18"/>
      <w:szCs w:val="18"/>
    </w:rPr>
  </w:style>
  <w:style w:type="paragraph" w:styleId="a5">
    <w:name w:val="footer"/>
    <w:basedOn w:val="a"/>
    <w:link w:val="a6"/>
    <w:uiPriority w:val="99"/>
    <w:unhideWhenUsed/>
    <w:rsid w:val="00F61202"/>
    <w:pPr>
      <w:tabs>
        <w:tab w:val="center" w:pos="4153"/>
        <w:tab w:val="right" w:pos="8306"/>
      </w:tabs>
      <w:snapToGrid w:val="0"/>
      <w:jc w:val="left"/>
    </w:pPr>
    <w:rPr>
      <w:sz w:val="18"/>
      <w:szCs w:val="18"/>
    </w:rPr>
  </w:style>
  <w:style w:type="character" w:customStyle="1" w:styleId="a6">
    <w:name w:val="页脚 字符"/>
    <w:basedOn w:val="a0"/>
    <w:link w:val="a5"/>
    <w:uiPriority w:val="99"/>
    <w:rsid w:val="00F61202"/>
    <w:rPr>
      <w:rFonts w:ascii="Calibri" w:eastAsia="宋体" w:hAnsi="Calibri" w:cs="Times New Roman"/>
      <w:sz w:val="18"/>
      <w:szCs w:val="18"/>
    </w:rPr>
  </w:style>
  <w:style w:type="paragraph" w:styleId="HTML">
    <w:name w:val="HTML Preformatted"/>
    <w:basedOn w:val="a"/>
    <w:link w:val="HTML0"/>
    <w:uiPriority w:val="99"/>
    <w:unhideWhenUsed/>
    <w:rsid w:val="009210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lang w:eastAsia="en-US"/>
    </w:rPr>
  </w:style>
  <w:style w:type="character" w:customStyle="1" w:styleId="HTML0">
    <w:name w:val="HTML 预设格式 字符"/>
    <w:basedOn w:val="a0"/>
    <w:link w:val="HTML"/>
    <w:uiPriority w:val="99"/>
    <w:rsid w:val="0092109E"/>
    <w:rPr>
      <w:rFonts w:ascii="宋体" w:eastAsia="宋体" w:hAnsi="宋体" w:cs="Times New Roman"/>
      <w:kern w:val="0"/>
      <w:sz w:val="24"/>
      <w:szCs w:val="24"/>
      <w:lang w:eastAsia="en-US"/>
    </w:rPr>
  </w:style>
  <w:style w:type="paragraph" w:customStyle="1" w:styleId="haffiliations">
    <w:name w:val="haffiliations"/>
    <w:basedOn w:val="a"/>
    <w:rsid w:val="0092109E"/>
    <w:pPr>
      <w:widowControl/>
      <w:spacing w:before="120"/>
      <w:jc w:val="left"/>
    </w:pPr>
    <w:rPr>
      <w:rFonts w:ascii="Times New Roman" w:hAnsi="Times New Roman"/>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e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1.emf"/><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9.wmf"/><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oleObject" Target="embeddings/oleObject7.bin"/><Relationship Id="rId5" Type="http://schemas.openxmlformats.org/officeDocument/2006/relationships/endnotes" Target="endnotes.xml"/><Relationship Id="rId15" Type="http://schemas.openxmlformats.org/officeDocument/2006/relationships/image" Target="media/image8.emf"/><Relationship Id="rId23" Type="http://schemas.openxmlformats.org/officeDocument/2006/relationships/image" Target="media/image12.emf"/><Relationship Id="rId10" Type="http://schemas.openxmlformats.org/officeDocument/2006/relationships/oleObject" Target="embeddings/oleObject1.bin"/><Relationship Id="rId19" Type="http://schemas.openxmlformats.org/officeDocument/2006/relationships/image" Target="media/image10.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447</Words>
  <Characters>2552</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6</cp:revision>
  <dcterms:created xsi:type="dcterms:W3CDTF">2021-07-01T09:34:00Z</dcterms:created>
  <dcterms:modified xsi:type="dcterms:W3CDTF">2021-07-05T06:17:00Z</dcterms:modified>
</cp:coreProperties>
</file>