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96DF9B" w14:textId="77777777" w:rsidR="0021404A" w:rsidRPr="005B7419" w:rsidRDefault="00C2395A">
      <w:pPr>
        <w:adjustRightInd w:val="0"/>
        <w:snapToGrid w:val="0"/>
        <w:spacing w:after="0" w:line="240" w:lineRule="auto"/>
        <w:rPr>
          <w:rFonts w:ascii="Times New Roman" w:eastAsia="宋体" w:hAnsi="Times New Roman" w:cs="Times New Roman"/>
          <w:bCs/>
          <w:sz w:val="24"/>
          <w:szCs w:val="24"/>
        </w:rPr>
      </w:pPr>
      <w:r w:rsidRPr="005B7419">
        <w:rPr>
          <w:rFonts w:ascii="Times New Roman" w:eastAsia="宋体" w:hAnsi="Times New Roman" w:cs="Times New Roman" w:hint="eastAsia"/>
          <w:bCs/>
          <w:sz w:val="24"/>
          <w:szCs w:val="24"/>
        </w:rPr>
        <w:t>S</w:t>
      </w:r>
      <w:r w:rsidRPr="005B7419">
        <w:rPr>
          <w:rFonts w:ascii="Times New Roman" w:eastAsia="宋体" w:hAnsi="Times New Roman" w:cs="Times New Roman"/>
          <w:bCs/>
          <w:sz w:val="24"/>
          <w:szCs w:val="24"/>
        </w:rPr>
        <w:t>upplementary data for</w:t>
      </w:r>
    </w:p>
    <w:p w14:paraId="55234634" w14:textId="77777777" w:rsidR="004B4996" w:rsidRPr="004B4996" w:rsidRDefault="004B4996" w:rsidP="004B4996">
      <w:pPr>
        <w:overflowPunct w:val="0"/>
        <w:adjustRightInd w:val="0"/>
        <w:snapToGrid w:val="0"/>
        <w:spacing w:before="120" w:afterLines="50" w:after="120"/>
        <w:rPr>
          <w:rFonts w:ascii="Times New Roman" w:eastAsia="黑体" w:hAnsi="Times New Roman" w:cs="Times New Roman"/>
          <w:b/>
          <w:bCs/>
          <w:sz w:val="32"/>
          <w:szCs w:val="32"/>
        </w:rPr>
      </w:pPr>
      <w:bookmarkStart w:id="0" w:name="OLE_LINK17"/>
      <w:bookmarkStart w:id="1" w:name="OLE_LINK18"/>
      <w:r w:rsidRPr="004B4996">
        <w:rPr>
          <w:rFonts w:ascii="Times New Roman" w:eastAsia="黑体" w:hAnsi="Times New Roman" w:cs="Times New Roman"/>
          <w:b/>
          <w:bCs/>
          <w:sz w:val="32"/>
          <w:szCs w:val="32"/>
        </w:rPr>
        <w:t>A Miniature Meta-Optical System for Reconfigurable Wide-Angle Imaging and Polarization-Spectral De</w:t>
      </w:r>
      <w:bookmarkStart w:id="2" w:name="_GoBack"/>
      <w:bookmarkEnd w:id="2"/>
      <w:r w:rsidRPr="004B4996">
        <w:rPr>
          <w:rFonts w:ascii="Times New Roman" w:eastAsia="黑体" w:hAnsi="Times New Roman" w:cs="Times New Roman"/>
          <w:b/>
          <w:bCs/>
          <w:sz w:val="32"/>
          <w:szCs w:val="32"/>
        </w:rPr>
        <w:t>tection</w:t>
      </w:r>
    </w:p>
    <w:bookmarkEnd w:id="0"/>
    <w:bookmarkEnd w:id="1"/>
    <w:p w14:paraId="4549150D" w14:textId="77777777" w:rsidR="004B4996" w:rsidRPr="004B4996" w:rsidRDefault="004B4996" w:rsidP="004B4996">
      <w:pPr>
        <w:pStyle w:val="02Author"/>
        <w:adjustRightInd w:val="0"/>
        <w:snapToGrid w:val="0"/>
        <w:spacing w:before="0" w:after="0" w:line="240" w:lineRule="exact"/>
        <w:jc w:val="both"/>
        <w:rPr>
          <w:rFonts w:ascii="Times New Roman" w:hAnsi="Times New Roman" w:cs="Times New Roman"/>
          <w:b w:val="0"/>
          <w:bCs/>
          <w:smallCaps w:val="0"/>
          <w:color w:val="auto"/>
          <w:sz w:val="21"/>
          <w:szCs w:val="21"/>
          <w:lang w:eastAsia="zh-CN"/>
        </w:rPr>
      </w:pPr>
      <w:proofErr w:type="spellStart"/>
      <w:r w:rsidRPr="004B4996">
        <w:rPr>
          <w:rFonts w:ascii="Times New Roman" w:hAnsi="Times New Roman" w:cs="Times New Roman"/>
          <w:b w:val="0"/>
          <w:bCs/>
          <w:smallCaps w:val="0"/>
          <w:color w:val="auto"/>
          <w:sz w:val="21"/>
          <w:szCs w:val="21"/>
          <w:lang w:eastAsia="zh-CN"/>
        </w:rPr>
        <w:t>Fei</w:t>
      </w:r>
      <w:proofErr w:type="spellEnd"/>
      <w:r w:rsidRPr="004B4996">
        <w:rPr>
          <w:rFonts w:ascii="Times New Roman" w:hAnsi="Times New Roman" w:cs="Times New Roman"/>
          <w:b w:val="0"/>
          <w:bCs/>
          <w:smallCaps w:val="0"/>
          <w:color w:val="auto"/>
          <w:sz w:val="21"/>
          <w:szCs w:val="21"/>
          <w:lang w:eastAsia="zh-CN"/>
        </w:rPr>
        <w:t xml:space="preserve"> Zhang</w:t>
      </w:r>
      <w:r w:rsidRPr="004B4996">
        <w:rPr>
          <w:rFonts w:ascii="Times New Roman" w:hAnsi="Times New Roman" w:cs="Times New Roman"/>
          <w:b w:val="0"/>
          <w:bCs/>
          <w:smallCaps w:val="0"/>
          <w:color w:val="auto"/>
          <w:sz w:val="21"/>
          <w:szCs w:val="21"/>
          <w:vertAlign w:val="superscript"/>
          <w:lang w:eastAsia="zh-CN"/>
        </w:rPr>
        <w:t xml:space="preserve"> </w:t>
      </w:r>
      <w:proofErr w:type="spellStart"/>
      <w:r w:rsidRPr="004B4996">
        <w:rPr>
          <w:rFonts w:ascii="Times New Roman" w:hAnsi="Times New Roman" w:cs="Times New Roman"/>
          <w:b w:val="0"/>
          <w:smallCaps w:val="0"/>
          <w:color w:val="auto"/>
          <w:sz w:val="21"/>
          <w:szCs w:val="21"/>
          <w:vertAlign w:val="superscript"/>
          <w:lang w:eastAsia="zh-CN"/>
        </w:rPr>
        <w:t>a,b,d</w:t>
      </w:r>
      <w:proofErr w:type="spellEnd"/>
      <w:r w:rsidRPr="004B4996">
        <w:rPr>
          <w:rFonts w:ascii="Times New Roman" w:hAnsi="Times New Roman" w:cs="Times New Roman"/>
          <w:b w:val="0"/>
          <w:smallCaps w:val="0"/>
          <w:color w:val="auto"/>
          <w:sz w:val="21"/>
          <w:szCs w:val="21"/>
          <w:vertAlign w:val="superscript"/>
          <w:lang w:eastAsia="zh-CN"/>
        </w:rPr>
        <w:t>,†</w:t>
      </w:r>
      <w:r w:rsidRPr="004B4996">
        <w:rPr>
          <w:rFonts w:ascii="Times New Roman" w:hAnsi="Times New Roman" w:cs="Times New Roman"/>
          <w:b w:val="0"/>
          <w:bCs/>
          <w:smallCaps w:val="0"/>
          <w:color w:val="auto"/>
          <w:sz w:val="21"/>
          <w:szCs w:val="21"/>
          <w:lang w:eastAsia="zh-CN"/>
        </w:rPr>
        <w:t xml:space="preserve">, </w:t>
      </w:r>
      <w:proofErr w:type="spellStart"/>
      <w:r w:rsidRPr="004B4996">
        <w:rPr>
          <w:rFonts w:ascii="Times New Roman" w:hAnsi="Times New Roman" w:cs="Times New Roman"/>
          <w:b w:val="0"/>
          <w:bCs/>
          <w:smallCaps w:val="0"/>
          <w:color w:val="auto"/>
          <w:sz w:val="21"/>
          <w:szCs w:val="21"/>
          <w:lang w:eastAsia="zh-CN"/>
        </w:rPr>
        <w:t>Minghao</w:t>
      </w:r>
      <w:proofErr w:type="spellEnd"/>
      <w:r w:rsidRPr="004B4996">
        <w:rPr>
          <w:rFonts w:ascii="Times New Roman" w:hAnsi="Times New Roman" w:cs="Times New Roman"/>
          <w:b w:val="0"/>
          <w:bCs/>
          <w:smallCaps w:val="0"/>
          <w:color w:val="auto"/>
          <w:sz w:val="21"/>
          <w:szCs w:val="21"/>
          <w:lang w:eastAsia="zh-CN"/>
        </w:rPr>
        <w:t xml:space="preserve"> Liao</w:t>
      </w:r>
      <w:r w:rsidRPr="004B4996">
        <w:rPr>
          <w:rFonts w:ascii="Times New Roman" w:hAnsi="Times New Roman" w:cs="Times New Roman"/>
          <w:b w:val="0"/>
          <w:bCs/>
          <w:smallCaps w:val="0"/>
          <w:color w:val="auto"/>
          <w:sz w:val="21"/>
          <w:szCs w:val="21"/>
          <w:vertAlign w:val="superscript"/>
          <w:lang w:eastAsia="zh-CN"/>
        </w:rPr>
        <w:t xml:space="preserve"> </w:t>
      </w:r>
      <w:proofErr w:type="spellStart"/>
      <w:r w:rsidRPr="004B4996">
        <w:rPr>
          <w:rFonts w:ascii="Times New Roman" w:hAnsi="Times New Roman" w:cs="Times New Roman"/>
          <w:b w:val="0"/>
          <w:smallCaps w:val="0"/>
          <w:color w:val="auto"/>
          <w:sz w:val="21"/>
          <w:szCs w:val="21"/>
          <w:vertAlign w:val="superscript"/>
          <w:lang w:eastAsia="zh-CN"/>
        </w:rPr>
        <w:t>a,b,c</w:t>
      </w:r>
      <w:proofErr w:type="spellEnd"/>
      <w:r w:rsidRPr="004B4996">
        <w:rPr>
          <w:rFonts w:ascii="Times New Roman" w:hAnsi="Times New Roman" w:cs="Times New Roman"/>
          <w:b w:val="0"/>
          <w:smallCaps w:val="0"/>
          <w:color w:val="auto"/>
          <w:sz w:val="21"/>
          <w:szCs w:val="21"/>
          <w:vertAlign w:val="superscript"/>
          <w:lang w:eastAsia="zh-CN"/>
        </w:rPr>
        <w:t>,†</w:t>
      </w:r>
      <w:r w:rsidRPr="004B4996">
        <w:rPr>
          <w:rFonts w:ascii="Times New Roman" w:hAnsi="Times New Roman" w:cs="Times New Roman"/>
          <w:b w:val="0"/>
          <w:bCs/>
          <w:smallCaps w:val="0"/>
          <w:color w:val="auto"/>
          <w:sz w:val="21"/>
          <w:szCs w:val="21"/>
          <w:lang w:eastAsia="zh-CN"/>
        </w:rPr>
        <w:t xml:space="preserve">, </w:t>
      </w:r>
      <w:proofErr w:type="spellStart"/>
      <w:r w:rsidRPr="004B4996">
        <w:rPr>
          <w:rFonts w:ascii="Times New Roman" w:hAnsi="Times New Roman" w:cs="Times New Roman"/>
          <w:b w:val="0"/>
          <w:bCs/>
          <w:smallCaps w:val="0"/>
          <w:color w:val="auto"/>
          <w:sz w:val="21"/>
          <w:szCs w:val="21"/>
          <w:lang w:eastAsia="zh-CN"/>
        </w:rPr>
        <w:t>Mingbo</w:t>
      </w:r>
      <w:proofErr w:type="spellEnd"/>
      <w:r w:rsidRPr="004B4996">
        <w:rPr>
          <w:rFonts w:ascii="Times New Roman" w:hAnsi="Times New Roman" w:cs="Times New Roman"/>
          <w:b w:val="0"/>
          <w:bCs/>
          <w:smallCaps w:val="0"/>
          <w:color w:val="auto"/>
          <w:sz w:val="21"/>
          <w:szCs w:val="21"/>
          <w:lang w:eastAsia="zh-CN"/>
        </w:rPr>
        <w:t xml:space="preserve"> Pu</w:t>
      </w:r>
      <w:r w:rsidRPr="004B4996">
        <w:rPr>
          <w:rFonts w:ascii="Times New Roman" w:hAnsi="Times New Roman" w:cs="Times New Roman"/>
          <w:b w:val="0"/>
          <w:bCs/>
          <w:smallCaps w:val="0"/>
          <w:color w:val="auto"/>
          <w:sz w:val="21"/>
          <w:szCs w:val="21"/>
          <w:vertAlign w:val="superscript"/>
          <w:lang w:eastAsia="zh-CN"/>
        </w:rPr>
        <w:t xml:space="preserve"> </w:t>
      </w:r>
      <w:proofErr w:type="spellStart"/>
      <w:r w:rsidRPr="004B4996">
        <w:rPr>
          <w:rFonts w:ascii="Times New Roman" w:hAnsi="Times New Roman" w:cs="Times New Roman"/>
          <w:b w:val="0"/>
          <w:smallCaps w:val="0"/>
          <w:color w:val="auto"/>
          <w:sz w:val="21"/>
          <w:szCs w:val="21"/>
          <w:vertAlign w:val="superscript"/>
          <w:lang w:eastAsia="zh-CN"/>
        </w:rPr>
        <w:t>a,b,c,d</w:t>
      </w:r>
      <w:proofErr w:type="spellEnd"/>
      <w:r w:rsidRPr="004B4996">
        <w:rPr>
          <w:rFonts w:ascii="Times New Roman" w:hAnsi="Times New Roman" w:cs="Times New Roman"/>
          <w:b w:val="0"/>
          <w:smallCaps w:val="0"/>
          <w:color w:val="auto"/>
          <w:sz w:val="21"/>
          <w:szCs w:val="21"/>
          <w:vertAlign w:val="superscript"/>
          <w:lang w:eastAsia="zh-CN"/>
        </w:rPr>
        <w:t>,</w:t>
      </w:r>
      <w:r w:rsidRPr="004B4996">
        <w:rPr>
          <w:rFonts w:ascii="Times New Roman" w:hAnsi="Times New Roman" w:cs="Times New Roman"/>
          <w:b w:val="0"/>
          <w:smallCaps w:val="0"/>
          <w:color w:val="auto"/>
          <w:sz w:val="21"/>
          <w:szCs w:val="21"/>
          <w:lang w:eastAsia="zh-CN"/>
        </w:rPr>
        <w:t>*</w:t>
      </w:r>
      <w:r w:rsidRPr="004B4996">
        <w:rPr>
          <w:rFonts w:ascii="Times New Roman" w:hAnsi="Times New Roman" w:cs="Times New Roman"/>
          <w:b w:val="0"/>
          <w:bCs/>
          <w:smallCaps w:val="0"/>
          <w:color w:val="auto"/>
          <w:sz w:val="21"/>
          <w:szCs w:val="21"/>
          <w:lang w:eastAsia="zh-CN"/>
        </w:rPr>
        <w:t xml:space="preserve">, </w:t>
      </w:r>
      <w:proofErr w:type="spellStart"/>
      <w:r w:rsidRPr="004B4996">
        <w:rPr>
          <w:rFonts w:ascii="Times New Roman" w:hAnsi="Times New Roman" w:cs="Times New Roman"/>
          <w:b w:val="0"/>
          <w:bCs/>
          <w:smallCaps w:val="0"/>
          <w:color w:val="auto"/>
          <w:sz w:val="21"/>
          <w:szCs w:val="21"/>
          <w:lang w:eastAsia="zh-CN"/>
        </w:rPr>
        <w:t>Yinghui</w:t>
      </w:r>
      <w:proofErr w:type="spellEnd"/>
      <w:r w:rsidRPr="004B4996">
        <w:rPr>
          <w:rFonts w:ascii="Times New Roman" w:hAnsi="Times New Roman" w:cs="Times New Roman"/>
          <w:b w:val="0"/>
          <w:bCs/>
          <w:smallCaps w:val="0"/>
          <w:color w:val="auto"/>
          <w:sz w:val="21"/>
          <w:szCs w:val="21"/>
          <w:lang w:eastAsia="zh-CN"/>
        </w:rPr>
        <w:t xml:space="preserve"> </w:t>
      </w:r>
      <w:proofErr w:type="spellStart"/>
      <w:r w:rsidRPr="004B4996">
        <w:rPr>
          <w:rFonts w:ascii="Times New Roman" w:hAnsi="Times New Roman" w:cs="Times New Roman"/>
          <w:b w:val="0"/>
          <w:bCs/>
          <w:smallCaps w:val="0"/>
          <w:color w:val="auto"/>
          <w:sz w:val="21"/>
          <w:szCs w:val="21"/>
          <w:lang w:eastAsia="zh-CN"/>
        </w:rPr>
        <w:t>Guo</w:t>
      </w:r>
      <w:proofErr w:type="spellEnd"/>
      <w:r w:rsidRPr="004B4996">
        <w:rPr>
          <w:rFonts w:ascii="Times New Roman" w:hAnsi="Times New Roman" w:cs="Times New Roman"/>
          <w:b w:val="0"/>
          <w:bCs/>
          <w:smallCaps w:val="0"/>
          <w:color w:val="auto"/>
          <w:sz w:val="21"/>
          <w:szCs w:val="21"/>
          <w:vertAlign w:val="superscript"/>
          <w:lang w:eastAsia="zh-CN"/>
        </w:rPr>
        <w:t xml:space="preserve"> </w:t>
      </w:r>
      <w:proofErr w:type="spellStart"/>
      <w:r w:rsidRPr="004B4996">
        <w:rPr>
          <w:rFonts w:ascii="Times New Roman" w:hAnsi="Times New Roman" w:cs="Times New Roman"/>
          <w:b w:val="0"/>
          <w:smallCaps w:val="0"/>
          <w:color w:val="auto"/>
          <w:sz w:val="21"/>
          <w:szCs w:val="21"/>
          <w:vertAlign w:val="superscript"/>
          <w:lang w:eastAsia="zh-CN"/>
        </w:rPr>
        <w:t>a,b,c,d</w:t>
      </w:r>
      <w:proofErr w:type="spellEnd"/>
      <w:r w:rsidRPr="004B4996">
        <w:rPr>
          <w:rFonts w:ascii="Times New Roman" w:hAnsi="Times New Roman" w:cs="Times New Roman"/>
          <w:b w:val="0"/>
          <w:bCs/>
          <w:smallCaps w:val="0"/>
          <w:color w:val="auto"/>
          <w:sz w:val="21"/>
          <w:szCs w:val="21"/>
          <w:lang w:eastAsia="zh-CN"/>
        </w:rPr>
        <w:t xml:space="preserve">, </w:t>
      </w:r>
      <w:proofErr w:type="spellStart"/>
      <w:r w:rsidRPr="004B4996">
        <w:rPr>
          <w:rFonts w:ascii="Times New Roman" w:hAnsi="Times New Roman" w:cs="Times New Roman"/>
          <w:b w:val="0"/>
          <w:bCs/>
          <w:smallCaps w:val="0"/>
          <w:color w:val="auto"/>
          <w:sz w:val="21"/>
          <w:szCs w:val="21"/>
          <w:lang w:eastAsia="zh-CN"/>
        </w:rPr>
        <w:t>Lianwei</w:t>
      </w:r>
      <w:proofErr w:type="spellEnd"/>
      <w:r w:rsidRPr="004B4996">
        <w:rPr>
          <w:rFonts w:ascii="Times New Roman" w:hAnsi="Times New Roman" w:cs="Times New Roman"/>
          <w:b w:val="0"/>
          <w:bCs/>
          <w:smallCaps w:val="0"/>
          <w:color w:val="auto"/>
          <w:sz w:val="21"/>
          <w:szCs w:val="21"/>
          <w:lang w:eastAsia="zh-CN"/>
        </w:rPr>
        <w:t xml:space="preserve"> Chen</w:t>
      </w:r>
      <w:r w:rsidRPr="004B4996">
        <w:rPr>
          <w:rFonts w:ascii="Times New Roman" w:hAnsi="Times New Roman" w:cs="Times New Roman"/>
          <w:b w:val="0"/>
          <w:bCs/>
          <w:smallCaps w:val="0"/>
          <w:color w:val="auto"/>
          <w:sz w:val="21"/>
          <w:szCs w:val="21"/>
          <w:vertAlign w:val="superscript"/>
          <w:lang w:eastAsia="zh-CN"/>
        </w:rPr>
        <w:t xml:space="preserve"> </w:t>
      </w:r>
      <w:proofErr w:type="spellStart"/>
      <w:r w:rsidRPr="004B4996">
        <w:rPr>
          <w:rFonts w:ascii="Times New Roman" w:hAnsi="Times New Roman" w:cs="Times New Roman"/>
          <w:b w:val="0"/>
          <w:bCs/>
          <w:smallCaps w:val="0"/>
          <w:color w:val="auto"/>
          <w:sz w:val="21"/>
          <w:szCs w:val="21"/>
          <w:vertAlign w:val="superscript"/>
          <w:lang w:eastAsia="zh-CN"/>
        </w:rPr>
        <w:t>a,b,c</w:t>
      </w:r>
      <w:proofErr w:type="spellEnd"/>
      <w:r w:rsidRPr="004B4996">
        <w:rPr>
          <w:rFonts w:ascii="Times New Roman" w:hAnsi="Times New Roman" w:cs="Times New Roman"/>
          <w:b w:val="0"/>
          <w:bCs/>
          <w:smallCaps w:val="0"/>
          <w:color w:val="auto"/>
          <w:sz w:val="21"/>
          <w:szCs w:val="21"/>
          <w:lang w:eastAsia="zh-CN"/>
        </w:rPr>
        <w:t xml:space="preserve">, </w:t>
      </w:r>
      <w:proofErr w:type="spellStart"/>
      <w:r w:rsidRPr="004B4996">
        <w:rPr>
          <w:rFonts w:ascii="Times New Roman" w:hAnsi="Times New Roman" w:cs="Times New Roman"/>
          <w:b w:val="0"/>
          <w:bCs/>
          <w:smallCaps w:val="0"/>
          <w:color w:val="auto"/>
          <w:sz w:val="21"/>
          <w:szCs w:val="21"/>
          <w:lang w:eastAsia="zh-CN"/>
        </w:rPr>
        <w:t>Xiong</w:t>
      </w:r>
      <w:proofErr w:type="spellEnd"/>
      <w:r w:rsidRPr="004B4996">
        <w:rPr>
          <w:rFonts w:ascii="Times New Roman" w:hAnsi="Times New Roman" w:cs="Times New Roman"/>
          <w:b w:val="0"/>
          <w:bCs/>
          <w:smallCaps w:val="0"/>
          <w:color w:val="auto"/>
          <w:sz w:val="21"/>
          <w:szCs w:val="21"/>
          <w:lang w:eastAsia="zh-CN"/>
        </w:rPr>
        <w:t xml:space="preserve"> Li</w:t>
      </w:r>
      <w:r w:rsidRPr="004B4996">
        <w:rPr>
          <w:rFonts w:ascii="Times New Roman" w:hAnsi="Times New Roman" w:cs="Times New Roman"/>
          <w:b w:val="0"/>
          <w:bCs/>
          <w:smallCaps w:val="0"/>
          <w:color w:val="auto"/>
          <w:sz w:val="21"/>
          <w:szCs w:val="21"/>
          <w:vertAlign w:val="superscript"/>
          <w:lang w:eastAsia="zh-CN"/>
        </w:rPr>
        <w:t xml:space="preserve"> </w:t>
      </w:r>
      <w:proofErr w:type="spellStart"/>
      <w:r w:rsidRPr="004B4996">
        <w:rPr>
          <w:rFonts w:ascii="Times New Roman" w:hAnsi="Times New Roman" w:cs="Times New Roman"/>
          <w:b w:val="0"/>
          <w:bCs/>
          <w:smallCaps w:val="0"/>
          <w:color w:val="auto"/>
          <w:sz w:val="21"/>
          <w:szCs w:val="21"/>
          <w:vertAlign w:val="superscript"/>
          <w:lang w:eastAsia="zh-CN"/>
        </w:rPr>
        <w:t>a,b,c</w:t>
      </w:r>
      <w:proofErr w:type="spellEnd"/>
      <w:r w:rsidRPr="004B4996">
        <w:rPr>
          <w:rFonts w:ascii="Times New Roman" w:hAnsi="Times New Roman" w:cs="Times New Roman"/>
          <w:b w:val="0"/>
          <w:bCs/>
          <w:smallCaps w:val="0"/>
          <w:color w:val="auto"/>
          <w:sz w:val="21"/>
          <w:szCs w:val="21"/>
          <w:lang w:eastAsia="zh-CN"/>
        </w:rPr>
        <w:t xml:space="preserve">, </w:t>
      </w:r>
      <w:proofErr w:type="spellStart"/>
      <w:r w:rsidRPr="004B4996">
        <w:rPr>
          <w:rFonts w:ascii="Times New Roman" w:hAnsi="Times New Roman" w:cs="Times New Roman"/>
          <w:b w:val="0"/>
          <w:bCs/>
          <w:smallCaps w:val="0"/>
          <w:color w:val="auto"/>
          <w:sz w:val="21"/>
          <w:szCs w:val="21"/>
          <w:lang w:eastAsia="zh-CN"/>
        </w:rPr>
        <w:t>Qiong</w:t>
      </w:r>
      <w:proofErr w:type="spellEnd"/>
      <w:r w:rsidRPr="004B4996">
        <w:rPr>
          <w:rFonts w:ascii="Times New Roman" w:hAnsi="Times New Roman" w:cs="Times New Roman"/>
          <w:b w:val="0"/>
          <w:bCs/>
          <w:smallCaps w:val="0"/>
          <w:color w:val="auto"/>
          <w:sz w:val="21"/>
          <w:szCs w:val="21"/>
          <w:lang w:eastAsia="zh-CN"/>
        </w:rPr>
        <w:t xml:space="preserve"> He</w:t>
      </w:r>
      <w:r w:rsidRPr="004B4996">
        <w:rPr>
          <w:rFonts w:ascii="Times New Roman" w:hAnsi="Times New Roman" w:cs="Times New Roman"/>
          <w:b w:val="0"/>
          <w:bCs/>
          <w:smallCaps w:val="0"/>
          <w:color w:val="auto"/>
          <w:sz w:val="21"/>
          <w:szCs w:val="21"/>
          <w:vertAlign w:val="superscript"/>
          <w:lang w:eastAsia="zh-CN"/>
        </w:rPr>
        <w:t xml:space="preserve"> </w:t>
      </w:r>
      <w:proofErr w:type="spellStart"/>
      <w:r w:rsidRPr="004B4996">
        <w:rPr>
          <w:rFonts w:ascii="Times New Roman" w:hAnsi="Times New Roman" w:cs="Times New Roman"/>
          <w:b w:val="0"/>
          <w:bCs/>
          <w:smallCaps w:val="0"/>
          <w:color w:val="auto"/>
          <w:sz w:val="21"/>
          <w:szCs w:val="21"/>
          <w:vertAlign w:val="superscript"/>
          <w:lang w:eastAsia="zh-CN"/>
        </w:rPr>
        <w:t>a,b</w:t>
      </w:r>
      <w:proofErr w:type="spellEnd"/>
      <w:r w:rsidRPr="004B4996">
        <w:rPr>
          <w:rFonts w:ascii="Times New Roman" w:hAnsi="Times New Roman" w:cs="Times New Roman"/>
          <w:b w:val="0"/>
          <w:bCs/>
          <w:smallCaps w:val="0"/>
          <w:color w:val="auto"/>
          <w:sz w:val="21"/>
          <w:szCs w:val="21"/>
          <w:lang w:eastAsia="zh-CN"/>
        </w:rPr>
        <w:t xml:space="preserve">, </w:t>
      </w:r>
      <w:proofErr w:type="spellStart"/>
      <w:r w:rsidRPr="004B4996">
        <w:rPr>
          <w:rFonts w:ascii="Times New Roman" w:hAnsi="Times New Roman" w:cs="Times New Roman"/>
          <w:b w:val="0"/>
          <w:bCs/>
          <w:smallCaps w:val="0"/>
          <w:color w:val="auto"/>
          <w:sz w:val="21"/>
          <w:szCs w:val="21"/>
          <w:lang w:eastAsia="zh-CN"/>
        </w:rPr>
        <w:t>Tongtong</w:t>
      </w:r>
      <w:proofErr w:type="spellEnd"/>
      <w:r w:rsidRPr="004B4996">
        <w:rPr>
          <w:rFonts w:ascii="Times New Roman" w:hAnsi="Times New Roman" w:cs="Times New Roman"/>
          <w:b w:val="0"/>
          <w:bCs/>
          <w:smallCaps w:val="0"/>
          <w:color w:val="auto"/>
          <w:sz w:val="21"/>
          <w:szCs w:val="21"/>
          <w:lang w:eastAsia="zh-CN"/>
        </w:rPr>
        <w:t xml:space="preserve"> Kang</w:t>
      </w:r>
      <w:r w:rsidRPr="004B4996">
        <w:rPr>
          <w:rFonts w:ascii="Times New Roman" w:hAnsi="Times New Roman" w:cs="Times New Roman"/>
          <w:b w:val="0"/>
          <w:bCs/>
          <w:smallCaps w:val="0"/>
          <w:color w:val="auto"/>
          <w:sz w:val="21"/>
          <w:szCs w:val="21"/>
          <w:vertAlign w:val="superscript"/>
          <w:lang w:eastAsia="zh-CN"/>
        </w:rPr>
        <w:t xml:space="preserve"> </w:t>
      </w:r>
      <w:proofErr w:type="spellStart"/>
      <w:r w:rsidRPr="004B4996">
        <w:rPr>
          <w:rFonts w:ascii="Times New Roman" w:hAnsi="Times New Roman" w:cs="Times New Roman"/>
          <w:b w:val="0"/>
          <w:bCs/>
          <w:smallCaps w:val="0"/>
          <w:color w:val="auto"/>
          <w:sz w:val="21"/>
          <w:szCs w:val="21"/>
          <w:vertAlign w:val="superscript"/>
          <w:lang w:eastAsia="zh-CN"/>
        </w:rPr>
        <w:t>a,b,d</w:t>
      </w:r>
      <w:proofErr w:type="spellEnd"/>
      <w:r w:rsidRPr="004B4996">
        <w:rPr>
          <w:rFonts w:ascii="Times New Roman" w:hAnsi="Times New Roman" w:cs="Times New Roman"/>
          <w:b w:val="0"/>
          <w:bCs/>
          <w:smallCaps w:val="0"/>
          <w:color w:val="auto"/>
          <w:sz w:val="21"/>
          <w:szCs w:val="21"/>
          <w:lang w:eastAsia="zh-CN"/>
        </w:rPr>
        <w:t xml:space="preserve">, </w:t>
      </w:r>
      <w:proofErr w:type="spellStart"/>
      <w:r w:rsidRPr="004B4996">
        <w:rPr>
          <w:rFonts w:ascii="Times New Roman" w:hAnsi="Times New Roman" w:cs="Times New Roman"/>
          <w:b w:val="0"/>
          <w:bCs/>
          <w:smallCaps w:val="0"/>
          <w:color w:val="auto"/>
          <w:sz w:val="21"/>
          <w:szCs w:val="21"/>
          <w:lang w:eastAsia="zh-CN"/>
        </w:rPr>
        <w:t>Xiaoliang</w:t>
      </w:r>
      <w:proofErr w:type="spellEnd"/>
      <w:r w:rsidRPr="004B4996">
        <w:rPr>
          <w:rFonts w:ascii="Times New Roman" w:hAnsi="Times New Roman" w:cs="Times New Roman"/>
          <w:b w:val="0"/>
          <w:bCs/>
          <w:smallCaps w:val="0"/>
          <w:color w:val="auto"/>
          <w:sz w:val="21"/>
          <w:szCs w:val="21"/>
          <w:lang w:eastAsia="zh-CN"/>
        </w:rPr>
        <w:t xml:space="preserve"> Ma</w:t>
      </w:r>
      <w:r w:rsidRPr="004B4996">
        <w:rPr>
          <w:rFonts w:ascii="Times New Roman" w:hAnsi="Times New Roman" w:cs="Times New Roman"/>
          <w:b w:val="0"/>
          <w:bCs/>
          <w:smallCaps w:val="0"/>
          <w:color w:val="auto"/>
          <w:sz w:val="21"/>
          <w:szCs w:val="21"/>
          <w:vertAlign w:val="superscript"/>
          <w:lang w:eastAsia="zh-CN"/>
        </w:rPr>
        <w:t xml:space="preserve"> </w:t>
      </w:r>
      <w:proofErr w:type="spellStart"/>
      <w:r w:rsidRPr="004B4996">
        <w:rPr>
          <w:rFonts w:ascii="Times New Roman" w:hAnsi="Times New Roman" w:cs="Times New Roman"/>
          <w:b w:val="0"/>
          <w:bCs/>
          <w:smallCaps w:val="0"/>
          <w:color w:val="auto"/>
          <w:sz w:val="21"/>
          <w:szCs w:val="21"/>
          <w:vertAlign w:val="superscript"/>
          <w:lang w:eastAsia="zh-CN"/>
        </w:rPr>
        <w:t>a,b,c</w:t>
      </w:r>
      <w:proofErr w:type="spellEnd"/>
      <w:r w:rsidRPr="004B4996">
        <w:rPr>
          <w:rFonts w:ascii="Times New Roman" w:hAnsi="Times New Roman" w:cs="Times New Roman"/>
          <w:b w:val="0"/>
          <w:bCs/>
          <w:smallCaps w:val="0"/>
          <w:color w:val="auto"/>
          <w:sz w:val="21"/>
          <w:szCs w:val="21"/>
          <w:lang w:eastAsia="zh-CN"/>
        </w:rPr>
        <w:t xml:space="preserve">, Yuan </w:t>
      </w:r>
      <w:proofErr w:type="spellStart"/>
      <w:r w:rsidRPr="004B4996">
        <w:rPr>
          <w:rFonts w:ascii="Times New Roman" w:hAnsi="Times New Roman" w:cs="Times New Roman"/>
          <w:b w:val="0"/>
          <w:bCs/>
          <w:smallCaps w:val="0"/>
          <w:color w:val="auto"/>
          <w:sz w:val="21"/>
          <w:szCs w:val="21"/>
          <w:lang w:eastAsia="zh-CN"/>
        </w:rPr>
        <w:t>Ke</w:t>
      </w:r>
      <w:proofErr w:type="spellEnd"/>
      <w:r w:rsidRPr="004B4996">
        <w:rPr>
          <w:rFonts w:ascii="Times New Roman" w:hAnsi="Times New Roman" w:cs="Times New Roman"/>
          <w:b w:val="0"/>
          <w:bCs/>
          <w:smallCaps w:val="0"/>
          <w:color w:val="auto"/>
          <w:sz w:val="21"/>
          <w:szCs w:val="21"/>
          <w:vertAlign w:val="superscript"/>
          <w:lang w:eastAsia="zh-CN"/>
        </w:rPr>
        <w:t xml:space="preserve"> e</w:t>
      </w:r>
      <w:r w:rsidRPr="004B4996">
        <w:rPr>
          <w:rFonts w:ascii="Times New Roman" w:hAnsi="Times New Roman" w:cs="Times New Roman"/>
          <w:b w:val="0"/>
          <w:bCs/>
          <w:smallCaps w:val="0"/>
          <w:color w:val="auto"/>
          <w:sz w:val="21"/>
          <w:szCs w:val="21"/>
          <w:lang w:eastAsia="zh-CN"/>
        </w:rPr>
        <w:t xml:space="preserve">, </w:t>
      </w:r>
      <w:proofErr w:type="spellStart"/>
      <w:r w:rsidRPr="004B4996">
        <w:rPr>
          <w:rFonts w:ascii="Times New Roman" w:hAnsi="Times New Roman" w:cs="Times New Roman"/>
          <w:b w:val="0"/>
          <w:bCs/>
          <w:smallCaps w:val="0"/>
          <w:color w:val="auto"/>
          <w:sz w:val="21"/>
          <w:szCs w:val="21"/>
          <w:lang w:eastAsia="zh-CN"/>
        </w:rPr>
        <w:t>Xiangang</w:t>
      </w:r>
      <w:proofErr w:type="spellEnd"/>
      <w:r w:rsidRPr="004B4996">
        <w:rPr>
          <w:rFonts w:ascii="Times New Roman" w:hAnsi="Times New Roman" w:cs="Times New Roman"/>
          <w:b w:val="0"/>
          <w:bCs/>
          <w:smallCaps w:val="0"/>
          <w:color w:val="auto"/>
          <w:sz w:val="21"/>
          <w:szCs w:val="21"/>
          <w:lang w:eastAsia="zh-CN"/>
        </w:rPr>
        <w:t xml:space="preserve"> Luo</w:t>
      </w:r>
      <w:r w:rsidRPr="004B4996">
        <w:rPr>
          <w:rFonts w:ascii="Times New Roman" w:hAnsi="Times New Roman" w:cs="Times New Roman"/>
          <w:b w:val="0"/>
          <w:bCs/>
          <w:smallCaps w:val="0"/>
          <w:color w:val="auto"/>
          <w:sz w:val="21"/>
          <w:szCs w:val="21"/>
          <w:vertAlign w:val="superscript"/>
          <w:lang w:eastAsia="zh-CN"/>
        </w:rPr>
        <w:t xml:space="preserve"> </w:t>
      </w:r>
      <w:proofErr w:type="spellStart"/>
      <w:r w:rsidRPr="004B4996">
        <w:rPr>
          <w:rFonts w:ascii="Times New Roman" w:hAnsi="Times New Roman" w:cs="Times New Roman"/>
          <w:b w:val="0"/>
          <w:bCs/>
          <w:smallCaps w:val="0"/>
          <w:color w:val="auto"/>
          <w:sz w:val="21"/>
          <w:szCs w:val="21"/>
          <w:vertAlign w:val="superscript"/>
          <w:lang w:eastAsia="zh-CN"/>
        </w:rPr>
        <w:t>a,b,c,d</w:t>
      </w:r>
      <w:proofErr w:type="spellEnd"/>
      <w:r w:rsidRPr="004B4996">
        <w:rPr>
          <w:rFonts w:ascii="Times New Roman" w:hAnsi="Times New Roman" w:cs="Times New Roman"/>
          <w:b w:val="0"/>
          <w:bCs/>
          <w:smallCaps w:val="0"/>
          <w:color w:val="auto"/>
          <w:sz w:val="21"/>
          <w:szCs w:val="21"/>
          <w:vertAlign w:val="superscript"/>
          <w:lang w:eastAsia="zh-CN"/>
        </w:rPr>
        <w:t>,</w:t>
      </w:r>
      <w:r w:rsidRPr="004B4996">
        <w:rPr>
          <w:rFonts w:ascii="Times New Roman" w:hAnsi="Times New Roman" w:cs="Times New Roman"/>
          <w:b w:val="0"/>
          <w:bCs/>
          <w:smallCaps w:val="0"/>
          <w:color w:val="auto"/>
          <w:sz w:val="21"/>
          <w:szCs w:val="21"/>
          <w:lang w:eastAsia="zh-CN"/>
        </w:rPr>
        <w:t>*</w:t>
      </w:r>
    </w:p>
    <w:p w14:paraId="1FB97D99" w14:textId="77777777" w:rsidR="004B4996" w:rsidRPr="004B4996" w:rsidRDefault="004B4996" w:rsidP="004B4996">
      <w:pPr>
        <w:adjustRightInd w:val="0"/>
        <w:snapToGrid w:val="0"/>
        <w:spacing w:after="0" w:line="240" w:lineRule="exact"/>
        <w:rPr>
          <w:rFonts w:ascii="Times New Roman" w:eastAsia="Arial Unicode MS" w:hAnsi="Times New Roman" w:cs="Times New Roman"/>
          <w:i/>
          <w:iCs/>
          <w:sz w:val="15"/>
          <w:szCs w:val="15"/>
          <w:lang w:eastAsia="zh-CN"/>
        </w:rPr>
      </w:pPr>
      <w:proofErr w:type="gramStart"/>
      <w:r w:rsidRPr="004B4996">
        <w:rPr>
          <w:rFonts w:ascii="Times New Roman" w:hAnsi="Times New Roman" w:cs="Times New Roman"/>
          <w:iCs/>
          <w:sz w:val="15"/>
          <w:szCs w:val="15"/>
          <w:vertAlign w:val="superscript"/>
          <w:lang w:eastAsia="zh-CN"/>
        </w:rPr>
        <w:t>a</w:t>
      </w:r>
      <w:proofErr w:type="gramEnd"/>
      <w:r w:rsidRPr="004B4996">
        <w:rPr>
          <w:rFonts w:ascii="Times New Roman" w:hAnsi="Times New Roman" w:cs="Times New Roman"/>
          <w:i/>
          <w:iCs/>
          <w:sz w:val="15"/>
          <w:szCs w:val="15"/>
          <w:vertAlign w:val="superscript"/>
          <w:lang w:eastAsia="zh-CN"/>
        </w:rPr>
        <w:t xml:space="preserve"> </w:t>
      </w:r>
      <w:r w:rsidRPr="004B4996">
        <w:rPr>
          <w:rFonts w:ascii="Times New Roman" w:eastAsia="Arial Unicode MS" w:hAnsi="Times New Roman" w:cs="Times New Roman"/>
          <w:i/>
          <w:iCs/>
          <w:sz w:val="15"/>
          <w:szCs w:val="15"/>
          <w:lang w:eastAsia="zh-CN"/>
        </w:rPr>
        <w:t xml:space="preserve">State Key Laboratory of Optical Technologies on </w:t>
      </w:r>
      <w:proofErr w:type="spellStart"/>
      <w:r w:rsidRPr="004B4996">
        <w:rPr>
          <w:rFonts w:ascii="Times New Roman" w:eastAsia="Arial Unicode MS" w:hAnsi="Times New Roman" w:cs="Times New Roman"/>
          <w:i/>
          <w:iCs/>
          <w:sz w:val="15"/>
          <w:szCs w:val="15"/>
          <w:lang w:eastAsia="zh-CN"/>
        </w:rPr>
        <w:t>Nano</w:t>
      </w:r>
      <w:proofErr w:type="spellEnd"/>
      <w:r w:rsidRPr="004B4996">
        <w:rPr>
          <w:rFonts w:ascii="Times New Roman" w:eastAsia="Arial Unicode MS" w:hAnsi="Times New Roman" w:cs="Times New Roman"/>
          <w:i/>
          <w:iCs/>
          <w:sz w:val="15"/>
          <w:szCs w:val="15"/>
          <w:lang w:eastAsia="zh-CN"/>
        </w:rPr>
        <w:t>-Fabrication and Micro-Engineering, Institute of Optics and Electronics, Chinese Academy of Sciences, Chengdu 610209, China</w:t>
      </w:r>
    </w:p>
    <w:p w14:paraId="2A14234F" w14:textId="77777777" w:rsidR="004B4996" w:rsidRPr="004B4996" w:rsidRDefault="004B4996" w:rsidP="004B4996">
      <w:pPr>
        <w:adjustRightInd w:val="0"/>
        <w:snapToGrid w:val="0"/>
        <w:spacing w:after="0" w:line="240" w:lineRule="exact"/>
        <w:rPr>
          <w:rFonts w:ascii="Times New Roman" w:eastAsia="Arial Unicode MS" w:hAnsi="Times New Roman" w:cs="Times New Roman"/>
          <w:iCs/>
          <w:sz w:val="15"/>
          <w:szCs w:val="15"/>
          <w:lang w:eastAsia="zh-CN"/>
        </w:rPr>
      </w:pPr>
      <w:proofErr w:type="gramStart"/>
      <w:r w:rsidRPr="004B4996">
        <w:rPr>
          <w:rFonts w:ascii="Times New Roman" w:eastAsia="Arial Unicode MS" w:hAnsi="Times New Roman" w:cs="Times New Roman"/>
          <w:iCs/>
          <w:sz w:val="15"/>
          <w:szCs w:val="15"/>
          <w:vertAlign w:val="superscript"/>
          <w:lang w:eastAsia="zh-CN"/>
        </w:rPr>
        <w:t>b</w:t>
      </w:r>
      <w:proofErr w:type="gramEnd"/>
      <w:r w:rsidRPr="004B4996">
        <w:rPr>
          <w:rFonts w:ascii="Times New Roman" w:eastAsia="Arial Unicode MS" w:hAnsi="Times New Roman" w:cs="Times New Roman"/>
          <w:iCs/>
          <w:sz w:val="15"/>
          <w:szCs w:val="15"/>
          <w:vertAlign w:val="superscript"/>
          <w:lang w:eastAsia="zh-CN"/>
        </w:rPr>
        <w:t xml:space="preserve"> </w:t>
      </w:r>
      <w:r w:rsidRPr="004B4996">
        <w:rPr>
          <w:rFonts w:ascii="Times New Roman" w:eastAsia="Arial Unicode MS" w:hAnsi="Times New Roman" w:cs="Times New Roman"/>
          <w:i/>
          <w:iCs/>
          <w:sz w:val="15"/>
          <w:szCs w:val="15"/>
          <w:lang w:eastAsia="zh-CN"/>
        </w:rPr>
        <w:t>Key Laboratory of Optical Field Manipulation Science and Technology, Chinese Academy of Sciences, Chengdu 610209, China</w:t>
      </w:r>
    </w:p>
    <w:p w14:paraId="619B6789" w14:textId="77777777" w:rsidR="004B4996" w:rsidRPr="004B4996" w:rsidRDefault="004B4996" w:rsidP="004B4996">
      <w:pPr>
        <w:adjustRightInd w:val="0"/>
        <w:snapToGrid w:val="0"/>
        <w:spacing w:after="0" w:line="240" w:lineRule="exact"/>
        <w:rPr>
          <w:rFonts w:ascii="Times New Roman" w:eastAsia="Arial Unicode MS" w:hAnsi="Times New Roman" w:cs="Times New Roman"/>
          <w:i/>
          <w:iCs/>
          <w:sz w:val="15"/>
          <w:szCs w:val="15"/>
          <w:lang w:eastAsia="zh-CN"/>
        </w:rPr>
      </w:pPr>
      <w:proofErr w:type="gramStart"/>
      <w:r w:rsidRPr="004B4996">
        <w:rPr>
          <w:rFonts w:ascii="Times New Roman" w:hAnsi="Times New Roman" w:cs="Times New Roman"/>
          <w:iCs/>
          <w:sz w:val="15"/>
          <w:szCs w:val="15"/>
          <w:vertAlign w:val="superscript"/>
          <w:lang w:eastAsia="zh-CN"/>
        </w:rPr>
        <w:t>c</w:t>
      </w:r>
      <w:proofErr w:type="gramEnd"/>
      <w:r w:rsidRPr="004B4996">
        <w:rPr>
          <w:rFonts w:ascii="Times New Roman" w:eastAsia="Arial Unicode MS" w:hAnsi="Times New Roman" w:cs="Times New Roman"/>
          <w:iCs/>
          <w:sz w:val="15"/>
          <w:szCs w:val="15"/>
          <w:vertAlign w:val="superscript"/>
          <w:lang w:eastAsia="zh-CN"/>
        </w:rPr>
        <w:t xml:space="preserve"> </w:t>
      </w:r>
      <w:r w:rsidRPr="004B4996">
        <w:rPr>
          <w:rFonts w:ascii="Times New Roman" w:eastAsia="Arial Unicode MS" w:hAnsi="Times New Roman" w:cs="Times New Roman"/>
          <w:i/>
          <w:iCs/>
          <w:sz w:val="15"/>
          <w:szCs w:val="15"/>
          <w:lang w:eastAsia="zh-CN"/>
        </w:rPr>
        <w:t>School of Optoelectronics, University of Chinese Academy of Sciences, Beijing 100049, China</w:t>
      </w:r>
    </w:p>
    <w:p w14:paraId="21DFEACF" w14:textId="77777777" w:rsidR="004B4996" w:rsidRPr="004B4996" w:rsidRDefault="004B4996" w:rsidP="004B4996">
      <w:pPr>
        <w:adjustRightInd w:val="0"/>
        <w:snapToGrid w:val="0"/>
        <w:spacing w:after="0" w:line="240" w:lineRule="exact"/>
        <w:rPr>
          <w:rFonts w:ascii="Times New Roman" w:eastAsia="Arial Unicode MS" w:hAnsi="Times New Roman" w:cs="Times New Roman"/>
          <w:i/>
          <w:iCs/>
          <w:sz w:val="15"/>
          <w:szCs w:val="15"/>
          <w:lang w:eastAsia="zh-CN"/>
        </w:rPr>
      </w:pPr>
      <w:proofErr w:type="gramStart"/>
      <w:r w:rsidRPr="004B4996">
        <w:rPr>
          <w:rFonts w:ascii="Times New Roman" w:eastAsia="Arial Unicode MS" w:hAnsi="Times New Roman" w:cs="Times New Roman"/>
          <w:iCs/>
          <w:sz w:val="15"/>
          <w:szCs w:val="15"/>
          <w:vertAlign w:val="superscript"/>
          <w:lang w:eastAsia="zh-CN"/>
        </w:rPr>
        <w:t>d</w:t>
      </w:r>
      <w:proofErr w:type="gramEnd"/>
      <w:r w:rsidRPr="004B4996">
        <w:rPr>
          <w:rFonts w:ascii="Times New Roman" w:eastAsia="Arial Unicode MS" w:hAnsi="Times New Roman" w:cs="Times New Roman"/>
          <w:iCs/>
          <w:sz w:val="15"/>
          <w:szCs w:val="15"/>
          <w:vertAlign w:val="superscript"/>
          <w:lang w:eastAsia="zh-CN"/>
        </w:rPr>
        <w:t xml:space="preserve"> </w:t>
      </w:r>
      <w:r w:rsidRPr="004B4996">
        <w:rPr>
          <w:rFonts w:ascii="Times New Roman" w:eastAsia="Arial Unicode MS" w:hAnsi="Times New Roman" w:cs="Times New Roman"/>
          <w:i/>
          <w:iCs/>
          <w:sz w:val="15"/>
          <w:szCs w:val="15"/>
          <w:lang w:eastAsia="zh-CN"/>
        </w:rPr>
        <w:t>Research Center on Vector Optical Fields, Institute of Optics and Electronics, Chinese Academy of Sciences, Chengdu 610209, China</w:t>
      </w:r>
    </w:p>
    <w:p w14:paraId="263FBA3A" w14:textId="77777777" w:rsidR="004B4996" w:rsidRPr="004B4996" w:rsidRDefault="004B4996" w:rsidP="004B4996">
      <w:pPr>
        <w:adjustRightInd w:val="0"/>
        <w:snapToGrid w:val="0"/>
        <w:spacing w:after="0" w:line="240" w:lineRule="exact"/>
        <w:rPr>
          <w:rFonts w:ascii="Times New Roman" w:eastAsia="Arial Unicode MS" w:hAnsi="Times New Roman" w:cs="Times New Roman"/>
          <w:i/>
          <w:iCs/>
          <w:sz w:val="15"/>
          <w:szCs w:val="15"/>
          <w:lang w:eastAsia="zh-CN"/>
        </w:rPr>
      </w:pPr>
      <w:proofErr w:type="gramStart"/>
      <w:r w:rsidRPr="004B4996">
        <w:rPr>
          <w:rFonts w:ascii="Times New Roman" w:eastAsia="Arial Unicode MS" w:hAnsi="Times New Roman" w:cs="Times New Roman"/>
          <w:iCs/>
          <w:sz w:val="15"/>
          <w:szCs w:val="15"/>
          <w:vertAlign w:val="superscript"/>
          <w:lang w:eastAsia="zh-CN"/>
        </w:rPr>
        <w:t>e</w:t>
      </w:r>
      <w:proofErr w:type="gramEnd"/>
      <w:r w:rsidRPr="004B4996">
        <w:rPr>
          <w:rFonts w:ascii="Times New Roman" w:eastAsia="Arial Unicode MS" w:hAnsi="Times New Roman" w:cs="Times New Roman"/>
          <w:i/>
          <w:iCs/>
          <w:sz w:val="15"/>
          <w:szCs w:val="15"/>
          <w:vertAlign w:val="superscript"/>
          <w:lang w:eastAsia="zh-CN"/>
        </w:rPr>
        <w:t xml:space="preserve"> </w:t>
      </w:r>
      <w:proofErr w:type="spellStart"/>
      <w:r w:rsidRPr="004B4996">
        <w:rPr>
          <w:rFonts w:ascii="Times New Roman" w:eastAsia="Arial Unicode MS" w:hAnsi="Times New Roman" w:cs="Times New Roman"/>
          <w:i/>
          <w:iCs/>
          <w:sz w:val="15"/>
          <w:szCs w:val="15"/>
          <w:lang w:eastAsia="zh-CN"/>
        </w:rPr>
        <w:t>Tianfu</w:t>
      </w:r>
      <w:proofErr w:type="spellEnd"/>
      <w:r w:rsidRPr="004B4996">
        <w:rPr>
          <w:rFonts w:ascii="Times New Roman" w:eastAsia="Arial Unicode MS" w:hAnsi="Times New Roman" w:cs="Times New Roman"/>
          <w:i/>
          <w:iCs/>
          <w:sz w:val="15"/>
          <w:szCs w:val="15"/>
          <w:lang w:eastAsia="zh-CN"/>
        </w:rPr>
        <w:t xml:space="preserve"> Xinglong Lake Laboratory, Chengdu 610299, China</w:t>
      </w:r>
    </w:p>
    <w:p w14:paraId="75D8114B" w14:textId="77777777" w:rsidR="004B4996" w:rsidRPr="004B4996" w:rsidRDefault="004B4996" w:rsidP="004B4996">
      <w:pPr>
        <w:pStyle w:val="authadd"/>
        <w:adjustRightInd w:val="0"/>
        <w:snapToGrid w:val="0"/>
      </w:pPr>
    </w:p>
    <w:p w14:paraId="7D1C5C5C" w14:textId="77777777" w:rsidR="004B4996" w:rsidRPr="004B4996" w:rsidRDefault="004B4996" w:rsidP="004B4996">
      <w:pPr>
        <w:adjustRightInd w:val="0"/>
        <w:snapToGrid w:val="0"/>
        <w:contextualSpacing/>
        <w:rPr>
          <w:rFonts w:ascii="Times New Roman" w:eastAsia="等线" w:hAnsi="Times New Roman" w:cs="Times New Roman"/>
          <w:sz w:val="18"/>
          <w:szCs w:val="28"/>
        </w:rPr>
      </w:pPr>
      <w:r w:rsidRPr="004B4996">
        <w:rPr>
          <w:rFonts w:ascii="Times New Roman" w:eastAsia="等线" w:hAnsi="Times New Roman" w:cs="Times New Roman"/>
          <w:sz w:val="18"/>
          <w:szCs w:val="28"/>
        </w:rPr>
        <w:t xml:space="preserve">* Corresponding authors. </w:t>
      </w:r>
    </w:p>
    <w:p w14:paraId="441027D6" w14:textId="77777777" w:rsidR="004B4996" w:rsidRPr="004B4996" w:rsidRDefault="004B4996" w:rsidP="004B4996">
      <w:pPr>
        <w:adjustRightInd w:val="0"/>
        <w:snapToGrid w:val="0"/>
        <w:contextualSpacing/>
        <w:rPr>
          <w:rFonts w:ascii="Times New Roman" w:eastAsia="等线" w:hAnsi="Times New Roman" w:cs="Times New Roman"/>
          <w:sz w:val="18"/>
          <w:szCs w:val="28"/>
          <w:lang w:val="fr-FR"/>
        </w:rPr>
      </w:pPr>
      <w:r w:rsidRPr="004B4996">
        <w:rPr>
          <w:rFonts w:ascii="Times New Roman" w:eastAsia="等线" w:hAnsi="Times New Roman" w:cs="Times New Roman"/>
          <w:i/>
          <w:iCs/>
          <w:sz w:val="18"/>
          <w:szCs w:val="28"/>
        </w:rPr>
        <w:t>E-mail addresses</w:t>
      </w:r>
      <w:r w:rsidRPr="004B4996">
        <w:rPr>
          <w:rFonts w:ascii="Times New Roman" w:eastAsia="等线" w:hAnsi="Times New Roman" w:cs="Times New Roman"/>
          <w:sz w:val="18"/>
          <w:szCs w:val="28"/>
        </w:rPr>
        <w:t>: pmb@ioe.ac.cn (M. Pu), lxg@ioe.ac.cn (X. Luo)</w:t>
      </w:r>
      <w:r w:rsidRPr="004B4996">
        <w:rPr>
          <w:rFonts w:ascii="Times New Roman" w:eastAsia="Arial Unicode MS" w:hAnsi="Times New Roman" w:cs="Times New Roman"/>
          <w:iCs/>
          <w:sz w:val="15"/>
          <w:szCs w:val="15"/>
        </w:rPr>
        <w:t>.</w:t>
      </w:r>
    </w:p>
    <w:p w14:paraId="3AD524AB" w14:textId="77777777" w:rsidR="004B4996" w:rsidRPr="004B4996" w:rsidRDefault="004B4996" w:rsidP="004B4996">
      <w:pPr>
        <w:adjustRightInd w:val="0"/>
        <w:snapToGrid w:val="0"/>
        <w:contextualSpacing/>
        <w:rPr>
          <w:rFonts w:ascii="Times New Roman" w:eastAsia="Arial Unicode MS" w:hAnsi="Times New Roman" w:cs="Times New Roman"/>
          <w:iCs/>
          <w:sz w:val="15"/>
          <w:szCs w:val="15"/>
          <w:vertAlign w:val="superscript"/>
          <w:lang w:eastAsia="zh-CN"/>
        </w:rPr>
      </w:pPr>
    </w:p>
    <w:p w14:paraId="1DEC8B7D" w14:textId="77777777" w:rsidR="004B4996" w:rsidRPr="004B4996" w:rsidRDefault="004B4996" w:rsidP="004B4996">
      <w:pPr>
        <w:adjustRightInd w:val="0"/>
        <w:snapToGrid w:val="0"/>
        <w:contextualSpacing/>
        <w:rPr>
          <w:rFonts w:ascii="Times New Roman" w:eastAsia="Arial Unicode MS" w:hAnsi="Times New Roman" w:cs="Times New Roman"/>
          <w:iCs/>
          <w:sz w:val="15"/>
          <w:szCs w:val="15"/>
          <w:lang w:eastAsia="zh-CN"/>
        </w:rPr>
      </w:pPr>
      <w:r w:rsidRPr="004B4996">
        <w:rPr>
          <w:rFonts w:ascii="Times New Roman" w:eastAsia="Arial Unicode MS" w:hAnsi="Times New Roman" w:cs="Times New Roman"/>
          <w:iCs/>
          <w:sz w:val="15"/>
          <w:szCs w:val="15"/>
          <w:vertAlign w:val="superscript"/>
          <w:lang w:eastAsia="zh-CN"/>
        </w:rPr>
        <w:t xml:space="preserve">† </w:t>
      </w:r>
      <w:r w:rsidRPr="004B4996">
        <w:rPr>
          <w:rFonts w:ascii="Times New Roman" w:eastAsia="Arial Unicode MS" w:hAnsi="Times New Roman" w:cs="Times New Roman"/>
          <w:iCs/>
          <w:sz w:val="15"/>
          <w:szCs w:val="15"/>
          <w:lang w:eastAsia="zh-CN"/>
        </w:rPr>
        <w:t>These authors contributed equally to this work.</w:t>
      </w:r>
    </w:p>
    <w:p w14:paraId="01576937" w14:textId="77777777" w:rsidR="0021404A" w:rsidRPr="004B4996" w:rsidRDefault="0021404A">
      <w:pPr>
        <w:adjustRightInd w:val="0"/>
        <w:snapToGrid w:val="0"/>
        <w:spacing w:after="0" w:line="240" w:lineRule="exact"/>
        <w:rPr>
          <w:rFonts w:ascii="Times New Roman" w:eastAsia="等线" w:hAnsi="Times New Roman" w:cs="Times New Roman"/>
          <w:iCs/>
          <w:sz w:val="15"/>
          <w:szCs w:val="15"/>
          <w:lang w:eastAsia="zh-CN"/>
        </w:rPr>
      </w:pPr>
    </w:p>
    <w:p w14:paraId="116C066D" w14:textId="77777777" w:rsidR="0021404A" w:rsidRPr="005B7419" w:rsidRDefault="00C2395A">
      <w:pPr>
        <w:adjustRightInd w:val="0"/>
        <w:snapToGrid w:val="0"/>
        <w:spacing w:after="0" w:line="240" w:lineRule="exact"/>
        <w:rPr>
          <w:rFonts w:ascii="Times New Roman" w:hAnsi="Times New Roman" w:cs="Times New Roman"/>
          <w:sz w:val="21"/>
          <w:szCs w:val="21"/>
        </w:rPr>
      </w:pPr>
      <w:r w:rsidRPr="005B7419">
        <w:rPr>
          <w:rFonts w:ascii="Times New Roman" w:eastAsia="黑体" w:hAnsi="Times New Roman" w:cs="Times New Roman"/>
          <w:b/>
          <w:sz w:val="21"/>
          <w:szCs w:val="21"/>
        </w:rPr>
        <w:t xml:space="preserve">S1. Principle of </w:t>
      </w:r>
      <w:proofErr w:type="spellStart"/>
      <w:r w:rsidRPr="005B7419">
        <w:rPr>
          <w:rFonts w:ascii="Times New Roman" w:eastAsia="黑体" w:hAnsi="Times New Roman" w:cs="Times New Roman"/>
          <w:b/>
          <w:sz w:val="21"/>
          <w:szCs w:val="21"/>
        </w:rPr>
        <w:t>reconfigurability</w:t>
      </w:r>
      <w:proofErr w:type="spellEnd"/>
    </w:p>
    <w:p w14:paraId="783F33D9" w14:textId="11FBAE5C" w:rsidR="0021404A" w:rsidRPr="005B7419" w:rsidRDefault="00C2395A" w:rsidP="005B7419">
      <w:pPr>
        <w:pStyle w:val="09BodyFirstParagraph"/>
        <w:ind w:firstLineChars="200" w:firstLine="420"/>
        <w:rPr>
          <w:color w:val="auto"/>
          <w:sz w:val="21"/>
          <w:szCs w:val="21"/>
        </w:rPr>
      </w:pPr>
      <w:r w:rsidRPr="005B7419">
        <w:rPr>
          <w:color w:val="auto"/>
          <w:sz w:val="21"/>
          <w:szCs w:val="21"/>
        </w:rPr>
        <w:t xml:space="preserve">The key of the proposed reconfigurable element is the conversion between non-diffractive transmission and wavelength-polarization-dependent diffraction. It can be achieved by active liquid crystals, phase-change materials, cascaded metasurfaces, etc. Here, we employ a simple way, i.e., two cascaded </w:t>
      </w:r>
      <w:r w:rsidR="004723CB" w:rsidRPr="005B7419">
        <w:rPr>
          <w:color w:val="auto"/>
          <w:sz w:val="21"/>
          <w:szCs w:val="21"/>
        </w:rPr>
        <w:t>catenary-like</w:t>
      </w:r>
      <w:r w:rsidRPr="005B7419">
        <w:rPr>
          <w:color w:val="auto"/>
          <w:sz w:val="21"/>
          <w:szCs w:val="21"/>
        </w:rPr>
        <w:t xml:space="preserve"> metasurfaces, to demonstrate the concept of dual-mode detection. Considering two </w:t>
      </w:r>
      <w:r w:rsidR="004723CB" w:rsidRPr="005B7419">
        <w:rPr>
          <w:color w:val="auto"/>
          <w:sz w:val="21"/>
          <w:szCs w:val="21"/>
        </w:rPr>
        <w:t>catenary-like</w:t>
      </w:r>
      <w:r w:rsidRPr="005B7419">
        <w:rPr>
          <w:color w:val="auto"/>
          <w:sz w:val="21"/>
          <w:szCs w:val="21"/>
        </w:rPr>
        <w:t xml:space="preserve"> metasurfaces</w:t>
      </w:r>
      <w:r w:rsidR="00311999" w:rsidRPr="005B7419">
        <w:rPr>
          <w:color w:val="auto"/>
          <w:sz w:val="21"/>
          <w:szCs w:val="21"/>
        </w:rPr>
        <w:t xml:space="preserve"> (M1 and M2)</w:t>
      </w:r>
      <w:r w:rsidRPr="005B7419">
        <w:rPr>
          <w:color w:val="auto"/>
          <w:sz w:val="21"/>
          <w:szCs w:val="21"/>
        </w:rPr>
        <w:t xml:space="preserve"> with the same period of </w:t>
      </w:r>
      <w:r w:rsidRPr="005B7419">
        <w:rPr>
          <w:i/>
          <w:iCs/>
          <w:color w:val="auto"/>
          <w:sz w:val="21"/>
          <w:szCs w:val="21"/>
        </w:rPr>
        <w:t>p</w:t>
      </w:r>
      <w:r w:rsidRPr="005B7419">
        <w:rPr>
          <w:color w:val="auto"/>
          <w:sz w:val="21"/>
          <w:szCs w:val="21"/>
        </w:rPr>
        <w:t xml:space="preserve"> are placed consecutively but with different angles of </w:t>
      </w:r>
      <w:r w:rsidRPr="005B7419">
        <w:rPr>
          <w:i/>
          <w:iCs/>
          <w:color w:val="auto"/>
          <w:sz w:val="21"/>
          <w:szCs w:val="21"/>
        </w:rPr>
        <w:t>θ</w:t>
      </w:r>
      <w:r w:rsidRPr="005B7419">
        <w:rPr>
          <w:i/>
          <w:iCs/>
          <w:color w:val="auto"/>
          <w:sz w:val="21"/>
          <w:szCs w:val="21"/>
          <w:vertAlign w:val="subscript"/>
        </w:rPr>
        <w:t>1</w:t>
      </w:r>
      <w:r w:rsidRPr="005B7419">
        <w:rPr>
          <w:i/>
          <w:iCs/>
          <w:color w:val="auto"/>
          <w:sz w:val="21"/>
          <w:szCs w:val="21"/>
        </w:rPr>
        <w:t xml:space="preserve"> </w:t>
      </w:r>
      <w:r w:rsidRPr="005B7419">
        <w:rPr>
          <w:color w:val="auto"/>
          <w:sz w:val="21"/>
          <w:szCs w:val="21"/>
        </w:rPr>
        <w:t xml:space="preserve">and </w:t>
      </w:r>
      <w:r w:rsidRPr="005B7419">
        <w:rPr>
          <w:i/>
          <w:iCs/>
          <w:color w:val="auto"/>
          <w:sz w:val="21"/>
          <w:szCs w:val="21"/>
        </w:rPr>
        <w:t>θ</w:t>
      </w:r>
      <w:r w:rsidRPr="005B7419">
        <w:rPr>
          <w:i/>
          <w:iCs/>
          <w:color w:val="auto"/>
          <w:sz w:val="21"/>
          <w:szCs w:val="21"/>
          <w:vertAlign w:val="subscript"/>
        </w:rPr>
        <w:t>2</w:t>
      </w:r>
      <w:r w:rsidRPr="005B7419">
        <w:rPr>
          <w:color w:val="auto"/>
          <w:sz w:val="21"/>
          <w:szCs w:val="21"/>
        </w:rPr>
        <w:t xml:space="preserve"> along the </w:t>
      </w:r>
      <w:r w:rsidRPr="005B7419">
        <w:rPr>
          <w:i/>
          <w:iCs/>
          <w:color w:val="auto"/>
          <w:sz w:val="21"/>
          <w:szCs w:val="21"/>
        </w:rPr>
        <w:t>x</w:t>
      </w:r>
      <w:r w:rsidRPr="005B7419">
        <w:rPr>
          <w:color w:val="auto"/>
          <w:sz w:val="21"/>
          <w:szCs w:val="21"/>
        </w:rPr>
        <w:t>-direction, respectively. When the left-handed or right-handed circularly polarized (LCP or RCP) light passes through such a reconfigurable element, the transverse wavevector of the transmission light satisf</w:t>
      </w:r>
      <w:r w:rsidRPr="005B7419">
        <w:rPr>
          <w:rFonts w:hint="eastAsia"/>
          <w:color w:val="auto"/>
          <w:sz w:val="21"/>
          <w:szCs w:val="21"/>
        </w:rPr>
        <w:t>ies</w:t>
      </w:r>
      <w:r w:rsidRPr="005B7419">
        <w:rPr>
          <w:color w:val="auto"/>
          <w:sz w:val="21"/>
          <w:szCs w:val="21"/>
        </w:rPr>
        <w:t xml:space="preserve"> the following equation: </w:t>
      </w:r>
    </w:p>
    <w:p w14:paraId="2BB516A3" w14:textId="12812892" w:rsidR="0021404A" w:rsidRPr="005B7419" w:rsidRDefault="00D10D2E" w:rsidP="00D10D2E">
      <w:pPr>
        <w:pStyle w:val="09BodyFirstParagraph"/>
        <w:tabs>
          <w:tab w:val="center" w:pos="5060"/>
          <w:tab w:val="right" w:pos="10120"/>
        </w:tabs>
        <w:rPr>
          <w:color w:val="auto"/>
          <w:sz w:val="21"/>
          <w:szCs w:val="21"/>
        </w:rPr>
      </w:pPr>
      <w:r w:rsidRPr="005B7419">
        <w:rPr>
          <w:color w:val="auto"/>
          <w:sz w:val="21"/>
          <w:szCs w:val="21"/>
        </w:rPr>
        <w:tab/>
      </w:r>
      <w:r w:rsidRPr="005B7419">
        <w:rPr>
          <w:color w:val="auto"/>
          <w:position w:val="-10"/>
          <w:sz w:val="21"/>
          <w:szCs w:val="21"/>
        </w:rPr>
        <w:object w:dxaOrig="1704" w:dyaOrig="312" w14:anchorId="5CB817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5.45pt;height:15.8pt" o:ole="">
            <v:imagedata r:id="rId8" o:title=""/>
          </v:shape>
          <o:OLEObject Type="Embed" ProgID="Equation.DSMT4" ShapeID="_x0000_i1025" DrawAspect="Content" ObjectID="_1753697913" r:id="rId9"/>
        </w:object>
      </w:r>
      <w:r w:rsidR="00CE2B6F" w:rsidRPr="005B7419">
        <w:rPr>
          <w:color w:val="auto"/>
          <w:sz w:val="21"/>
          <w:szCs w:val="21"/>
        </w:rPr>
        <w:tab/>
      </w:r>
      <w:r w:rsidRPr="005B7419">
        <w:rPr>
          <w:color w:val="auto"/>
          <w:sz w:val="21"/>
          <w:szCs w:val="21"/>
        </w:rPr>
        <w:t xml:space="preserve"> (S1)</w:t>
      </w:r>
    </w:p>
    <w:p w14:paraId="5D3244C1" w14:textId="26166763" w:rsidR="0021404A" w:rsidRPr="005B7419" w:rsidRDefault="00C2395A">
      <w:pPr>
        <w:pStyle w:val="09BodyFirstParagraph"/>
        <w:spacing w:before="0"/>
        <w:rPr>
          <w:color w:val="auto"/>
          <w:sz w:val="21"/>
          <w:szCs w:val="21"/>
        </w:rPr>
      </w:pPr>
      <w:bookmarkStart w:id="3" w:name="_Hlk130283180"/>
      <w:r w:rsidRPr="005B7419">
        <w:rPr>
          <w:rFonts w:hint="eastAsia"/>
          <w:color w:val="auto"/>
          <w:sz w:val="21"/>
          <w:szCs w:val="21"/>
          <w:lang w:eastAsia="zh-CN"/>
        </w:rPr>
        <w:t>w</w:t>
      </w:r>
      <w:r w:rsidRPr="005B7419">
        <w:rPr>
          <w:color w:val="auto"/>
          <w:sz w:val="21"/>
          <w:szCs w:val="21"/>
        </w:rPr>
        <w:t xml:space="preserve">here </w:t>
      </w:r>
      <w:r w:rsidRPr="005B7419">
        <w:rPr>
          <w:b/>
          <w:bCs/>
          <w:i/>
          <w:iCs/>
          <w:color w:val="auto"/>
          <w:sz w:val="21"/>
          <w:szCs w:val="21"/>
        </w:rPr>
        <w:t>K</w:t>
      </w:r>
      <w:r w:rsidRPr="005B7419">
        <w:rPr>
          <w:i/>
          <w:iCs/>
          <w:color w:val="auto"/>
          <w:sz w:val="21"/>
          <w:szCs w:val="21"/>
          <w:vertAlign w:val="subscript"/>
        </w:rPr>
        <w:t>out</w:t>
      </w:r>
      <w:r w:rsidRPr="005B7419">
        <w:rPr>
          <w:i/>
          <w:iCs/>
          <w:color w:val="auto"/>
          <w:sz w:val="21"/>
          <w:szCs w:val="21"/>
        </w:rPr>
        <w:t>/</w:t>
      </w:r>
      <w:r w:rsidRPr="005B7419">
        <w:rPr>
          <w:b/>
          <w:bCs/>
          <w:i/>
          <w:iCs/>
          <w:color w:val="auto"/>
          <w:sz w:val="21"/>
          <w:szCs w:val="21"/>
        </w:rPr>
        <w:t>K</w:t>
      </w:r>
      <w:r w:rsidRPr="005B7419">
        <w:rPr>
          <w:i/>
          <w:iCs/>
          <w:color w:val="auto"/>
          <w:sz w:val="21"/>
          <w:szCs w:val="21"/>
          <w:vertAlign w:val="subscript"/>
        </w:rPr>
        <w:t>in</w:t>
      </w:r>
      <w:r w:rsidRPr="005B7419">
        <w:rPr>
          <w:color w:val="auto"/>
          <w:sz w:val="21"/>
          <w:szCs w:val="21"/>
        </w:rPr>
        <w:t xml:space="preserve"> is the transverse wavevector of transmissive/incident light, and </w:t>
      </w:r>
      <w:r w:rsidRPr="005B7419">
        <w:rPr>
          <w:b/>
          <w:bCs/>
          <w:i/>
          <w:iCs/>
          <w:color w:val="auto"/>
          <w:sz w:val="21"/>
          <w:szCs w:val="21"/>
        </w:rPr>
        <w:t>G</w:t>
      </w:r>
      <w:r w:rsidRPr="005B7419">
        <w:rPr>
          <w:i/>
          <w:iCs/>
          <w:color w:val="auto"/>
          <w:sz w:val="21"/>
          <w:szCs w:val="21"/>
          <w:vertAlign w:val="subscript"/>
        </w:rPr>
        <w:t>1/2</w:t>
      </w:r>
      <w:r w:rsidRPr="005B7419">
        <w:rPr>
          <w:color w:val="auto"/>
          <w:sz w:val="21"/>
          <w:szCs w:val="21"/>
        </w:rPr>
        <w:t xml:space="preserve"> is the transverse wavevector of two </w:t>
      </w:r>
      <w:r w:rsidR="004723CB" w:rsidRPr="005B7419">
        <w:rPr>
          <w:color w:val="auto"/>
          <w:sz w:val="21"/>
          <w:szCs w:val="21"/>
        </w:rPr>
        <w:t>catenary-like</w:t>
      </w:r>
      <w:r w:rsidRPr="005B7419">
        <w:rPr>
          <w:color w:val="auto"/>
          <w:sz w:val="21"/>
          <w:szCs w:val="21"/>
        </w:rPr>
        <w:t xml:space="preserve"> metasurfaces.</w:t>
      </w:r>
      <w:bookmarkEnd w:id="3"/>
      <w:r w:rsidRPr="005B7419">
        <w:rPr>
          <w:color w:val="auto"/>
          <w:sz w:val="21"/>
          <w:szCs w:val="21"/>
        </w:rPr>
        <w:t xml:space="preserve"> </w:t>
      </w:r>
      <w:r w:rsidRPr="005B7419">
        <w:rPr>
          <w:b/>
          <w:bCs/>
          <w:i/>
          <w:iCs/>
          <w:color w:val="auto"/>
          <w:sz w:val="21"/>
          <w:szCs w:val="21"/>
        </w:rPr>
        <w:t>K</w:t>
      </w:r>
      <w:r w:rsidRPr="005B7419">
        <w:rPr>
          <w:i/>
          <w:iCs/>
          <w:color w:val="auto"/>
          <w:sz w:val="21"/>
          <w:szCs w:val="21"/>
          <w:vertAlign w:val="subscript"/>
        </w:rPr>
        <w:t>in</w:t>
      </w:r>
      <w:r w:rsidRPr="005B7419">
        <w:rPr>
          <w:color w:val="auto"/>
          <w:sz w:val="21"/>
          <w:szCs w:val="21"/>
        </w:rPr>
        <w:t xml:space="preserve"> and</w:t>
      </w:r>
      <w:r w:rsidRPr="005B7419">
        <w:rPr>
          <w:b/>
          <w:bCs/>
          <w:i/>
          <w:iCs/>
          <w:color w:val="auto"/>
          <w:sz w:val="21"/>
          <w:szCs w:val="21"/>
        </w:rPr>
        <w:t xml:space="preserve"> G</w:t>
      </w:r>
      <w:r w:rsidRPr="005B7419">
        <w:rPr>
          <w:i/>
          <w:iCs/>
          <w:color w:val="auto"/>
          <w:sz w:val="21"/>
          <w:szCs w:val="21"/>
          <w:vertAlign w:val="subscript"/>
        </w:rPr>
        <w:t xml:space="preserve">1/2 </w:t>
      </w:r>
      <w:r w:rsidRPr="005B7419">
        <w:rPr>
          <w:color w:val="auto"/>
          <w:sz w:val="21"/>
          <w:szCs w:val="21"/>
        </w:rPr>
        <w:t>can be expressed as:</w:t>
      </w:r>
    </w:p>
    <w:p w14:paraId="6C847C46" w14:textId="0585D2F3" w:rsidR="0021404A" w:rsidRPr="005B7419" w:rsidRDefault="00D10D2E" w:rsidP="00D10D2E">
      <w:pPr>
        <w:pStyle w:val="09BodyFirstParagraph"/>
        <w:tabs>
          <w:tab w:val="center" w:pos="5060"/>
          <w:tab w:val="right" w:pos="10120"/>
        </w:tabs>
        <w:rPr>
          <w:color w:val="auto"/>
          <w:sz w:val="21"/>
          <w:szCs w:val="21"/>
        </w:rPr>
      </w:pPr>
      <w:r w:rsidRPr="005B7419">
        <w:rPr>
          <w:color w:val="auto"/>
          <w:sz w:val="21"/>
          <w:szCs w:val="21"/>
        </w:rPr>
        <w:tab/>
      </w:r>
      <w:r w:rsidR="005B43AC" w:rsidRPr="005B7419">
        <w:rPr>
          <w:color w:val="auto"/>
          <w:position w:val="-10"/>
          <w:sz w:val="21"/>
          <w:szCs w:val="21"/>
        </w:rPr>
        <w:object w:dxaOrig="2860" w:dyaOrig="320" w14:anchorId="1D607819">
          <v:shape id="_x0000_i1026" type="#_x0000_t75" alt="" style="width:142.4pt;height:15.8pt" o:ole="">
            <v:imagedata r:id="rId10" o:title=""/>
          </v:shape>
          <o:OLEObject Type="Embed" ProgID="Equation.DSMT4" ShapeID="_x0000_i1026" DrawAspect="Content" ObjectID="_1753697914" r:id="rId11"/>
        </w:object>
      </w:r>
      <w:r w:rsidRPr="005B7419">
        <w:rPr>
          <w:color w:val="auto"/>
          <w:sz w:val="21"/>
          <w:szCs w:val="21"/>
        </w:rPr>
        <w:tab/>
        <w:t>(S2)</w:t>
      </w:r>
    </w:p>
    <w:p w14:paraId="31A0734E" w14:textId="63487F16" w:rsidR="0021404A" w:rsidRPr="005B7419" w:rsidRDefault="00D10D2E" w:rsidP="00D10D2E">
      <w:pPr>
        <w:pStyle w:val="09BodyFirstParagraph"/>
        <w:tabs>
          <w:tab w:val="center" w:pos="5060"/>
          <w:tab w:val="right" w:pos="10120"/>
        </w:tabs>
        <w:ind w:left="719"/>
        <w:rPr>
          <w:color w:val="auto"/>
          <w:sz w:val="21"/>
          <w:szCs w:val="21"/>
        </w:rPr>
      </w:pPr>
      <w:r w:rsidRPr="005B7419">
        <w:rPr>
          <w:color w:val="auto"/>
          <w:sz w:val="21"/>
          <w:szCs w:val="21"/>
        </w:rPr>
        <w:tab/>
      </w:r>
      <w:r w:rsidR="005B43AC" w:rsidRPr="005B7419">
        <w:rPr>
          <w:color w:val="auto"/>
          <w:position w:val="-26"/>
          <w:sz w:val="21"/>
          <w:szCs w:val="21"/>
        </w:rPr>
        <w:object w:dxaOrig="2620" w:dyaOrig="600" w14:anchorId="18EC1101">
          <v:shape id="_x0000_i1027" type="#_x0000_t75" style="width:130.55pt;height:30.05pt" o:ole="">
            <v:imagedata r:id="rId12" o:title=""/>
          </v:shape>
          <o:OLEObject Type="Embed" ProgID="Equation.DSMT4" ShapeID="_x0000_i1027" DrawAspect="Content" ObjectID="_1753697915" r:id="rId13"/>
        </w:object>
      </w:r>
      <w:r w:rsidRPr="005B7419">
        <w:rPr>
          <w:color w:val="auto"/>
          <w:sz w:val="21"/>
          <w:szCs w:val="21"/>
        </w:rPr>
        <w:tab/>
        <w:t>(S3)</w:t>
      </w:r>
    </w:p>
    <w:p w14:paraId="73744422" w14:textId="443E4DF5" w:rsidR="0021404A" w:rsidRPr="005B7419" w:rsidRDefault="00D10D2E" w:rsidP="00D10D2E">
      <w:pPr>
        <w:pStyle w:val="09BodyFirstParagraph"/>
        <w:tabs>
          <w:tab w:val="center" w:pos="5060"/>
          <w:tab w:val="right" w:pos="10120"/>
        </w:tabs>
        <w:rPr>
          <w:color w:val="auto"/>
          <w:sz w:val="21"/>
          <w:szCs w:val="21"/>
        </w:rPr>
      </w:pPr>
      <w:r w:rsidRPr="005B7419">
        <w:rPr>
          <w:color w:val="auto"/>
          <w:sz w:val="21"/>
          <w:szCs w:val="21"/>
        </w:rPr>
        <w:tab/>
      </w:r>
      <w:r w:rsidR="006747C4" w:rsidRPr="005B7419">
        <w:rPr>
          <w:color w:val="auto"/>
          <w:position w:val="-26"/>
          <w:sz w:val="21"/>
          <w:szCs w:val="21"/>
        </w:rPr>
        <w:object w:dxaOrig="2799" w:dyaOrig="600" w14:anchorId="33551680">
          <v:shape id="_x0000_i1028" type="#_x0000_t75" style="width:140.05pt;height:30.05pt" o:ole="">
            <v:imagedata r:id="rId14" o:title=""/>
          </v:shape>
          <o:OLEObject Type="Embed" ProgID="Equation.DSMT4" ShapeID="_x0000_i1028" DrawAspect="Content" ObjectID="_1753697916" r:id="rId15"/>
        </w:object>
      </w:r>
      <w:r w:rsidRPr="005B7419">
        <w:rPr>
          <w:color w:val="auto"/>
          <w:sz w:val="21"/>
          <w:szCs w:val="21"/>
        </w:rPr>
        <w:tab/>
        <w:t>(S4)</w:t>
      </w:r>
    </w:p>
    <w:p w14:paraId="4E66D386" w14:textId="1E23FE5D" w:rsidR="0021404A" w:rsidRPr="005B7419" w:rsidRDefault="00C2395A">
      <w:pPr>
        <w:pStyle w:val="09BodyFirstParagraph"/>
        <w:spacing w:before="0"/>
        <w:rPr>
          <w:color w:val="auto"/>
          <w:sz w:val="21"/>
          <w:szCs w:val="21"/>
        </w:rPr>
      </w:pPr>
      <w:bookmarkStart w:id="4" w:name="_Hlk119933603"/>
      <w:r w:rsidRPr="005B7419">
        <w:rPr>
          <w:color w:val="auto"/>
          <w:sz w:val="21"/>
          <w:szCs w:val="21"/>
        </w:rPr>
        <w:t xml:space="preserve">where </w:t>
      </w:r>
      <w:r w:rsidRPr="005B7419">
        <w:rPr>
          <w:rFonts w:cs="Times New Roman"/>
          <w:i/>
          <w:iCs/>
          <w:color w:val="auto"/>
          <w:sz w:val="21"/>
          <w:szCs w:val="21"/>
          <w:lang w:eastAsia="zh-CN"/>
        </w:rPr>
        <w:t>k</w:t>
      </w:r>
      <w:r w:rsidRPr="005B7419">
        <w:rPr>
          <w:rFonts w:cs="Times New Roman"/>
          <w:i/>
          <w:iCs/>
          <w:color w:val="auto"/>
          <w:sz w:val="21"/>
          <w:szCs w:val="21"/>
          <w:vertAlign w:val="subscript"/>
          <w:lang w:eastAsia="zh-CN"/>
        </w:rPr>
        <w:t>0</w:t>
      </w:r>
      <w:r w:rsidRPr="005B7419">
        <w:rPr>
          <w:rFonts w:cs="Times New Roman"/>
          <w:i/>
          <w:iCs/>
          <w:color w:val="auto"/>
          <w:sz w:val="21"/>
          <w:szCs w:val="21"/>
          <w:lang w:eastAsia="zh-CN"/>
        </w:rPr>
        <w:t xml:space="preserve"> = 2</w:t>
      </w:r>
      <w:r w:rsidRPr="005B7419">
        <w:rPr>
          <w:rFonts w:eastAsia="微软雅黑" w:cs="Times New Roman"/>
          <w:i/>
          <w:iCs/>
          <w:color w:val="auto"/>
          <w:sz w:val="21"/>
          <w:szCs w:val="21"/>
          <w:lang w:eastAsia="zh-CN"/>
        </w:rPr>
        <w:t>π</w:t>
      </w:r>
      <w:r w:rsidRPr="005B7419">
        <w:rPr>
          <w:rFonts w:eastAsia="微软雅黑" w:cs="Times New Roman" w:hint="eastAsia"/>
          <w:i/>
          <w:iCs/>
          <w:color w:val="auto"/>
          <w:sz w:val="21"/>
          <w:szCs w:val="21"/>
          <w:lang w:eastAsia="zh-CN"/>
        </w:rPr>
        <w:t xml:space="preserve"> </w:t>
      </w:r>
      <w:r w:rsidRPr="005B7419">
        <w:rPr>
          <w:rFonts w:cs="Times New Roman"/>
          <w:i/>
          <w:iCs/>
          <w:color w:val="auto"/>
          <w:sz w:val="21"/>
          <w:szCs w:val="21"/>
          <w:lang w:eastAsia="zh-CN"/>
        </w:rPr>
        <w:t xml:space="preserve">/ </w:t>
      </w:r>
      <w:r w:rsidRPr="005B7419">
        <w:rPr>
          <w:rFonts w:cs="Times New Roman"/>
          <w:i/>
          <w:iCs/>
          <w:color w:val="auto"/>
          <w:sz w:val="21"/>
          <w:szCs w:val="21"/>
        </w:rPr>
        <w:t>λ</w:t>
      </w:r>
      <w:r w:rsidRPr="005B7419">
        <w:rPr>
          <w:color w:val="auto"/>
          <w:sz w:val="21"/>
          <w:szCs w:val="21"/>
        </w:rPr>
        <w:t xml:space="preserve"> indicates the wavevector of </w:t>
      </w:r>
      <w:r w:rsidR="008245DA" w:rsidRPr="005B7419">
        <w:rPr>
          <w:color w:val="auto"/>
          <w:sz w:val="21"/>
          <w:szCs w:val="21"/>
        </w:rPr>
        <w:t xml:space="preserve">the </w:t>
      </w:r>
      <w:r w:rsidRPr="005B7419">
        <w:rPr>
          <w:color w:val="auto"/>
          <w:sz w:val="21"/>
          <w:szCs w:val="21"/>
        </w:rPr>
        <w:t>incident light,</w:t>
      </w:r>
      <w:r w:rsidRPr="005B7419">
        <w:rPr>
          <w:i/>
          <w:color w:val="auto"/>
          <w:sz w:val="21"/>
          <w:szCs w:val="21"/>
        </w:rPr>
        <w:t xml:space="preserve"> λ</w:t>
      </w:r>
      <w:r w:rsidRPr="005B7419">
        <w:rPr>
          <w:color w:val="auto"/>
          <w:sz w:val="21"/>
          <w:szCs w:val="21"/>
        </w:rPr>
        <w:t xml:space="preserve"> is the wavelength, </w:t>
      </w:r>
      <w:r w:rsidRPr="005B7419">
        <w:rPr>
          <w:i/>
          <w:iCs/>
          <w:color w:val="auto"/>
          <w:sz w:val="21"/>
          <w:szCs w:val="21"/>
        </w:rPr>
        <w:t>ξ</w:t>
      </w:r>
      <w:r w:rsidRPr="005B7419">
        <w:rPr>
          <w:color w:val="auto"/>
          <w:sz w:val="21"/>
          <w:szCs w:val="21"/>
        </w:rPr>
        <w:t xml:space="preserve"> is the </w:t>
      </w:r>
      <w:r w:rsidR="00354429" w:rsidRPr="005B7419">
        <w:rPr>
          <w:color w:val="auto"/>
          <w:sz w:val="21"/>
          <w:szCs w:val="21"/>
        </w:rPr>
        <w:t>field of view (</w:t>
      </w:r>
      <w:r w:rsidRPr="005B7419">
        <w:rPr>
          <w:color w:val="auto"/>
          <w:sz w:val="21"/>
          <w:szCs w:val="21"/>
        </w:rPr>
        <w:t>FOV</w:t>
      </w:r>
      <w:r w:rsidR="00354429" w:rsidRPr="005B7419">
        <w:rPr>
          <w:color w:val="auto"/>
          <w:sz w:val="21"/>
          <w:szCs w:val="21"/>
        </w:rPr>
        <w:t>)</w:t>
      </w:r>
      <w:r w:rsidRPr="005B7419">
        <w:rPr>
          <w:color w:val="auto"/>
          <w:sz w:val="21"/>
          <w:szCs w:val="21"/>
        </w:rPr>
        <w:t xml:space="preserve"> angle between the incident light and the </w:t>
      </w:r>
      <w:r w:rsidRPr="005B7419">
        <w:rPr>
          <w:i/>
          <w:iCs/>
          <w:color w:val="auto"/>
          <w:sz w:val="21"/>
          <w:szCs w:val="21"/>
        </w:rPr>
        <w:t>z</w:t>
      </w:r>
      <w:r w:rsidRPr="005B7419">
        <w:rPr>
          <w:color w:val="auto"/>
          <w:sz w:val="21"/>
          <w:szCs w:val="21"/>
        </w:rPr>
        <w:t xml:space="preserve">-direction, </w:t>
      </w:r>
      <w:r w:rsidRPr="005B7419">
        <w:rPr>
          <w:i/>
          <w:iCs/>
          <w:color w:val="auto"/>
          <w:sz w:val="21"/>
          <w:szCs w:val="21"/>
        </w:rPr>
        <w:t>φ</w:t>
      </w:r>
      <w:r w:rsidRPr="005B7419">
        <w:rPr>
          <w:color w:val="auto"/>
          <w:sz w:val="21"/>
          <w:szCs w:val="21"/>
        </w:rPr>
        <w:t xml:space="preserve"> is the azimuth angle of its projection on the </w:t>
      </w:r>
      <w:r w:rsidRPr="005B7419">
        <w:rPr>
          <w:i/>
          <w:iCs/>
          <w:color w:val="auto"/>
          <w:sz w:val="21"/>
          <w:szCs w:val="21"/>
        </w:rPr>
        <w:t>xy</w:t>
      </w:r>
      <w:r w:rsidRPr="005B7419">
        <w:rPr>
          <w:color w:val="auto"/>
          <w:sz w:val="21"/>
          <w:szCs w:val="21"/>
        </w:rPr>
        <w:t xml:space="preserve">-plane, </w:t>
      </w:r>
      <w:r w:rsidRPr="005B7419">
        <w:rPr>
          <w:i/>
          <w:color w:val="auto"/>
          <w:sz w:val="21"/>
          <w:szCs w:val="21"/>
        </w:rPr>
        <w:t>p</w:t>
      </w:r>
      <w:r w:rsidRPr="005B7419">
        <w:rPr>
          <w:color w:val="auto"/>
          <w:sz w:val="21"/>
          <w:szCs w:val="21"/>
        </w:rPr>
        <w:t xml:space="preserve"> is the catenary period, and the sign of +/- depend</w:t>
      </w:r>
      <w:r w:rsidR="008245DA" w:rsidRPr="005B7419">
        <w:rPr>
          <w:color w:val="auto"/>
          <w:sz w:val="21"/>
          <w:szCs w:val="21"/>
        </w:rPr>
        <w:t>s</w:t>
      </w:r>
      <w:r w:rsidRPr="005B7419">
        <w:rPr>
          <w:color w:val="auto"/>
          <w:sz w:val="21"/>
          <w:szCs w:val="21"/>
        </w:rPr>
        <w:t xml:space="preserve"> on the spin state of circularly polarized light. </w:t>
      </w:r>
      <w:bookmarkEnd w:id="4"/>
      <w:r w:rsidRPr="005B7419">
        <w:rPr>
          <w:color w:val="auto"/>
          <w:sz w:val="21"/>
          <w:szCs w:val="21"/>
        </w:rPr>
        <w:t xml:space="preserve">Owing to the spin/polarization-dependent dispersion, one could detect the polarization properties along with spectral detection, which is helpful in artificial object identification. The minus sign outside the brackets of Eq. (S4) is due to the spin flip by </w:t>
      </w:r>
      <w:r w:rsidR="0081015F" w:rsidRPr="005B7419">
        <w:rPr>
          <w:color w:val="auto"/>
          <w:sz w:val="21"/>
          <w:szCs w:val="21"/>
        </w:rPr>
        <w:t>M</w:t>
      </w:r>
      <w:r w:rsidR="00EF7D8F" w:rsidRPr="005B7419">
        <w:rPr>
          <w:color w:val="auto"/>
          <w:sz w:val="21"/>
          <w:szCs w:val="21"/>
        </w:rPr>
        <w:t>1</w:t>
      </w:r>
      <w:r w:rsidRPr="005B7419">
        <w:rPr>
          <w:color w:val="auto"/>
          <w:sz w:val="21"/>
          <w:szCs w:val="21"/>
        </w:rPr>
        <w:t xml:space="preserve">. The wavevector </w:t>
      </w:r>
      <w:r w:rsidRPr="005B7419">
        <w:rPr>
          <w:b/>
          <w:bCs/>
          <w:i/>
          <w:iCs/>
          <w:color w:val="auto"/>
          <w:sz w:val="21"/>
          <w:szCs w:val="21"/>
        </w:rPr>
        <w:t>K</w:t>
      </w:r>
      <w:r w:rsidRPr="005B7419">
        <w:rPr>
          <w:i/>
          <w:iCs/>
          <w:color w:val="auto"/>
          <w:sz w:val="21"/>
          <w:szCs w:val="21"/>
          <w:vertAlign w:val="subscript"/>
        </w:rPr>
        <w:t>out</w:t>
      </w:r>
      <w:r w:rsidRPr="005B7419">
        <w:rPr>
          <w:color w:val="auto"/>
          <w:sz w:val="21"/>
          <w:szCs w:val="21"/>
        </w:rPr>
        <w:t xml:space="preserve"> in the transmission can be expressed as:</w:t>
      </w:r>
    </w:p>
    <w:p w14:paraId="59CD893B" w14:textId="41210852" w:rsidR="0021404A" w:rsidRPr="005B7419" w:rsidRDefault="00D10D2E" w:rsidP="00D10D2E">
      <w:pPr>
        <w:pStyle w:val="09BodyFirstParagraph"/>
        <w:tabs>
          <w:tab w:val="center" w:pos="5060"/>
          <w:tab w:val="right" w:pos="10120"/>
        </w:tabs>
        <w:rPr>
          <w:color w:val="auto"/>
          <w:sz w:val="21"/>
          <w:szCs w:val="21"/>
        </w:rPr>
      </w:pPr>
      <w:r w:rsidRPr="005B7419">
        <w:rPr>
          <w:color w:val="auto"/>
          <w:sz w:val="21"/>
          <w:szCs w:val="21"/>
        </w:rPr>
        <w:tab/>
      </w:r>
      <w:r w:rsidRPr="005B7419">
        <w:rPr>
          <w:color w:val="auto"/>
          <w:position w:val="-26"/>
          <w:sz w:val="21"/>
          <w:szCs w:val="21"/>
        </w:rPr>
        <w:object w:dxaOrig="6552" w:dyaOrig="612" w14:anchorId="624CFCBF">
          <v:shape id="_x0000_i1029" type="#_x0000_t75" style="width:327.55pt;height:30.85pt" o:ole="">
            <v:imagedata r:id="rId16" o:title=""/>
          </v:shape>
          <o:OLEObject Type="Embed" ProgID="Equation.DSMT4" ShapeID="_x0000_i1029" DrawAspect="Content" ObjectID="_1753697917" r:id="rId17"/>
        </w:object>
      </w:r>
      <w:r w:rsidRPr="005B7419">
        <w:rPr>
          <w:color w:val="auto"/>
          <w:sz w:val="21"/>
          <w:szCs w:val="21"/>
        </w:rPr>
        <w:tab/>
        <w:t>(S5)</w:t>
      </w:r>
    </w:p>
    <w:p w14:paraId="3D167633" w14:textId="475AEC54" w:rsidR="0021404A" w:rsidRPr="005B7419" w:rsidRDefault="00112B21">
      <w:pPr>
        <w:pStyle w:val="10BodySubsequentParagraph"/>
        <w:ind w:firstLine="289"/>
        <w:rPr>
          <w:color w:val="auto"/>
          <w:sz w:val="21"/>
          <w:szCs w:val="21"/>
        </w:rPr>
      </w:pPr>
      <w:r w:rsidRPr="005B7419">
        <w:rPr>
          <w:color w:val="auto"/>
          <w:sz w:val="21"/>
          <w:szCs w:val="21"/>
        </w:rPr>
        <w:t xml:space="preserve">To fully collect transmitted light of the reconfigurable element, a broadband achromatic Fourier lens group, consisting of </w:t>
      </w:r>
      <w:r w:rsidR="008245DA" w:rsidRPr="005B7419">
        <w:rPr>
          <w:color w:val="auto"/>
          <w:sz w:val="21"/>
          <w:szCs w:val="21"/>
        </w:rPr>
        <w:t xml:space="preserve">a </w:t>
      </w:r>
      <w:r w:rsidRPr="005B7419">
        <w:rPr>
          <w:color w:val="auto"/>
          <w:sz w:val="21"/>
          <w:szCs w:val="21"/>
        </w:rPr>
        <w:t xml:space="preserve">refractive Fourier lens and a phase meta-corrector, is employed, whose effective FOV should be larger than the maximum diffraction angle of both the imaging and spectral modes. Here, the landscape lens design is adopted, and the reconfigurable element is placed at the front </w:t>
      </w:r>
      <w:r w:rsidR="008245DA" w:rsidRPr="005B7419">
        <w:rPr>
          <w:color w:val="auto"/>
          <w:sz w:val="21"/>
          <w:szCs w:val="21"/>
        </w:rPr>
        <w:t xml:space="preserve">of </w:t>
      </w:r>
      <w:r w:rsidRPr="005B7419">
        <w:rPr>
          <w:color w:val="auto"/>
          <w:sz w:val="21"/>
          <w:szCs w:val="21"/>
        </w:rPr>
        <w:t xml:space="preserve">its aperture stop. The chromatic aberration of the refractive Fourier lens with positive dispersion is corrected by the phase meta-corrector with negative dispersion. Let’s assume that such an achromatic Fourier lens group </w:t>
      </w:r>
      <w:r w:rsidR="00AE560B" w:rsidRPr="005B7419">
        <w:rPr>
          <w:color w:val="auto"/>
          <w:sz w:val="21"/>
        </w:rPr>
        <w:t xml:space="preserve">with a focal length of </w:t>
      </w:r>
      <w:r w:rsidR="00AE560B" w:rsidRPr="005B7419">
        <w:rPr>
          <w:i/>
          <w:iCs/>
          <w:color w:val="auto"/>
          <w:sz w:val="21"/>
        </w:rPr>
        <w:t>f</w:t>
      </w:r>
      <w:r w:rsidR="00AE560B" w:rsidRPr="005B7419" w:rsidDel="001E779A">
        <w:rPr>
          <w:color w:val="auto"/>
          <w:sz w:val="21"/>
          <w:szCs w:val="21"/>
        </w:rPr>
        <w:t xml:space="preserve"> </w:t>
      </w:r>
      <w:r w:rsidRPr="005B7419">
        <w:rPr>
          <w:color w:val="auto"/>
          <w:sz w:val="21"/>
          <w:szCs w:val="21"/>
        </w:rPr>
        <w:t>allows an ideal focus shift as:</w:t>
      </w:r>
    </w:p>
    <w:p w14:paraId="21C14D3C" w14:textId="3F4DAB08" w:rsidR="0021404A" w:rsidRPr="005B7419" w:rsidRDefault="00D10D2E" w:rsidP="00D10D2E">
      <w:pPr>
        <w:pStyle w:val="09BodyFirstParagraph"/>
        <w:tabs>
          <w:tab w:val="center" w:pos="5060"/>
          <w:tab w:val="right" w:pos="10120"/>
        </w:tabs>
        <w:rPr>
          <w:color w:val="auto"/>
          <w:sz w:val="21"/>
          <w:szCs w:val="21"/>
        </w:rPr>
      </w:pPr>
      <w:r w:rsidRPr="005B7419">
        <w:rPr>
          <w:color w:val="auto"/>
          <w:sz w:val="21"/>
          <w:szCs w:val="21"/>
        </w:rPr>
        <w:lastRenderedPageBreak/>
        <w:tab/>
      </w:r>
      <w:r w:rsidR="003F56EC" w:rsidRPr="005B7419">
        <w:rPr>
          <w:color w:val="auto"/>
          <w:position w:val="-46"/>
          <w:szCs w:val="20"/>
        </w:rPr>
        <w:object w:dxaOrig="6680" w:dyaOrig="1020" w14:anchorId="16189106">
          <v:shape id="_x0000_i1030" type="#_x0000_t75" style="width:333.9pt;height:50.65pt" o:ole="">
            <v:imagedata r:id="rId18" o:title=""/>
          </v:shape>
          <o:OLEObject Type="Embed" ProgID="Equation.DSMT4" ShapeID="_x0000_i1030" DrawAspect="Content" ObjectID="_1753697918" r:id="rId19"/>
        </w:object>
      </w:r>
      <w:r w:rsidRPr="005B7419">
        <w:rPr>
          <w:color w:val="auto"/>
          <w:sz w:val="21"/>
          <w:szCs w:val="21"/>
        </w:rPr>
        <w:tab/>
        <w:t>(S6)</w:t>
      </w:r>
    </w:p>
    <w:p w14:paraId="0FBCADF3" w14:textId="6305C5F1" w:rsidR="0021404A" w:rsidRPr="005B7419" w:rsidRDefault="00C2395A">
      <w:pPr>
        <w:pStyle w:val="10BodySubsequentParagraph"/>
        <w:ind w:firstLine="289"/>
        <w:rPr>
          <w:color w:val="auto"/>
          <w:sz w:val="21"/>
          <w:szCs w:val="21"/>
        </w:rPr>
      </w:pPr>
      <w:r w:rsidRPr="005B7419">
        <w:rPr>
          <w:color w:val="auto"/>
          <w:sz w:val="21"/>
          <w:szCs w:val="21"/>
        </w:rPr>
        <w:t xml:space="preserve">By controlling the rotation angles of </w:t>
      </w:r>
      <w:r w:rsidRPr="005B7419">
        <w:rPr>
          <w:i/>
          <w:iCs/>
          <w:color w:val="auto"/>
          <w:sz w:val="21"/>
          <w:szCs w:val="21"/>
        </w:rPr>
        <w:t>θ</w:t>
      </w:r>
      <w:r w:rsidRPr="005B7419">
        <w:rPr>
          <w:i/>
          <w:iCs/>
          <w:color w:val="auto"/>
          <w:sz w:val="21"/>
          <w:szCs w:val="21"/>
          <w:vertAlign w:val="subscript"/>
        </w:rPr>
        <w:t>1</w:t>
      </w:r>
      <w:r w:rsidRPr="005B7419">
        <w:rPr>
          <w:color w:val="auto"/>
          <w:sz w:val="21"/>
          <w:szCs w:val="21"/>
        </w:rPr>
        <w:t xml:space="preserve"> and </w:t>
      </w:r>
      <w:r w:rsidRPr="005B7419">
        <w:rPr>
          <w:i/>
          <w:iCs/>
          <w:color w:val="auto"/>
          <w:sz w:val="21"/>
          <w:szCs w:val="21"/>
        </w:rPr>
        <w:t>θ</w:t>
      </w:r>
      <w:r w:rsidRPr="005B7419">
        <w:rPr>
          <w:i/>
          <w:iCs/>
          <w:color w:val="auto"/>
          <w:sz w:val="21"/>
          <w:szCs w:val="21"/>
          <w:vertAlign w:val="subscript"/>
        </w:rPr>
        <w:t>2</w:t>
      </w:r>
      <w:r w:rsidRPr="005B7419">
        <w:rPr>
          <w:color w:val="auto"/>
          <w:sz w:val="21"/>
          <w:szCs w:val="21"/>
        </w:rPr>
        <w:t xml:space="preserve">, the reconfigurable element could provide zero and negative frequency dispersion for the two modes. When the difference between </w:t>
      </w:r>
      <w:r w:rsidRPr="005B7419">
        <w:rPr>
          <w:i/>
          <w:iCs/>
          <w:color w:val="auto"/>
          <w:sz w:val="21"/>
          <w:szCs w:val="21"/>
        </w:rPr>
        <w:t>θ</w:t>
      </w:r>
      <w:r w:rsidRPr="005B7419">
        <w:rPr>
          <w:i/>
          <w:iCs/>
          <w:color w:val="auto"/>
          <w:sz w:val="21"/>
          <w:szCs w:val="21"/>
          <w:vertAlign w:val="subscript"/>
        </w:rPr>
        <w:t>1</w:t>
      </w:r>
      <w:r w:rsidRPr="005B7419">
        <w:rPr>
          <w:color w:val="auto"/>
          <w:sz w:val="21"/>
          <w:szCs w:val="21"/>
        </w:rPr>
        <w:t xml:space="preserve"> and </w:t>
      </w:r>
      <w:r w:rsidRPr="005B7419">
        <w:rPr>
          <w:i/>
          <w:iCs/>
          <w:color w:val="auto"/>
          <w:sz w:val="21"/>
          <w:szCs w:val="21"/>
        </w:rPr>
        <w:t>θ</w:t>
      </w:r>
      <w:r w:rsidRPr="005B7419">
        <w:rPr>
          <w:i/>
          <w:iCs/>
          <w:color w:val="auto"/>
          <w:sz w:val="21"/>
          <w:szCs w:val="21"/>
          <w:vertAlign w:val="subscript"/>
        </w:rPr>
        <w:t>2</w:t>
      </w:r>
      <w:r w:rsidRPr="005B7419">
        <w:rPr>
          <w:color w:val="auto"/>
          <w:sz w:val="21"/>
          <w:szCs w:val="21"/>
        </w:rPr>
        <w:t xml:space="preserve"> is 0, corresponding to the imaging mode, the focus shift (</w:t>
      </w:r>
      <w:r w:rsidRPr="005B7419">
        <w:rPr>
          <w:i/>
          <w:iCs/>
          <w:color w:val="auto"/>
          <w:sz w:val="21"/>
          <w:szCs w:val="21"/>
        </w:rPr>
        <w:t>s</w:t>
      </w:r>
      <w:r w:rsidRPr="005B7419">
        <w:rPr>
          <w:i/>
          <w:iCs/>
          <w:color w:val="auto"/>
          <w:sz w:val="21"/>
          <w:szCs w:val="21"/>
          <w:vertAlign w:val="subscript"/>
        </w:rPr>
        <w:t>x</w:t>
      </w:r>
      <w:r w:rsidRPr="005B7419">
        <w:rPr>
          <w:color w:val="auto"/>
          <w:sz w:val="21"/>
          <w:szCs w:val="21"/>
        </w:rPr>
        <w:t xml:space="preserve"> and </w:t>
      </w:r>
      <w:r w:rsidRPr="005B7419">
        <w:rPr>
          <w:i/>
          <w:iCs/>
          <w:color w:val="auto"/>
          <w:sz w:val="21"/>
          <w:szCs w:val="21"/>
        </w:rPr>
        <w:t>s</w:t>
      </w:r>
      <w:r w:rsidRPr="005B7419">
        <w:rPr>
          <w:i/>
          <w:iCs/>
          <w:color w:val="auto"/>
          <w:sz w:val="21"/>
          <w:szCs w:val="21"/>
          <w:vertAlign w:val="subscript"/>
        </w:rPr>
        <w:t>y</w:t>
      </w:r>
      <w:r w:rsidRPr="005B7419">
        <w:rPr>
          <w:color w:val="auto"/>
          <w:sz w:val="21"/>
          <w:szCs w:val="21"/>
        </w:rPr>
        <w:t xml:space="preserve">) on the image plane is independent of wavelength and only depends on the FOV and azimuthal angle of </w:t>
      </w:r>
      <w:r w:rsidRPr="005B7419">
        <w:rPr>
          <w:i/>
          <w:iCs/>
          <w:color w:val="auto"/>
          <w:sz w:val="21"/>
          <w:szCs w:val="21"/>
        </w:rPr>
        <w:t>ξ</w:t>
      </w:r>
      <w:r w:rsidRPr="005B7419">
        <w:rPr>
          <w:color w:val="auto"/>
          <w:sz w:val="21"/>
          <w:szCs w:val="21"/>
        </w:rPr>
        <w:t xml:space="preserve"> and </w:t>
      </w:r>
      <w:r w:rsidRPr="005B7419">
        <w:rPr>
          <w:i/>
          <w:iCs/>
          <w:color w:val="auto"/>
          <w:sz w:val="21"/>
          <w:szCs w:val="21"/>
        </w:rPr>
        <w:t>φ</w:t>
      </w:r>
      <w:r w:rsidRPr="005B7419">
        <w:rPr>
          <w:color w:val="auto"/>
          <w:sz w:val="21"/>
          <w:szCs w:val="21"/>
        </w:rPr>
        <w:t xml:space="preserve">. In this case, the meta-optical system works as a broadband large-FOV imager. In contrast, </w:t>
      </w:r>
      <w:r w:rsidR="00F92A96" w:rsidRPr="005B7419">
        <w:rPr>
          <w:color w:val="auto"/>
          <w:sz w:val="21"/>
          <w:szCs w:val="21"/>
        </w:rPr>
        <w:t xml:space="preserve">M1 or M2 is rotated to make </w:t>
      </w:r>
      <w:r w:rsidR="00F92A96" w:rsidRPr="005B7419">
        <w:rPr>
          <w:i/>
          <w:color w:val="auto"/>
          <w:sz w:val="21"/>
          <w:szCs w:val="21"/>
        </w:rPr>
        <w:t>θ</w:t>
      </w:r>
      <w:r w:rsidR="00F92A96" w:rsidRPr="005B7419">
        <w:rPr>
          <w:i/>
          <w:color w:val="auto"/>
          <w:sz w:val="21"/>
          <w:szCs w:val="21"/>
          <w:vertAlign w:val="subscript"/>
        </w:rPr>
        <w:t>1</w:t>
      </w:r>
      <w:r w:rsidR="00F92A96" w:rsidRPr="005B7419">
        <w:rPr>
          <w:color w:val="auto"/>
          <w:sz w:val="21"/>
          <w:szCs w:val="21"/>
        </w:rPr>
        <w:t xml:space="preserve"> ≠ </w:t>
      </w:r>
      <w:r w:rsidR="00F92A96" w:rsidRPr="005B7419">
        <w:rPr>
          <w:i/>
          <w:color w:val="auto"/>
          <w:sz w:val="21"/>
          <w:szCs w:val="21"/>
        </w:rPr>
        <w:t>θ</w:t>
      </w:r>
      <w:r w:rsidR="00F92A96" w:rsidRPr="005B7419">
        <w:rPr>
          <w:i/>
          <w:color w:val="auto"/>
          <w:sz w:val="21"/>
          <w:szCs w:val="21"/>
          <w:vertAlign w:val="subscript"/>
        </w:rPr>
        <w:t>2</w:t>
      </w:r>
      <w:r w:rsidRPr="005B7419">
        <w:rPr>
          <w:color w:val="auto"/>
          <w:sz w:val="21"/>
          <w:szCs w:val="21"/>
        </w:rPr>
        <w:t xml:space="preserve"> the incident light rays from the same FOV will have a wavelength-spin-dependent focus shift in the image plane. The first-order derivative of the focus shift </w:t>
      </w:r>
      <w:r w:rsidR="00A16C55" w:rsidRPr="005B7419">
        <w:rPr>
          <w:color w:val="auto"/>
          <w:sz w:val="21"/>
          <w:szCs w:val="21"/>
        </w:rPr>
        <w:t xml:space="preserve">relative to </w:t>
      </w:r>
      <w:r w:rsidR="00A16C55" w:rsidRPr="005B7419">
        <w:rPr>
          <w:i/>
          <w:color w:val="auto"/>
          <w:sz w:val="21"/>
          <w:szCs w:val="21"/>
        </w:rPr>
        <w:t>λ</w:t>
      </w:r>
      <w:r w:rsidR="00A16C55" w:rsidRPr="005B7419">
        <w:rPr>
          <w:color w:val="auto"/>
          <w:sz w:val="21"/>
          <w:szCs w:val="21"/>
        </w:rPr>
        <w:t xml:space="preserve"> </w:t>
      </w:r>
      <w:r w:rsidRPr="005B7419">
        <w:rPr>
          <w:color w:val="auto"/>
          <w:sz w:val="21"/>
          <w:szCs w:val="21"/>
        </w:rPr>
        <w:t>can be written as:</w:t>
      </w:r>
    </w:p>
    <w:p w14:paraId="5469EAC3" w14:textId="16BC3299" w:rsidR="0021404A" w:rsidRPr="005B7419" w:rsidRDefault="00D10D2E" w:rsidP="00D10D2E">
      <w:pPr>
        <w:pStyle w:val="09BodyFirstParagraph"/>
        <w:tabs>
          <w:tab w:val="center" w:pos="5060"/>
          <w:tab w:val="right" w:pos="10120"/>
        </w:tabs>
        <w:rPr>
          <w:color w:val="auto"/>
          <w:sz w:val="21"/>
          <w:szCs w:val="21"/>
        </w:rPr>
      </w:pPr>
      <w:r w:rsidRPr="005B7419">
        <w:rPr>
          <w:color w:val="auto"/>
          <w:sz w:val="21"/>
          <w:szCs w:val="21"/>
        </w:rPr>
        <w:tab/>
      </w:r>
      <w:r w:rsidR="00FC3C4F" w:rsidRPr="005B7419">
        <w:rPr>
          <w:color w:val="auto"/>
          <w:position w:val="-60"/>
          <w:sz w:val="21"/>
          <w:szCs w:val="21"/>
        </w:rPr>
        <w:object w:dxaOrig="4660" w:dyaOrig="1300" w14:anchorId="2CB0D02E">
          <v:shape id="_x0000_i1031" type="#_x0000_t75" style="width:233.4pt;height:64.9pt" o:ole="">
            <v:imagedata r:id="rId20" o:title=""/>
          </v:shape>
          <o:OLEObject Type="Embed" ProgID="Equation.DSMT4" ShapeID="_x0000_i1031" DrawAspect="Content" ObjectID="_1753697919" r:id="rId21"/>
        </w:object>
      </w:r>
      <w:r w:rsidRPr="005B7419">
        <w:rPr>
          <w:color w:val="auto"/>
          <w:sz w:val="21"/>
          <w:szCs w:val="21"/>
        </w:rPr>
        <w:tab/>
        <w:t>(S7)</w:t>
      </w:r>
    </w:p>
    <w:p w14:paraId="7E603079" w14:textId="77777777" w:rsidR="0021404A" w:rsidRPr="005B7419" w:rsidRDefault="00C2395A">
      <w:pPr>
        <w:pStyle w:val="10BodySubsequentParagraph"/>
        <w:ind w:firstLine="289"/>
        <w:rPr>
          <w:color w:val="auto"/>
          <w:sz w:val="21"/>
          <w:szCs w:val="21"/>
        </w:rPr>
      </w:pPr>
      <w:r w:rsidRPr="005B7419">
        <w:rPr>
          <w:color w:val="auto"/>
          <w:sz w:val="21"/>
          <w:szCs w:val="21"/>
        </w:rPr>
        <w:t xml:space="preserve">It can be concluded that </w:t>
      </w:r>
      <w:bookmarkStart w:id="5" w:name="_Hlk119934869"/>
      <w:r w:rsidRPr="005B7419">
        <w:rPr>
          <w:color w:val="auto"/>
          <w:sz w:val="21"/>
          <w:szCs w:val="21"/>
        </w:rPr>
        <w:t>the spectral splitting direction is independent of the incident FOV and wavelength</w:t>
      </w:r>
      <w:bookmarkEnd w:id="5"/>
      <w:r w:rsidRPr="005B7419">
        <w:rPr>
          <w:color w:val="auto"/>
          <w:sz w:val="21"/>
          <w:szCs w:val="21"/>
        </w:rPr>
        <w:t xml:space="preserve">, which </w:t>
      </w:r>
      <w:bookmarkStart w:id="6" w:name="_Hlk119934915"/>
      <w:r w:rsidRPr="005B7419">
        <w:rPr>
          <w:rFonts w:hint="eastAsia"/>
          <w:color w:val="auto"/>
          <w:sz w:val="21"/>
          <w:szCs w:val="21"/>
        </w:rPr>
        <w:t xml:space="preserve">is conducive to </w:t>
      </w:r>
      <w:r w:rsidRPr="005B7419">
        <w:rPr>
          <w:color w:val="auto"/>
          <w:sz w:val="21"/>
          <w:szCs w:val="21"/>
        </w:rPr>
        <w:t>extracting spectral information</w:t>
      </w:r>
      <w:bookmarkEnd w:id="6"/>
      <w:r w:rsidRPr="005B7419">
        <w:rPr>
          <w:color w:val="auto"/>
          <w:sz w:val="21"/>
          <w:szCs w:val="21"/>
        </w:rPr>
        <w:t xml:space="preserve">. </w:t>
      </w:r>
      <w:bookmarkStart w:id="7" w:name="_Hlk120043239"/>
      <w:r w:rsidRPr="005B7419">
        <w:rPr>
          <w:color w:val="auto"/>
          <w:sz w:val="21"/>
          <w:szCs w:val="21"/>
        </w:rPr>
        <w:t xml:space="preserve">The spectral splitting orientation of </w:t>
      </w:r>
      <w:r w:rsidRPr="005B7419">
        <w:rPr>
          <w:i/>
          <w:iCs/>
          <w:color w:val="auto"/>
          <w:sz w:val="21"/>
          <w:szCs w:val="21"/>
        </w:rPr>
        <w:t>β</w:t>
      </w:r>
      <w:r w:rsidRPr="005B7419">
        <w:rPr>
          <w:color w:val="auto"/>
          <w:sz w:val="21"/>
          <w:szCs w:val="21"/>
        </w:rPr>
        <w:t xml:space="preserve"> along the </w:t>
      </w:r>
      <w:r w:rsidRPr="005B7419">
        <w:rPr>
          <w:i/>
          <w:iCs/>
          <w:color w:val="auto"/>
          <w:sz w:val="21"/>
          <w:szCs w:val="21"/>
        </w:rPr>
        <w:t>x</w:t>
      </w:r>
      <w:r w:rsidRPr="005B7419">
        <w:rPr>
          <w:color w:val="auto"/>
          <w:sz w:val="21"/>
          <w:szCs w:val="21"/>
        </w:rPr>
        <w:t>-direction is determined by:</w:t>
      </w:r>
      <w:bookmarkEnd w:id="7"/>
    </w:p>
    <w:p w14:paraId="4B3098E7" w14:textId="16D20F97" w:rsidR="0021404A" w:rsidRPr="005B7419" w:rsidRDefault="00D10D2E" w:rsidP="00D10D2E">
      <w:pPr>
        <w:pStyle w:val="09BodyFirstParagraph"/>
        <w:tabs>
          <w:tab w:val="center" w:pos="5060"/>
          <w:tab w:val="right" w:pos="10120"/>
        </w:tabs>
        <w:rPr>
          <w:color w:val="auto"/>
          <w:sz w:val="21"/>
          <w:szCs w:val="21"/>
        </w:rPr>
      </w:pPr>
      <w:r w:rsidRPr="005B7419">
        <w:rPr>
          <w:color w:val="auto"/>
          <w:sz w:val="21"/>
          <w:szCs w:val="21"/>
        </w:rPr>
        <w:tab/>
      </w:r>
      <w:r w:rsidRPr="005B7419">
        <w:rPr>
          <w:rFonts w:hint="eastAsia"/>
          <w:color w:val="auto"/>
          <w:sz w:val="21"/>
          <w:szCs w:val="21"/>
          <w:lang w:eastAsia="zh-CN"/>
        </w:rPr>
        <w:t xml:space="preserve"> </w:t>
      </w:r>
      <w:r w:rsidR="00AD24B9" w:rsidRPr="005B7419">
        <w:rPr>
          <w:color w:val="auto"/>
          <w:position w:val="-28"/>
          <w:sz w:val="21"/>
          <w:szCs w:val="21"/>
        </w:rPr>
        <w:object w:dxaOrig="2439" w:dyaOrig="660" w14:anchorId="162F3959">
          <v:shape id="_x0000_i1032" type="#_x0000_t75" style="width:121.85pt;height:32.45pt" o:ole="">
            <v:imagedata r:id="rId22" o:title=""/>
          </v:shape>
          <o:OLEObject Type="Embed" ProgID="Equation.DSMT4" ShapeID="_x0000_i1032" DrawAspect="Content" ObjectID="_1753697920" r:id="rId23"/>
        </w:object>
      </w:r>
      <w:r w:rsidRPr="005B7419">
        <w:rPr>
          <w:color w:val="auto"/>
          <w:sz w:val="21"/>
          <w:szCs w:val="21"/>
        </w:rPr>
        <w:tab/>
        <w:t>(S8)</w:t>
      </w:r>
    </w:p>
    <w:p w14:paraId="2266B501" w14:textId="77777777" w:rsidR="0021404A" w:rsidRPr="005B7419" w:rsidRDefault="00C2395A">
      <w:pPr>
        <w:pStyle w:val="10BodySubsequentParagraph"/>
        <w:ind w:firstLine="289"/>
        <w:rPr>
          <w:color w:val="auto"/>
          <w:sz w:val="21"/>
          <w:szCs w:val="21"/>
        </w:rPr>
      </w:pPr>
      <w:r w:rsidRPr="005B7419">
        <w:rPr>
          <w:color w:val="auto"/>
          <w:sz w:val="21"/>
          <w:szCs w:val="21"/>
        </w:rPr>
        <w:t xml:space="preserve">According to </w:t>
      </w:r>
      <w:r w:rsidRPr="005B7419">
        <w:rPr>
          <w:rFonts w:hint="eastAsia"/>
          <w:color w:val="auto"/>
          <w:sz w:val="21"/>
          <w:szCs w:val="21"/>
        </w:rPr>
        <w:t>the</w:t>
      </w:r>
      <w:r w:rsidRPr="005B7419">
        <w:rPr>
          <w:color w:val="auto"/>
          <w:sz w:val="21"/>
          <w:szCs w:val="21"/>
        </w:rPr>
        <w:t xml:space="preserve"> Rayleigh criterion, the spectral resolution can be given as:</w:t>
      </w:r>
    </w:p>
    <w:p w14:paraId="593AAE18" w14:textId="30D39103" w:rsidR="0021404A" w:rsidRPr="005B7419" w:rsidRDefault="00D10D2E" w:rsidP="00D10D2E">
      <w:pPr>
        <w:pStyle w:val="09BodyFirstParagraph"/>
        <w:tabs>
          <w:tab w:val="center" w:pos="5060"/>
          <w:tab w:val="right" w:pos="10120"/>
        </w:tabs>
        <w:ind w:left="289"/>
        <w:rPr>
          <w:color w:val="auto"/>
          <w:sz w:val="21"/>
          <w:szCs w:val="21"/>
        </w:rPr>
      </w:pPr>
      <w:r w:rsidRPr="005B7419">
        <w:rPr>
          <w:color w:val="auto"/>
          <w:sz w:val="21"/>
          <w:szCs w:val="21"/>
        </w:rPr>
        <w:tab/>
      </w:r>
      <w:bookmarkStart w:id="8" w:name="_Hlk142126038"/>
      <w:r w:rsidR="00690FE7" w:rsidRPr="005B7419">
        <w:rPr>
          <w:color w:val="auto"/>
          <w:position w:val="-52"/>
          <w:sz w:val="21"/>
          <w:szCs w:val="21"/>
        </w:rPr>
        <w:object w:dxaOrig="2560" w:dyaOrig="859" w14:anchorId="2CB7CD7F">
          <v:shape id="_x0000_i1033" type="#_x0000_t75" style="width:128.2pt;height:43.5pt" o:ole="">
            <v:imagedata r:id="rId24" o:title=""/>
          </v:shape>
          <o:OLEObject Type="Embed" ProgID="Equation.DSMT4" ShapeID="_x0000_i1033" DrawAspect="Content" ObjectID="_1753697921" r:id="rId25"/>
        </w:object>
      </w:r>
      <w:bookmarkEnd w:id="8"/>
      <w:r w:rsidRPr="005B7419">
        <w:rPr>
          <w:color w:val="auto"/>
          <w:sz w:val="21"/>
          <w:szCs w:val="21"/>
        </w:rPr>
        <w:tab/>
        <w:t>(S9)</w:t>
      </w:r>
    </w:p>
    <w:p w14:paraId="3B35BA8B" w14:textId="2E1B0E2C" w:rsidR="0021404A" w:rsidRPr="005B7419" w:rsidRDefault="00C2395A">
      <w:pPr>
        <w:pStyle w:val="09BodyFirstParagraph"/>
        <w:spacing w:before="0"/>
        <w:rPr>
          <w:color w:val="auto"/>
          <w:sz w:val="21"/>
          <w:szCs w:val="21"/>
        </w:rPr>
      </w:pPr>
      <w:r w:rsidRPr="005B7419">
        <w:rPr>
          <w:color w:val="auto"/>
          <w:sz w:val="21"/>
          <w:szCs w:val="21"/>
        </w:rPr>
        <w:t xml:space="preserve">where </w:t>
      </w:r>
      <w:proofErr w:type="spellStart"/>
      <w:r w:rsidRPr="005B7419">
        <w:rPr>
          <w:i/>
          <w:iCs/>
          <w:color w:val="auto"/>
          <w:sz w:val="21"/>
          <w:szCs w:val="21"/>
        </w:rPr>
        <w:t>R</w:t>
      </w:r>
      <w:r w:rsidRPr="00FC3C4F">
        <w:rPr>
          <w:color w:val="auto"/>
          <w:sz w:val="21"/>
          <w:szCs w:val="21"/>
          <w:vertAlign w:val="subscript"/>
        </w:rPr>
        <w:t>Airy</w:t>
      </w:r>
      <w:proofErr w:type="spellEnd"/>
      <w:r w:rsidRPr="005B7419">
        <w:rPr>
          <w:color w:val="auto"/>
          <w:sz w:val="21"/>
          <w:szCs w:val="21"/>
        </w:rPr>
        <w:t xml:space="preserve"> indicates the Airy disk radius and </w:t>
      </w:r>
      <w:r w:rsidRPr="005B7419">
        <w:rPr>
          <w:i/>
          <w:iCs/>
          <w:color w:val="auto"/>
          <w:sz w:val="21"/>
          <w:szCs w:val="21"/>
        </w:rPr>
        <w:t>D</w:t>
      </w:r>
      <w:r w:rsidRPr="005B7419">
        <w:rPr>
          <w:color w:val="auto"/>
          <w:sz w:val="21"/>
          <w:szCs w:val="21"/>
        </w:rPr>
        <w:t xml:space="preserve"> is the effective aperture of the meta-optical system. It is concluded that the spectral resolution and spectral splitting orientation can be independently controlled, which is</w:t>
      </w:r>
      <w:r w:rsidRPr="005B7419">
        <w:rPr>
          <w:rFonts w:hint="eastAsia"/>
          <w:color w:val="auto"/>
          <w:sz w:val="21"/>
          <w:szCs w:val="21"/>
        </w:rPr>
        <w:t xml:space="preserve"> conducive to </w:t>
      </w:r>
      <w:r w:rsidRPr="005B7419">
        <w:rPr>
          <w:color w:val="auto"/>
          <w:sz w:val="21"/>
          <w:szCs w:val="21"/>
        </w:rPr>
        <w:t>avoiding spectral crosstalk among multiple objects.</w:t>
      </w:r>
    </w:p>
    <w:p w14:paraId="7FB5198D" w14:textId="58637EB3" w:rsidR="00FF2981" w:rsidRPr="005B7419" w:rsidRDefault="00FF2981" w:rsidP="00FF2981">
      <w:pPr>
        <w:pStyle w:val="10BodySubsequentParagraph"/>
        <w:ind w:firstLine="289"/>
        <w:rPr>
          <w:color w:val="auto"/>
          <w:sz w:val="21"/>
          <w:szCs w:val="21"/>
        </w:rPr>
      </w:pPr>
      <w:r w:rsidRPr="005B7419">
        <w:rPr>
          <w:color w:val="auto"/>
          <w:sz w:val="21"/>
          <w:szCs w:val="21"/>
        </w:rPr>
        <w:t>For the spectral mode,</w:t>
      </w:r>
      <w:r w:rsidRPr="005B7419">
        <w:rPr>
          <w:color w:val="auto"/>
        </w:rPr>
        <w:t xml:space="preserve"> </w:t>
      </w:r>
      <w:r w:rsidRPr="005B7419">
        <w:rPr>
          <w:color w:val="auto"/>
          <w:sz w:val="21"/>
          <w:szCs w:val="21"/>
        </w:rPr>
        <w:t xml:space="preserve">the projection positions at different wavelengths can be calibrated by an adjustable laser. In contrast, the imaging mode requires the included angle between the two cascaded </w:t>
      </w:r>
      <w:r w:rsidR="004723CB" w:rsidRPr="005B7419">
        <w:rPr>
          <w:color w:val="auto"/>
          <w:sz w:val="21"/>
          <w:szCs w:val="21"/>
        </w:rPr>
        <w:t>catenary-like</w:t>
      </w:r>
      <w:r w:rsidRPr="005B7419">
        <w:rPr>
          <w:color w:val="auto"/>
          <w:sz w:val="21"/>
          <w:szCs w:val="21"/>
        </w:rPr>
        <w:t xml:space="preserve"> metasurfaces to be equal to zero, that is, </w:t>
      </w:r>
      <w:r w:rsidRPr="005B7419">
        <w:rPr>
          <w:i/>
          <w:iCs/>
          <w:color w:val="auto"/>
          <w:sz w:val="21"/>
          <w:szCs w:val="21"/>
        </w:rPr>
        <w:t xml:space="preserve">θ </w:t>
      </w:r>
      <w:r w:rsidRPr="005B7419">
        <w:rPr>
          <w:rFonts w:hint="eastAsia"/>
          <w:color w:val="auto"/>
          <w:sz w:val="21"/>
          <w:szCs w:val="21"/>
          <w:lang w:eastAsia="zh-CN"/>
        </w:rPr>
        <w:t>=</w:t>
      </w:r>
      <w:r w:rsidRPr="005B7419">
        <w:rPr>
          <w:color w:val="auto"/>
          <w:sz w:val="21"/>
          <w:szCs w:val="21"/>
          <w:lang w:eastAsia="zh-CN"/>
        </w:rPr>
        <w:t xml:space="preserve"> </w:t>
      </w:r>
      <w:r w:rsidRPr="005B7419">
        <w:rPr>
          <w:i/>
          <w:iCs/>
          <w:color w:val="auto"/>
          <w:sz w:val="21"/>
          <w:szCs w:val="21"/>
        </w:rPr>
        <w:t>θ</w:t>
      </w:r>
      <w:r w:rsidRPr="005B7419">
        <w:rPr>
          <w:i/>
          <w:iCs/>
          <w:color w:val="auto"/>
          <w:sz w:val="21"/>
          <w:szCs w:val="21"/>
          <w:vertAlign w:val="subscript"/>
        </w:rPr>
        <w:t>1</w:t>
      </w:r>
      <w:r w:rsidRPr="005B7419">
        <w:rPr>
          <w:color w:val="auto"/>
          <w:sz w:val="21"/>
          <w:szCs w:val="21"/>
        </w:rPr>
        <w:t xml:space="preserve"> - </w:t>
      </w:r>
      <w:r w:rsidRPr="005B7419">
        <w:rPr>
          <w:i/>
          <w:iCs/>
          <w:color w:val="auto"/>
          <w:sz w:val="21"/>
          <w:szCs w:val="21"/>
        </w:rPr>
        <w:t>θ</w:t>
      </w:r>
      <w:r w:rsidRPr="005B7419">
        <w:rPr>
          <w:i/>
          <w:iCs/>
          <w:color w:val="auto"/>
          <w:sz w:val="21"/>
          <w:szCs w:val="21"/>
          <w:vertAlign w:val="subscript"/>
        </w:rPr>
        <w:t>2</w:t>
      </w:r>
      <w:r w:rsidRPr="005B7419">
        <w:rPr>
          <w:color w:val="auto"/>
          <w:sz w:val="21"/>
          <w:szCs w:val="21"/>
        </w:rPr>
        <w:t xml:space="preserve"> = 0.</w:t>
      </w:r>
      <w:r w:rsidRPr="005B7419">
        <w:rPr>
          <w:rFonts w:hint="eastAsia"/>
          <w:color w:val="auto"/>
          <w:sz w:val="21"/>
          <w:szCs w:val="21"/>
        </w:rPr>
        <w:t xml:space="preserve"> </w:t>
      </w:r>
      <w:r w:rsidRPr="005B7419">
        <w:rPr>
          <w:color w:val="auto"/>
          <w:sz w:val="21"/>
          <w:szCs w:val="21"/>
        </w:rPr>
        <w:t xml:space="preserve">In the following, </w:t>
      </w:r>
      <w:r w:rsidRPr="005B7419">
        <w:rPr>
          <w:rFonts w:hint="eastAsia"/>
          <w:color w:val="auto"/>
          <w:sz w:val="21"/>
          <w:szCs w:val="21"/>
          <w:lang w:eastAsia="zh-CN"/>
        </w:rPr>
        <w:t>w</w:t>
      </w:r>
      <w:r w:rsidRPr="005B7419">
        <w:rPr>
          <w:color w:val="auto"/>
          <w:sz w:val="21"/>
          <w:szCs w:val="21"/>
        </w:rPr>
        <w:t xml:space="preserve">e derive the acceptable angular alignment error. The first-order derivative of the focus shift relative to </w:t>
      </w:r>
      <w:r w:rsidRPr="005B7419">
        <w:rPr>
          <w:i/>
          <w:iCs/>
          <w:color w:val="auto"/>
          <w:sz w:val="21"/>
          <w:szCs w:val="21"/>
        </w:rPr>
        <w:t xml:space="preserve">θ </w:t>
      </w:r>
      <w:r w:rsidRPr="005B7419">
        <w:rPr>
          <w:color w:val="auto"/>
          <w:sz w:val="21"/>
          <w:szCs w:val="21"/>
        </w:rPr>
        <w:t xml:space="preserve">can be written as: </w:t>
      </w:r>
    </w:p>
    <w:p w14:paraId="61A2370F" w14:textId="5D5C5F3E" w:rsidR="00FF2981" w:rsidRPr="005B7419" w:rsidRDefault="00FF2981" w:rsidP="00FF2981">
      <w:pPr>
        <w:pStyle w:val="09BodyFirstParagraph"/>
        <w:tabs>
          <w:tab w:val="center" w:pos="5060"/>
          <w:tab w:val="right" w:pos="10120"/>
        </w:tabs>
        <w:rPr>
          <w:color w:val="auto"/>
          <w:sz w:val="21"/>
          <w:szCs w:val="21"/>
        </w:rPr>
      </w:pPr>
      <w:r w:rsidRPr="005B7419">
        <w:rPr>
          <w:color w:val="auto"/>
          <w:sz w:val="21"/>
          <w:szCs w:val="21"/>
          <w:lang w:eastAsia="zh-CN"/>
        </w:rPr>
        <w:tab/>
      </w:r>
      <w:r w:rsidR="00AD24B9" w:rsidRPr="005B7419">
        <w:rPr>
          <w:color w:val="auto"/>
          <w:position w:val="-26"/>
          <w:sz w:val="21"/>
          <w:szCs w:val="21"/>
        </w:rPr>
        <w:object w:dxaOrig="1340" w:dyaOrig="600" w14:anchorId="0C9D0AD4">
          <v:shape id="_x0000_i1034" type="#_x0000_t75" style="width:66.45pt;height:30.05pt" o:ole="">
            <v:imagedata r:id="rId26" o:title=""/>
          </v:shape>
          <o:OLEObject Type="Embed" ProgID="Equation.DSMT4" ShapeID="_x0000_i1034" DrawAspect="Content" ObjectID="_1753697922" r:id="rId27"/>
        </w:object>
      </w:r>
      <w:r w:rsidRPr="005B7419">
        <w:rPr>
          <w:color w:val="auto"/>
          <w:sz w:val="21"/>
          <w:szCs w:val="21"/>
        </w:rPr>
        <w:tab/>
        <w:t>(S</w:t>
      </w:r>
      <w:r w:rsidR="001B3C47" w:rsidRPr="005B7419">
        <w:rPr>
          <w:color w:val="auto"/>
          <w:sz w:val="21"/>
          <w:szCs w:val="21"/>
        </w:rPr>
        <w:t>10</w:t>
      </w:r>
      <w:r w:rsidRPr="005B7419">
        <w:rPr>
          <w:color w:val="auto"/>
          <w:sz w:val="21"/>
          <w:szCs w:val="21"/>
        </w:rPr>
        <w:t>)</w:t>
      </w:r>
    </w:p>
    <w:p w14:paraId="27273436" w14:textId="77777777" w:rsidR="00FF2981" w:rsidRPr="005B7419" w:rsidRDefault="00FF2981" w:rsidP="008245DA">
      <w:pPr>
        <w:pStyle w:val="10BodySubsequentParagraph"/>
        <w:ind w:firstLine="289"/>
        <w:rPr>
          <w:color w:val="auto"/>
          <w:sz w:val="21"/>
          <w:szCs w:val="21"/>
        </w:rPr>
      </w:pPr>
      <w:r w:rsidRPr="005B7419">
        <w:rPr>
          <w:color w:val="auto"/>
          <w:sz w:val="21"/>
          <w:szCs w:val="21"/>
        </w:rPr>
        <w:t xml:space="preserve">According to </w:t>
      </w:r>
      <w:r w:rsidRPr="005B7419">
        <w:rPr>
          <w:rFonts w:hint="eastAsia"/>
          <w:color w:val="auto"/>
          <w:sz w:val="21"/>
          <w:szCs w:val="21"/>
        </w:rPr>
        <w:t>the</w:t>
      </w:r>
      <w:r w:rsidRPr="005B7419">
        <w:rPr>
          <w:color w:val="auto"/>
          <w:sz w:val="21"/>
          <w:szCs w:val="21"/>
        </w:rPr>
        <w:t xml:space="preserve"> Rayleigh criterion, the acceptable angular alignment error can be written as:</w:t>
      </w:r>
    </w:p>
    <w:p w14:paraId="6B365C7A" w14:textId="5B3A46D9" w:rsidR="00FF2981" w:rsidRPr="005B7419" w:rsidRDefault="00FF2981" w:rsidP="00FF2981">
      <w:pPr>
        <w:pStyle w:val="09BodyFirstParagraph"/>
        <w:tabs>
          <w:tab w:val="center" w:pos="5060"/>
          <w:tab w:val="right" w:pos="10120"/>
        </w:tabs>
        <w:rPr>
          <w:color w:val="auto"/>
          <w:sz w:val="21"/>
          <w:szCs w:val="21"/>
        </w:rPr>
      </w:pPr>
      <w:r w:rsidRPr="005B7419">
        <w:rPr>
          <w:color w:val="auto"/>
          <w:sz w:val="21"/>
          <w:szCs w:val="21"/>
        </w:rPr>
        <w:tab/>
      </w:r>
      <w:r w:rsidR="00690FE7" w:rsidRPr="005B7419">
        <w:rPr>
          <w:color w:val="auto"/>
          <w:position w:val="-48"/>
          <w:sz w:val="21"/>
          <w:szCs w:val="21"/>
        </w:rPr>
        <w:object w:dxaOrig="2120" w:dyaOrig="820" w14:anchorId="3CFFB52C">
          <v:shape id="_x0000_i1035" type="#_x0000_t75" style="width:105.25pt;height:41.15pt" o:ole="">
            <v:imagedata r:id="rId28" o:title=""/>
          </v:shape>
          <o:OLEObject Type="Embed" ProgID="Equation.DSMT4" ShapeID="_x0000_i1035" DrawAspect="Content" ObjectID="_1753697923" r:id="rId29"/>
        </w:object>
      </w:r>
      <w:r w:rsidRPr="005B7419">
        <w:rPr>
          <w:color w:val="auto"/>
          <w:sz w:val="21"/>
          <w:szCs w:val="21"/>
        </w:rPr>
        <w:tab/>
        <w:t>(S</w:t>
      </w:r>
      <w:r w:rsidR="001B3C47" w:rsidRPr="005B7419">
        <w:rPr>
          <w:color w:val="auto"/>
          <w:sz w:val="21"/>
          <w:szCs w:val="21"/>
        </w:rPr>
        <w:t>11</w:t>
      </w:r>
      <w:r w:rsidRPr="005B7419">
        <w:rPr>
          <w:color w:val="auto"/>
          <w:sz w:val="21"/>
          <w:szCs w:val="21"/>
        </w:rPr>
        <w:t>)</w:t>
      </w:r>
    </w:p>
    <w:p w14:paraId="66BCA8F9" w14:textId="5E8BABCC" w:rsidR="0032217E" w:rsidRPr="005B7419" w:rsidRDefault="00311999" w:rsidP="008245DA">
      <w:pPr>
        <w:pStyle w:val="10BodySubsequentParagraph"/>
        <w:ind w:firstLine="289"/>
        <w:rPr>
          <w:color w:val="auto"/>
          <w:sz w:val="21"/>
          <w:szCs w:val="21"/>
        </w:rPr>
      </w:pPr>
      <w:r w:rsidRPr="005B7419">
        <w:rPr>
          <w:color w:val="auto"/>
          <w:sz w:val="21"/>
          <w:szCs w:val="21"/>
          <w:lang w:eastAsia="zh-CN"/>
        </w:rPr>
        <w:t>As a result</w:t>
      </w:r>
      <w:r w:rsidR="00BD3DB2" w:rsidRPr="005B7419">
        <w:rPr>
          <w:color w:val="auto"/>
          <w:sz w:val="21"/>
          <w:szCs w:val="21"/>
          <w:lang w:eastAsia="zh-CN"/>
        </w:rPr>
        <w:t>, for the imaging mode (</w:t>
      </w:r>
      <w:r w:rsidR="00BD3DB2" w:rsidRPr="005B7419">
        <w:rPr>
          <w:i/>
          <w:iCs/>
          <w:color w:val="auto"/>
          <w:sz w:val="21"/>
          <w:szCs w:val="21"/>
        </w:rPr>
        <w:t xml:space="preserve">θ </w:t>
      </w:r>
      <w:r w:rsidR="00BD3DB2" w:rsidRPr="005B7419">
        <w:rPr>
          <w:rFonts w:hint="eastAsia"/>
          <w:color w:val="auto"/>
          <w:sz w:val="21"/>
          <w:szCs w:val="21"/>
          <w:lang w:eastAsia="zh-CN"/>
        </w:rPr>
        <w:t>=</w:t>
      </w:r>
      <w:r w:rsidR="00BD3DB2" w:rsidRPr="005B7419">
        <w:rPr>
          <w:color w:val="auto"/>
          <w:sz w:val="21"/>
          <w:szCs w:val="21"/>
          <w:lang w:eastAsia="zh-CN"/>
        </w:rPr>
        <w:t xml:space="preserve"> </w:t>
      </w:r>
      <w:r w:rsidR="00BD3DB2" w:rsidRPr="005B7419">
        <w:rPr>
          <w:i/>
          <w:iCs/>
          <w:color w:val="auto"/>
          <w:sz w:val="21"/>
          <w:szCs w:val="21"/>
        </w:rPr>
        <w:t>θ</w:t>
      </w:r>
      <w:r w:rsidR="00BD3DB2" w:rsidRPr="005B7419">
        <w:rPr>
          <w:i/>
          <w:iCs/>
          <w:color w:val="auto"/>
          <w:sz w:val="21"/>
          <w:szCs w:val="21"/>
          <w:vertAlign w:val="subscript"/>
        </w:rPr>
        <w:t>1</w:t>
      </w:r>
      <w:r w:rsidR="00BD3DB2" w:rsidRPr="005B7419">
        <w:rPr>
          <w:color w:val="auto"/>
          <w:sz w:val="21"/>
          <w:szCs w:val="21"/>
        </w:rPr>
        <w:t xml:space="preserve"> - </w:t>
      </w:r>
      <w:r w:rsidR="00BD3DB2" w:rsidRPr="005B7419">
        <w:rPr>
          <w:i/>
          <w:iCs/>
          <w:color w:val="auto"/>
          <w:sz w:val="21"/>
          <w:szCs w:val="21"/>
        </w:rPr>
        <w:t>θ</w:t>
      </w:r>
      <w:r w:rsidR="00BD3DB2" w:rsidRPr="005B7419">
        <w:rPr>
          <w:i/>
          <w:iCs/>
          <w:color w:val="auto"/>
          <w:sz w:val="21"/>
          <w:szCs w:val="21"/>
          <w:vertAlign w:val="subscript"/>
        </w:rPr>
        <w:t>2</w:t>
      </w:r>
      <w:r w:rsidR="00BD3DB2" w:rsidRPr="005B7419">
        <w:rPr>
          <w:color w:val="auto"/>
          <w:sz w:val="21"/>
          <w:szCs w:val="21"/>
        </w:rPr>
        <w:t xml:space="preserve"> = 0</w:t>
      </w:r>
      <w:r w:rsidR="00BD3DB2" w:rsidRPr="005B7419">
        <w:rPr>
          <w:color w:val="auto"/>
          <w:sz w:val="21"/>
          <w:szCs w:val="21"/>
          <w:lang w:eastAsia="zh-CN"/>
        </w:rPr>
        <w:t>), t</w:t>
      </w:r>
      <w:r w:rsidR="00BD3DB2" w:rsidRPr="005B7419">
        <w:rPr>
          <w:color w:val="auto"/>
          <w:sz w:val="21"/>
          <w:szCs w:val="21"/>
        </w:rPr>
        <w:t>he acceptable angular alignment error is 1.22</w:t>
      </w:r>
      <w:r w:rsidR="00BD3DB2" w:rsidRPr="005B7419">
        <w:rPr>
          <w:i/>
          <w:iCs/>
          <w:color w:val="auto"/>
          <w:sz w:val="21"/>
          <w:szCs w:val="21"/>
        </w:rPr>
        <w:t>p</w:t>
      </w:r>
      <w:r w:rsidR="00BD3DB2" w:rsidRPr="005B7419">
        <w:rPr>
          <w:color w:val="auto"/>
          <w:sz w:val="21"/>
          <w:szCs w:val="21"/>
        </w:rPr>
        <w:t>/</w:t>
      </w:r>
      <w:r w:rsidR="00BD3DB2" w:rsidRPr="005B7419">
        <w:rPr>
          <w:i/>
          <w:iCs/>
          <w:color w:val="auto"/>
          <w:sz w:val="21"/>
          <w:szCs w:val="21"/>
        </w:rPr>
        <w:t>D</w:t>
      </w:r>
      <w:r w:rsidR="00AE5CF0" w:rsidRPr="005B7419">
        <w:rPr>
          <w:color w:val="auto"/>
          <w:sz w:val="21"/>
          <w:szCs w:val="21"/>
        </w:rPr>
        <w:t xml:space="preserve"> in the unit of rad</w:t>
      </w:r>
      <w:r w:rsidR="00BD3DB2" w:rsidRPr="005B7419">
        <w:rPr>
          <w:color w:val="auto"/>
          <w:sz w:val="21"/>
          <w:szCs w:val="21"/>
        </w:rPr>
        <w:t>.</w:t>
      </w:r>
      <w:r w:rsidRPr="005B7419">
        <w:rPr>
          <w:rFonts w:asciiTheme="minorHAnsi" w:hAnsiTheme="minorHAnsi"/>
          <w:color w:val="auto"/>
          <w:kern w:val="2"/>
          <w:sz w:val="21"/>
          <w:szCs w:val="21"/>
          <w:lang w:eastAsia="zh-CN"/>
        </w:rPr>
        <w:t xml:space="preserve"> </w:t>
      </w:r>
      <w:r w:rsidRPr="005B7419">
        <w:rPr>
          <w:color w:val="auto"/>
          <w:sz w:val="21"/>
          <w:szCs w:val="21"/>
        </w:rPr>
        <w:t xml:space="preserve">When the included angle is larger than this value, the imaging resolution will decline rapidly. In our design, </w:t>
      </w:r>
      <w:r w:rsidRPr="005B7419">
        <w:rPr>
          <w:i/>
          <w:iCs/>
          <w:color w:val="auto"/>
          <w:sz w:val="21"/>
          <w:szCs w:val="21"/>
        </w:rPr>
        <w:t>p</w:t>
      </w:r>
      <w:r w:rsidRPr="005B7419">
        <w:rPr>
          <w:color w:val="auto"/>
          <w:sz w:val="21"/>
          <w:szCs w:val="21"/>
        </w:rPr>
        <w:t xml:space="preserve"> and </w:t>
      </w:r>
      <w:r w:rsidRPr="005B7419">
        <w:rPr>
          <w:i/>
          <w:iCs/>
          <w:color w:val="auto"/>
          <w:sz w:val="21"/>
          <w:szCs w:val="21"/>
        </w:rPr>
        <w:t>D</w:t>
      </w:r>
      <w:r w:rsidRPr="005B7419">
        <w:rPr>
          <w:color w:val="auto"/>
          <w:sz w:val="21"/>
          <w:szCs w:val="21"/>
        </w:rPr>
        <w:t xml:space="preserve"> are 1/17 mm and 5 mm, respectively, corresponding to the error </w:t>
      </w:r>
      <w:r w:rsidR="008245DA" w:rsidRPr="005B7419">
        <w:rPr>
          <w:color w:val="auto"/>
          <w:sz w:val="21"/>
          <w:szCs w:val="21"/>
        </w:rPr>
        <w:t xml:space="preserve">of </w:t>
      </w:r>
      <w:r w:rsidRPr="005B7419">
        <w:rPr>
          <w:color w:val="auto"/>
          <w:sz w:val="21"/>
          <w:szCs w:val="21"/>
        </w:rPr>
        <w:t>14.35 mrad (0.82</w:t>
      </w:r>
      <w:r w:rsidRPr="005B7419">
        <w:rPr>
          <w:rFonts w:cs="Times New Roman"/>
          <w:color w:val="auto"/>
          <w:sz w:val="21"/>
          <w:szCs w:val="21"/>
        </w:rPr>
        <w:t>°</w:t>
      </w:r>
      <w:r w:rsidRPr="005B7419">
        <w:rPr>
          <w:color w:val="auto"/>
          <w:sz w:val="21"/>
          <w:szCs w:val="21"/>
        </w:rPr>
        <w:t>). Our mechanical structure can support the accuracy of ~0.1 ° in principle, and the actual accuracy is approximately 0.5°, meeting the requirement.</w:t>
      </w:r>
    </w:p>
    <w:p w14:paraId="31E41F8C" w14:textId="77777777" w:rsidR="0032217E" w:rsidRPr="005B7419" w:rsidRDefault="0032217E">
      <w:pPr>
        <w:pStyle w:val="10BodySubsequentParagraph"/>
        <w:ind w:firstLine="0"/>
        <w:rPr>
          <w:color w:val="auto"/>
          <w:sz w:val="21"/>
          <w:szCs w:val="21"/>
        </w:rPr>
      </w:pPr>
    </w:p>
    <w:p w14:paraId="601BBDE9" w14:textId="77777777" w:rsidR="0021404A" w:rsidRPr="005B7419" w:rsidRDefault="00C2395A">
      <w:pPr>
        <w:adjustRightInd w:val="0"/>
        <w:snapToGrid w:val="0"/>
        <w:spacing w:after="0" w:line="240" w:lineRule="exact"/>
        <w:rPr>
          <w:rFonts w:ascii="Times New Roman" w:eastAsia="黑体" w:hAnsi="Times New Roman" w:cs="Times New Roman"/>
          <w:b/>
          <w:sz w:val="21"/>
          <w:szCs w:val="21"/>
        </w:rPr>
      </w:pPr>
      <w:r w:rsidRPr="005B7419">
        <w:rPr>
          <w:rFonts w:ascii="Times New Roman" w:eastAsia="黑体" w:hAnsi="Times New Roman" w:cs="Times New Roman"/>
          <w:b/>
          <w:sz w:val="21"/>
          <w:szCs w:val="21"/>
        </w:rPr>
        <w:t>S2. Meta-system design</w:t>
      </w:r>
    </w:p>
    <w:p w14:paraId="23516F0F" w14:textId="48B45179" w:rsidR="0021404A" w:rsidRPr="005B7419" w:rsidRDefault="00C2395A" w:rsidP="005B7419">
      <w:pPr>
        <w:pStyle w:val="09BodyFirstParagraph"/>
        <w:ind w:firstLineChars="200" w:firstLine="420"/>
        <w:rPr>
          <w:color w:val="auto"/>
          <w:sz w:val="21"/>
          <w:szCs w:val="21"/>
        </w:rPr>
      </w:pPr>
      <w:r w:rsidRPr="005B7419">
        <w:rPr>
          <w:color w:val="auto"/>
          <w:sz w:val="21"/>
          <w:szCs w:val="21"/>
        </w:rPr>
        <w:t>The diagram of the meta-system is shown in Fig. S1. The meta-system has a focal length of 11.5 mm</w:t>
      </w:r>
      <w:r w:rsidR="00CC2D6A" w:rsidRPr="005B7419">
        <w:rPr>
          <w:color w:val="auto"/>
          <w:sz w:val="21"/>
          <w:szCs w:val="21"/>
        </w:rPr>
        <w:t>,</w:t>
      </w:r>
      <w:r w:rsidRPr="005B7419">
        <w:rPr>
          <w:color w:val="auto"/>
          <w:sz w:val="21"/>
          <w:szCs w:val="21"/>
        </w:rPr>
        <w:t xml:space="preserve"> an effective diameter of 5 mm</w:t>
      </w:r>
      <w:r w:rsidR="00CC2D6A" w:rsidRPr="005B7419">
        <w:rPr>
          <w:color w:val="auto"/>
          <w:sz w:val="21"/>
          <w:szCs w:val="21"/>
        </w:rPr>
        <w:t>, and a near-diffraction-limited FOV of 60°</w:t>
      </w:r>
      <w:bookmarkStart w:id="9" w:name="_Hlk130214441"/>
      <w:r w:rsidR="00CC2D6A" w:rsidRPr="005B7419">
        <w:rPr>
          <w:rFonts w:cs="Times New Roman"/>
          <w:color w:val="auto"/>
          <w:sz w:val="21"/>
          <w:szCs w:val="21"/>
        </w:rPr>
        <w:t>×</w:t>
      </w:r>
      <w:bookmarkEnd w:id="9"/>
      <w:r w:rsidR="00CC2D6A" w:rsidRPr="005B7419">
        <w:rPr>
          <w:color w:val="auto"/>
          <w:sz w:val="21"/>
          <w:szCs w:val="21"/>
        </w:rPr>
        <w:t>60°</w:t>
      </w:r>
      <w:r w:rsidRPr="005B7419">
        <w:rPr>
          <w:color w:val="auto"/>
          <w:sz w:val="21"/>
          <w:szCs w:val="21"/>
        </w:rPr>
        <w:t xml:space="preserve">. The system consists of six elements. From left to right are the cascaded </w:t>
      </w:r>
      <w:r w:rsidR="004723CB" w:rsidRPr="005B7419">
        <w:rPr>
          <w:color w:val="auto"/>
          <w:sz w:val="21"/>
          <w:szCs w:val="21"/>
        </w:rPr>
        <w:t>catenary-like</w:t>
      </w:r>
      <w:r w:rsidRPr="005B7419">
        <w:rPr>
          <w:color w:val="auto"/>
          <w:sz w:val="21"/>
          <w:szCs w:val="21"/>
        </w:rPr>
        <w:t xml:space="preserve"> metasurfaces (</w:t>
      </w:r>
      <w:r w:rsidR="004D5CDC" w:rsidRPr="005B7419">
        <w:rPr>
          <w:color w:val="auto"/>
          <w:sz w:val="21"/>
          <w:szCs w:val="21"/>
        </w:rPr>
        <w:t xml:space="preserve">M1 </w:t>
      </w:r>
      <w:r w:rsidRPr="005B7419">
        <w:rPr>
          <w:color w:val="auto"/>
          <w:sz w:val="21"/>
          <w:szCs w:val="21"/>
        </w:rPr>
        <w:t xml:space="preserve">and </w:t>
      </w:r>
      <w:r w:rsidR="004D5CDC" w:rsidRPr="005B7419">
        <w:rPr>
          <w:color w:val="auto"/>
          <w:sz w:val="21"/>
          <w:szCs w:val="21"/>
        </w:rPr>
        <w:t>M2</w:t>
      </w:r>
      <w:r w:rsidRPr="005B7419">
        <w:rPr>
          <w:color w:val="auto"/>
          <w:sz w:val="21"/>
          <w:szCs w:val="21"/>
        </w:rPr>
        <w:t>), phase meta-corrector, aperture</w:t>
      </w:r>
      <w:r w:rsidR="00DF53FA" w:rsidRPr="005B7419">
        <w:rPr>
          <w:color w:val="auto"/>
          <w:sz w:val="21"/>
          <w:szCs w:val="21"/>
        </w:rPr>
        <w:t xml:space="preserve"> stop</w:t>
      </w:r>
      <w:r w:rsidRPr="005B7419">
        <w:rPr>
          <w:color w:val="auto"/>
          <w:sz w:val="21"/>
          <w:szCs w:val="21"/>
        </w:rPr>
        <w:t xml:space="preserve">, </w:t>
      </w:r>
      <w:bookmarkStart w:id="10" w:name="_Hlk129448796"/>
      <w:r w:rsidRPr="005B7419">
        <w:rPr>
          <w:color w:val="auto"/>
          <w:sz w:val="21"/>
          <w:szCs w:val="21"/>
        </w:rPr>
        <w:t>germanium lens</w:t>
      </w:r>
      <w:bookmarkEnd w:id="10"/>
      <w:r w:rsidRPr="005B7419">
        <w:rPr>
          <w:color w:val="auto"/>
          <w:sz w:val="21"/>
          <w:szCs w:val="21"/>
        </w:rPr>
        <w:t xml:space="preserve">, and sensor, respectively. The two </w:t>
      </w:r>
      <w:r w:rsidR="004723CB" w:rsidRPr="005B7419">
        <w:rPr>
          <w:color w:val="auto"/>
          <w:sz w:val="21"/>
          <w:szCs w:val="21"/>
        </w:rPr>
        <w:t>catenary-like</w:t>
      </w:r>
      <w:r w:rsidRPr="005B7419">
        <w:rPr>
          <w:color w:val="auto"/>
          <w:sz w:val="21"/>
          <w:szCs w:val="21"/>
        </w:rPr>
        <w:t xml:space="preserve"> metasurfaces are fabricated on two independent silicon wafers to enable relative rotation between them with a distance of 0.5 mm. </w:t>
      </w:r>
      <w:r w:rsidR="007873CA" w:rsidRPr="005B7419">
        <w:rPr>
          <w:color w:val="auto"/>
          <w:sz w:val="21"/>
          <w:szCs w:val="21"/>
        </w:rPr>
        <w:t xml:space="preserve">The size of the </w:t>
      </w:r>
      <w:bookmarkStart w:id="11" w:name="_Hlk129617067"/>
      <w:bookmarkStart w:id="12" w:name="_Hlk129616784"/>
      <w:r w:rsidR="007873CA" w:rsidRPr="005B7419">
        <w:rPr>
          <w:color w:val="auto"/>
          <w:sz w:val="21"/>
          <w:szCs w:val="21"/>
        </w:rPr>
        <w:t>rectangular area is 8 mm×8 mm</w:t>
      </w:r>
      <w:bookmarkEnd w:id="11"/>
      <w:r w:rsidR="007873CA" w:rsidRPr="005B7419">
        <w:rPr>
          <w:color w:val="auto"/>
          <w:sz w:val="21"/>
          <w:szCs w:val="21"/>
        </w:rPr>
        <w:t xml:space="preserve">, which is larger than </w:t>
      </w:r>
      <w:bookmarkStart w:id="13" w:name="_Hlk129617325"/>
      <w:bookmarkEnd w:id="12"/>
      <w:r w:rsidR="007873CA" w:rsidRPr="005B7419">
        <w:rPr>
          <w:color w:val="auto"/>
          <w:sz w:val="21"/>
          <w:szCs w:val="21"/>
        </w:rPr>
        <w:t>the aperture diameter of 5 mm.</w:t>
      </w:r>
      <w:bookmarkEnd w:id="13"/>
      <w:r w:rsidR="007873CA" w:rsidRPr="005B7419">
        <w:rPr>
          <w:color w:val="auto"/>
          <w:sz w:val="21"/>
          <w:szCs w:val="21"/>
        </w:rPr>
        <w:t xml:space="preserve"> Therefore, all incident light is modulated and there is no energy loss. </w:t>
      </w:r>
      <w:r w:rsidRPr="005B7419">
        <w:rPr>
          <w:color w:val="auto"/>
          <w:sz w:val="21"/>
          <w:szCs w:val="21"/>
        </w:rPr>
        <w:t xml:space="preserve">The phase meta-corrector is processed on another silicon wafer closely attached to the second </w:t>
      </w:r>
      <w:r w:rsidR="004723CB" w:rsidRPr="005B7419">
        <w:rPr>
          <w:color w:val="auto"/>
          <w:sz w:val="21"/>
          <w:szCs w:val="21"/>
        </w:rPr>
        <w:t>catenary-like</w:t>
      </w:r>
      <w:r w:rsidRPr="005B7419">
        <w:rPr>
          <w:color w:val="auto"/>
          <w:sz w:val="21"/>
          <w:szCs w:val="21"/>
        </w:rPr>
        <w:t xml:space="preserve"> metasurface</w:t>
      </w:r>
      <w:r w:rsidR="005C7CBE" w:rsidRPr="005B7419">
        <w:rPr>
          <w:color w:val="auto"/>
          <w:sz w:val="21"/>
          <w:szCs w:val="21"/>
        </w:rPr>
        <w:t xml:space="preserve"> and it is overlapped with the aperture</w:t>
      </w:r>
      <w:r w:rsidR="00474FB8" w:rsidRPr="005B7419">
        <w:rPr>
          <w:color w:val="auto"/>
          <w:sz w:val="21"/>
          <w:szCs w:val="21"/>
        </w:rPr>
        <w:t xml:space="preserve"> stop</w:t>
      </w:r>
      <w:r w:rsidR="005C7CBE" w:rsidRPr="005B7419">
        <w:rPr>
          <w:color w:val="auto"/>
          <w:sz w:val="21"/>
          <w:szCs w:val="21"/>
        </w:rPr>
        <w:t xml:space="preserve">. </w:t>
      </w:r>
      <w:r w:rsidRPr="005B7419">
        <w:rPr>
          <w:color w:val="auto"/>
          <w:sz w:val="21"/>
          <w:szCs w:val="21"/>
        </w:rPr>
        <w:t>The thickness of these three silicon wafers is 0.5 mm. The germanium lens is 3.77 mm distant from the phase meta-corrector,</w:t>
      </w:r>
      <w:r w:rsidR="00FC5D38" w:rsidRPr="005B7419">
        <w:rPr>
          <w:color w:val="auto"/>
          <w:sz w:val="21"/>
          <w:szCs w:val="21"/>
        </w:rPr>
        <w:t xml:space="preserve"> </w:t>
      </w:r>
      <w:r w:rsidR="00FC5D38" w:rsidRPr="005B7419">
        <w:rPr>
          <w:color w:val="auto"/>
          <w:sz w:val="21"/>
          <w:szCs w:val="21"/>
        </w:rPr>
        <w:lastRenderedPageBreak/>
        <w:t>and</w:t>
      </w:r>
      <w:r w:rsidRPr="005B7419">
        <w:rPr>
          <w:color w:val="auto"/>
          <w:sz w:val="21"/>
          <w:szCs w:val="21"/>
        </w:rPr>
        <w:t xml:space="preserve"> the curvature radii of the two-sphere surfaces are 33.329 and 19.059 mm, respectively. The phase distribution along the radial direction of the</w:t>
      </w:r>
      <w:r w:rsidR="005B43AC" w:rsidRPr="005B7419">
        <w:rPr>
          <w:color w:val="auto"/>
          <w:sz w:val="21"/>
          <w:szCs w:val="21"/>
        </w:rPr>
        <w:t xml:space="preserve"> phase</w:t>
      </w:r>
      <w:r w:rsidRPr="005B7419">
        <w:rPr>
          <w:color w:val="auto"/>
          <w:sz w:val="21"/>
          <w:szCs w:val="21"/>
        </w:rPr>
        <w:t xml:space="preserve"> meta-corrector </w:t>
      </w:r>
      <w:r w:rsidR="0042486E" w:rsidRPr="005B7419">
        <w:rPr>
          <w:color w:val="auto"/>
          <w:sz w:val="21"/>
          <w:szCs w:val="21"/>
        </w:rPr>
        <w:t xml:space="preserve">is optimized by the ray-tracing method and </w:t>
      </w:r>
      <w:r w:rsidRPr="005B7419">
        <w:rPr>
          <w:color w:val="auto"/>
          <w:sz w:val="21"/>
          <w:szCs w:val="21"/>
        </w:rPr>
        <w:t>is shown in Fig. S2.</w:t>
      </w:r>
      <w:r w:rsidR="0042486E" w:rsidRPr="005B7419">
        <w:rPr>
          <w:color w:val="auto"/>
          <w:sz w:val="21"/>
          <w:szCs w:val="21"/>
        </w:rPr>
        <w:t xml:space="preserve"> </w:t>
      </w:r>
      <w:bookmarkStart w:id="14" w:name="_Hlk130220413"/>
      <w:r w:rsidR="0042486E" w:rsidRPr="005B7419">
        <w:rPr>
          <w:rFonts w:hint="eastAsia"/>
          <w:color w:val="auto"/>
          <w:sz w:val="21"/>
          <w:szCs w:val="21"/>
        </w:rPr>
        <w:t>T</w:t>
      </w:r>
      <w:r w:rsidR="0042486E" w:rsidRPr="005B7419">
        <w:rPr>
          <w:color w:val="auto"/>
          <w:sz w:val="21"/>
          <w:szCs w:val="21"/>
        </w:rPr>
        <w:t>h</w:t>
      </w:r>
      <w:r w:rsidR="0042486E" w:rsidRPr="005B7419">
        <w:rPr>
          <w:rFonts w:hint="eastAsia"/>
          <w:color w:val="auto"/>
          <w:sz w:val="21"/>
          <w:szCs w:val="21"/>
        </w:rPr>
        <w:t>e</w:t>
      </w:r>
      <w:r w:rsidR="0042486E" w:rsidRPr="005B7419">
        <w:rPr>
          <w:color w:val="auto"/>
          <w:sz w:val="21"/>
          <w:szCs w:val="21"/>
        </w:rPr>
        <w:t xml:space="preserve"> </w:t>
      </w:r>
      <w:r w:rsidR="005B43AC" w:rsidRPr="005B7419">
        <w:rPr>
          <w:color w:val="auto"/>
          <w:sz w:val="21"/>
          <w:szCs w:val="21"/>
        </w:rPr>
        <w:t xml:space="preserve">phase </w:t>
      </w:r>
      <w:r w:rsidR="0042486E" w:rsidRPr="005B7419">
        <w:rPr>
          <w:rFonts w:hint="eastAsia"/>
          <w:color w:val="auto"/>
          <w:sz w:val="21"/>
          <w:szCs w:val="21"/>
        </w:rPr>
        <w:t>meta</w:t>
      </w:r>
      <w:r w:rsidR="0042486E" w:rsidRPr="005B7419">
        <w:rPr>
          <w:color w:val="auto"/>
          <w:sz w:val="21"/>
          <w:szCs w:val="21"/>
        </w:rPr>
        <w:t xml:space="preserve">-corrector is </w:t>
      </w:r>
      <w:r w:rsidR="00356592" w:rsidRPr="005B7419">
        <w:rPr>
          <w:color w:val="auto"/>
          <w:sz w:val="21"/>
          <w:szCs w:val="21"/>
        </w:rPr>
        <w:t>enabled</w:t>
      </w:r>
      <w:r w:rsidR="0042486E" w:rsidRPr="005B7419">
        <w:rPr>
          <w:color w:val="auto"/>
          <w:sz w:val="21"/>
          <w:szCs w:val="21"/>
        </w:rPr>
        <w:t xml:space="preserve"> by a mature </w:t>
      </w:r>
      <w:bookmarkStart w:id="15" w:name="_Hlk130458255"/>
      <w:r w:rsidR="0042486E" w:rsidRPr="005B7419">
        <w:rPr>
          <w:color w:val="auto"/>
          <w:sz w:val="21"/>
          <w:szCs w:val="21"/>
        </w:rPr>
        <w:t>eight</w:t>
      </w:r>
      <w:bookmarkEnd w:id="15"/>
      <w:r w:rsidR="0042486E" w:rsidRPr="005B7419">
        <w:rPr>
          <w:color w:val="auto"/>
          <w:sz w:val="21"/>
          <w:szCs w:val="21"/>
        </w:rPr>
        <w:t>-step diffracti</w:t>
      </w:r>
      <w:r w:rsidR="00D352CC" w:rsidRPr="005B7419">
        <w:rPr>
          <w:color w:val="auto"/>
          <w:sz w:val="21"/>
          <w:szCs w:val="21"/>
        </w:rPr>
        <w:t>ve</w:t>
      </w:r>
      <w:r w:rsidR="0042486E" w:rsidRPr="005B7419">
        <w:rPr>
          <w:color w:val="auto"/>
          <w:sz w:val="21"/>
          <w:szCs w:val="21"/>
        </w:rPr>
        <w:t xml:space="preserve"> element</w:t>
      </w:r>
      <w:r w:rsidR="00D352CC" w:rsidRPr="005B7419">
        <w:rPr>
          <w:color w:val="auto"/>
          <w:sz w:val="21"/>
          <w:szCs w:val="21"/>
        </w:rPr>
        <w:t xml:space="preserve"> design</w:t>
      </w:r>
      <w:r w:rsidR="00356592" w:rsidRPr="005B7419">
        <w:rPr>
          <w:color w:val="auto"/>
          <w:sz w:val="21"/>
          <w:szCs w:val="21"/>
        </w:rPr>
        <w:t xml:space="preserve"> whose central wavelength is set as 11 μm</w:t>
      </w:r>
      <w:r w:rsidR="0042486E" w:rsidRPr="005B7419">
        <w:rPr>
          <w:color w:val="auto"/>
          <w:sz w:val="21"/>
          <w:szCs w:val="21"/>
        </w:rPr>
        <w:t>.</w:t>
      </w:r>
      <w:bookmarkEnd w:id="14"/>
      <w:r w:rsidR="00D85027" w:rsidRPr="005B7419">
        <w:rPr>
          <w:color w:val="auto"/>
          <w:sz w:val="21"/>
          <w:szCs w:val="21"/>
        </w:rPr>
        <w:t xml:space="preserve"> </w:t>
      </w:r>
      <w:bookmarkStart w:id="16" w:name="_Hlk130242371"/>
      <w:r w:rsidR="00D85027" w:rsidRPr="005B7419">
        <w:rPr>
          <w:color w:val="auto"/>
          <w:sz w:val="21"/>
          <w:szCs w:val="21"/>
        </w:rPr>
        <w:t>The simulated spot diagrams in Fig. S3 at different wavelengths reveal that all light rays are within their corresponding Airy disks, showing near-diffraction-limited focusing performance.</w:t>
      </w:r>
      <w:bookmarkEnd w:id="16"/>
    </w:p>
    <w:p w14:paraId="061E5D02" w14:textId="1D4E1538" w:rsidR="0021404A" w:rsidRPr="005B7419" w:rsidRDefault="00B22C93">
      <w:pPr>
        <w:pStyle w:val="09BodyFirstParagraph"/>
        <w:jc w:val="center"/>
        <w:rPr>
          <w:color w:val="auto"/>
          <w:sz w:val="21"/>
          <w:szCs w:val="21"/>
        </w:rPr>
      </w:pPr>
      <w:r w:rsidRPr="005B7419">
        <w:rPr>
          <w:noProof/>
          <w:color w:val="auto"/>
          <w:lang w:eastAsia="zh-CN"/>
        </w:rPr>
        <w:drawing>
          <wp:inline distT="0" distB="0" distL="0" distR="0" wp14:anchorId="7879F2C7" wp14:editId="6F61FDAF">
            <wp:extent cx="4220845" cy="3445510"/>
            <wp:effectExtent l="0" t="0" r="8255" b="254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220845" cy="3445510"/>
                    </a:xfrm>
                    <a:prstGeom prst="rect">
                      <a:avLst/>
                    </a:prstGeom>
                    <a:noFill/>
                    <a:ln>
                      <a:noFill/>
                    </a:ln>
                  </pic:spPr>
                </pic:pic>
              </a:graphicData>
            </a:graphic>
          </wp:inline>
        </w:drawing>
      </w:r>
    </w:p>
    <w:p w14:paraId="55E2BEF0" w14:textId="77777777" w:rsidR="0021404A" w:rsidRPr="005B7419" w:rsidRDefault="00C2395A">
      <w:pPr>
        <w:pStyle w:val="12FigureCaptionShort"/>
        <w:rPr>
          <w:color w:val="auto"/>
          <w:sz w:val="18"/>
          <w:szCs w:val="18"/>
        </w:rPr>
      </w:pPr>
      <w:r w:rsidRPr="005B7419">
        <w:rPr>
          <w:b/>
          <w:bCs/>
          <w:color w:val="auto"/>
          <w:sz w:val="18"/>
          <w:szCs w:val="18"/>
        </w:rPr>
        <w:t>Fig. S1.</w:t>
      </w:r>
      <w:r w:rsidRPr="005B7419">
        <w:rPr>
          <w:color w:val="auto"/>
          <w:sz w:val="18"/>
          <w:szCs w:val="18"/>
        </w:rPr>
        <w:t xml:space="preserve"> Detailed assembly parameters of the meta-system.</w:t>
      </w:r>
    </w:p>
    <w:p w14:paraId="76C3D347" w14:textId="77777777" w:rsidR="0021404A" w:rsidRPr="005B7419" w:rsidRDefault="0021404A">
      <w:pPr>
        <w:pStyle w:val="10BodySubsequentParagraph"/>
        <w:ind w:firstLine="0"/>
        <w:rPr>
          <w:color w:val="auto"/>
          <w:sz w:val="21"/>
          <w:szCs w:val="21"/>
        </w:rPr>
      </w:pPr>
    </w:p>
    <w:p w14:paraId="518D3FAE" w14:textId="4A824494" w:rsidR="0021404A" w:rsidRPr="005B7419" w:rsidRDefault="00B22C93">
      <w:pPr>
        <w:spacing w:line="360" w:lineRule="auto"/>
        <w:jc w:val="center"/>
        <w:rPr>
          <w:rFonts w:ascii="Times New Roman" w:hAnsi="Times New Roman"/>
          <w:sz w:val="21"/>
          <w:szCs w:val="21"/>
        </w:rPr>
      </w:pPr>
      <w:r w:rsidRPr="005B7419">
        <w:rPr>
          <w:noProof/>
          <w:lang w:eastAsia="zh-CN"/>
        </w:rPr>
        <w:drawing>
          <wp:inline distT="0" distB="0" distL="0" distR="0" wp14:anchorId="2D74C3C5" wp14:editId="09C0F4F6">
            <wp:extent cx="3437890" cy="246507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437890" cy="2465070"/>
                    </a:xfrm>
                    <a:prstGeom prst="rect">
                      <a:avLst/>
                    </a:prstGeom>
                    <a:noFill/>
                    <a:ln>
                      <a:noFill/>
                    </a:ln>
                  </pic:spPr>
                </pic:pic>
              </a:graphicData>
            </a:graphic>
          </wp:inline>
        </w:drawing>
      </w:r>
    </w:p>
    <w:p w14:paraId="32D0DDD7" w14:textId="28C19E42" w:rsidR="0021404A" w:rsidRPr="005B7419" w:rsidRDefault="00C2395A">
      <w:pPr>
        <w:pStyle w:val="12FigureCaptionShort"/>
        <w:rPr>
          <w:color w:val="auto"/>
          <w:sz w:val="18"/>
          <w:szCs w:val="18"/>
        </w:rPr>
      </w:pPr>
      <w:r w:rsidRPr="005B7419">
        <w:rPr>
          <w:b/>
          <w:bCs/>
          <w:color w:val="auto"/>
          <w:sz w:val="18"/>
          <w:szCs w:val="18"/>
        </w:rPr>
        <w:t>Fig. S2.</w:t>
      </w:r>
      <w:r w:rsidRPr="005B7419">
        <w:rPr>
          <w:color w:val="auto"/>
          <w:sz w:val="18"/>
          <w:szCs w:val="18"/>
        </w:rPr>
        <w:t xml:space="preserve"> Phase distribution of the </w:t>
      </w:r>
      <w:r w:rsidR="005B43AC" w:rsidRPr="005B7419">
        <w:rPr>
          <w:color w:val="auto"/>
          <w:sz w:val="18"/>
          <w:szCs w:val="18"/>
        </w:rPr>
        <w:t xml:space="preserve">phase </w:t>
      </w:r>
      <w:r w:rsidR="00FC5D38" w:rsidRPr="005B7419">
        <w:rPr>
          <w:color w:val="auto"/>
          <w:sz w:val="18"/>
          <w:szCs w:val="18"/>
        </w:rPr>
        <w:t>meta</w:t>
      </w:r>
      <w:r w:rsidRPr="005B7419">
        <w:rPr>
          <w:color w:val="auto"/>
          <w:sz w:val="18"/>
          <w:szCs w:val="18"/>
        </w:rPr>
        <w:t>-corrector.</w:t>
      </w:r>
    </w:p>
    <w:p w14:paraId="3DF56255" w14:textId="2579268D" w:rsidR="00A51C90" w:rsidRPr="005B7419" w:rsidRDefault="00A51C90" w:rsidP="00A51C90">
      <w:pPr>
        <w:pStyle w:val="10BodySubsequentParagraph"/>
        <w:rPr>
          <w:color w:val="auto"/>
        </w:rPr>
      </w:pPr>
    </w:p>
    <w:p w14:paraId="03EE224E" w14:textId="035EB90C" w:rsidR="00A51C90" w:rsidRPr="005B7419" w:rsidRDefault="00B22C93" w:rsidP="00A51C90">
      <w:pPr>
        <w:spacing w:line="360" w:lineRule="auto"/>
        <w:jc w:val="center"/>
        <w:rPr>
          <w:rFonts w:ascii="Times New Roman" w:hAnsi="Times New Roman"/>
          <w:sz w:val="21"/>
          <w:szCs w:val="21"/>
        </w:rPr>
      </w:pPr>
      <w:r w:rsidRPr="005B7419">
        <w:rPr>
          <w:rFonts w:ascii="Times New Roman" w:hAnsi="Times New Roman"/>
          <w:noProof/>
          <w:sz w:val="21"/>
          <w:szCs w:val="21"/>
          <w:lang w:eastAsia="zh-CN"/>
        </w:rPr>
        <w:lastRenderedPageBreak/>
        <w:drawing>
          <wp:inline distT="0" distB="0" distL="0" distR="0" wp14:anchorId="21FAF72B" wp14:editId="17F3E9D8">
            <wp:extent cx="3086735" cy="308673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086735" cy="3086735"/>
                    </a:xfrm>
                    <a:prstGeom prst="rect">
                      <a:avLst/>
                    </a:prstGeom>
                    <a:noFill/>
                    <a:ln>
                      <a:noFill/>
                    </a:ln>
                  </pic:spPr>
                </pic:pic>
              </a:graphicData>
            </a:graphic>
          </wp:inline>
        </w:drawing>
      </w:r>
    </w:p>
    <w:p w14:paraId="61A6C381" w14:textId="54A22FDE" w:rsidR="00A51C90" w:rsidRPr="005B7419" w:rsidRDefault="00A51C90" w:rsidP="00581084">
      <w:pPr>
        <w:pStyle w:val="12FigureCaptionShort"/>
        <w:ind w:left="0" w:right="0"/>
        <w:jc w:val="both"/>
        <w:rPr>
          <w:color w:val="auto"/>
          <w:sz w:val="18"/>
          <w:szCs w:val="18"/>
        </w:rPr>
      </w:pPr>
      <w:r w:rsidRPr="005B7419">
        <w:rPr>
          <w:b/>
          <w:bCs/>
          <w:color w:val="auto"/>
          <w:sz w:val="18"/>
          <w:szCs w:val="18"/>
        </w:rPr>
        <w:t>Fig. S3.</w:t>
      </w:r>
      <w:r w:rsidRPr="005B7419">
        <w:rPr>
          <w:color w:val="auto"/>
          <w:sz w:val="18"/>
          <w:szCs w:val="18"/>
        </w:rPr>
        <w:t xml:space="preserve"> Simulated spot diagrams at different wavelengths. The black circles indicate their corresponding Airy disks.</w:t>
      </w:r>
      <w:r w:rsidR="00500EBF" w:rsidRPr="005B7419">
        <w:rPr>
          <w:color w:val="auto"/>
          <w:sz w:val="18"/>
          <w:szCs w:val="18"/>
        </w:rPr>
        <w:t xml:space="preserve"> Scale bare: 20 μm.</w:t>
      </w:r>
    </w:p>
    <w:p w14:paraId="33C8B3B5" w14:textId="4689D792" w:rsidR="00A51C90" w:rsidRDefault="00A51C90" w:rsidP="008245DA">
      <w:pPr>
        <w:pStyle w:val="10BodySubsequentParagraph"/>
        <w:rPr>
          <w:color w:val="auto"/>
          <w:lang w:eastAsia="zh-CN"/>
        </w:rPr>
      </w:pPr>
    </w:p>
    <w:p w14:paraId="22B09BF7" w14:textId="57C25ABF" w:rsidR="0021404A" w:rsidRPr="005B7419" w:rsidRDefault="00C2395A">
      <w:pPr>
        <w:adjustRightInd w:val="0"/>
        <w:snapToGrid w:val="0"/>
        <w:spacing w:after="0" w:line="240" w:lineRule="exact"/>
        <w:rPr>
          <w:rFonts w:ascii="Times New Roman" w:eastAsia="黑体" w:hAnsi="Times New Roman" w:cs="Times New Roman"/>
          <w:b/>
          <w:sz w:val="21"/>
          <w:szCs w:val="21"/>
        </w:rPr>
      </w:pPr>
      <w:r w:rsidRPr="005B7419">
        <w:rPr>
          <w:rFonts w:ascii="Times New Roman" w:eastAsia="黑体" w:hAnsi="Times New Roman" w:cs="Times New Roman"/>
          <w:b/>
          <w:sz w:val="21"/>
          <w:szCs w:val="21"/>
        </w:rPr>
        <w:t xml:space="preserve">S3. Design </w:t>
      </w:r>
      <w:r w:rsidR="00EB068A" w:rsidRPr="005B7419">
        <w:rPr>
          <w:rFonts w:ascii="Times New Roman" w:eastAsia="黑体" w:hAnsi="Times New Roman" w:cs="Times New Roman"/>
          <w:b/>
          <w:sz w:val="21"/>
          <w:szCs w:val="21"/>
        </w:rPr>
        <w:t xml:space="preserve">and </w:t>
      </w:r>
      <w:r w:rsidRPr="005B7419">
        <w:rPr>
          <w:rFonts w:ascii="Times New Roman" w:eastAsia="黑体" w:hAnsi="Times New Roman" w:cs="Times New Roman"/>
          <w:b/>
          <w:sz w:val="21"/>
          <w:szCs w:val="21"/>
        </w:rPr>
        <w:t xml:space="preserve">of </w:t>
      </w:r>
      <w:r w:rsidR="004723CB" w:rsidRPr="005B7419">
        <w:rPr>
          <w:rFonts w:ascii="Times New Roman" w:eastAsia="黑体" w:hAnsi="Times New Roman" w:cs="Times New Roman"/>
          <w:b/>
          <w:sz w:val="21"/>
          <w:szCs w:val="21"/>
        </w:rPr>
        <w:t>catenary-like</w:t>
      </w:r>
      <w:r w:rsidRPr="005B7419">
        <w:rPr>
          <w:rFonts w:ascii="Times New Roman" w:eastAsia="黑体" w:hAnsi="Times New Roman" w:cs="Times New Roman"/>
          <w:b/>
          <w:sz w:val="21"/>
          <w:szCs w:val="21"/>
        </w:rPr>
        <w:t xml:space="preserve"> metasurfaces</w:t>
      </w:r>
    </w:p>
    <w:p w14:paraId="2F901CD8" w14:textId="2373D595" w:rsidR="00EB068A" w:rsidRPr="005B7419" w:rsidRDefault="001843FD" w:rsidP="005B7419">
      <w:pPr>
        <w:pStyle w:val="09BodyFirstParagraph"/>
        <w:ind w:firstLineChars="200" w:firstLine="420"/>
        <w:rPr>
          <w:color w:val="auto"/>
          <w:sz w:val="21"/>
          <w:szCs w:val="21"/>
        </w:rPr>
      </w:pPr>
      <w:bookmarkStart w:id="17" w:name="_Hlk130222044"/>
      <w:bookmarkStart w:id="18" w:name="_Hlk130417305"/>
      <w:r w:rsidRPr="005B7419">
        <w:rPr>
          <w:color w:val="auto"/>
          <w:sz w:val="21"/>
          <w:szCs w:val="21"/>
        </w:rPr>
        <w:t xml:space="preserve">The principle of the </w:t>
      </w:r>
      <w:r w:rsidR="004723CB" w:rsidRPr="005B7419">
        <w:rPr>
          <w:color w:val="auto"/>
          <w:sz w:val="21"/>
          <w:szCs w:val="21"/>
        </w:rPr>
        <w:t>catenary-like</w:t>
      </w:r>
      <w:r w:rsidRPr="005B7419">
        <w:rPr>
          <w:color w:val="auto"/>
          <w:sz w:val="21"/>
          <w:szCs w:val="21"/>
        </w:rPr>
        <w:t xml:space="preserve"> metasurface for phase control is based on the geometric phase carried on the spin-flipped component.</w:t>
      </w:r>
      <w:r w:rsidR="00D902B0" w:rsidRPr="005B7419">
        <w:rPr>
          <w:color w:val="auto"/>
          <w:sz w:val="21"/>
          <w:szCs w:val="21"/>
        </w:rPr>
        <w:t xml:space="preserve"> As shown in Fig. </w:t>
      </w:r>
      <w:r w:rsidR="00A51C90" w:rsidRPr="005B7419">
        <w:rPr>
          <w:color w:val="auto"/>
          <w:sz w:val="21"/>
          <w:szCs w:val="21"/>
        </w:rPr>
        <w:t>S4</w:t>
      </w:r>
      <w:r w:rsidR="00D902B0" w:rsidRPr="005B7419">
        <w:rPr>
          <w:color w:val="auto"/>
          <w:sz w:val="21"/>
          <w:szCs w:val="21"/>
        </w:rPr>
        <w:t>(a),</w:t>
      </w:r>
      <w:r w:rsidRPr="005B7419">
        <w:rPr>
          <w:color w:val="auto"/>
          <w:sz w:val="21"/>
          <w:szCs w:val="21"/>
        </w:rPr>
        <w:t xml:space="preserve"> </w:t>
      </w:r>
      <w:r w:rsidR="00D902B0" w:rsidRPr="005B7419">
        <w:rPr>
          <w:color w:val="auto"/>
          <w:sz w:val="21"/>
          <w:szCs w:val="21"/>
        </w:rPr>
        <w:t>t</w:t>
      </w:r>
      <w:r w:rsidRPr="005B7419">
        <w:rPr>
          <w:color w:val="auto"/>
          <w:sz w:val="21"/>
          <w:szCs w:val="21"/>
        </w:rPr>
        <w:t xml:space="preserve">he unit cell of the </w:t>
      </w:r>
      <w:r w:rsidR="004723CB" w:rsidRPr="005B7419">
        <w:rPr>
          <w:color w:val="auto"/>
          <w:sz w:val="21"/>
          <w:szCs w:val="21"/>
        </w:rPr>
        <w:t>catenary-like</w:t>
      </w:r>
      <w:r w:rsidRPr="005B7419">
        <w:rPr>
          <w:color w:val="auto"/>
          <w:sz w:val="21"/>
          <w:szCs w:val="21"/>
        </w:rPr>
        <w:t xml:space="preserve"> metasurface</w:t>
      </w:r>
      <w:r w:rsidR="00D902B0" w:rsidRPr="005B7419">
        <w:rPr>
          <w:color w:val="auto"/>
          <w:sz w:val="21"/>
          <w:szCs w:val="21"/>
        </w:rPr>
        <w:t xml:space="preserve"> is a one-dimensional grating and</w:t>
      </w:r>
      <w:r w:rsidRPr="005B7419">
        <w:rPr>
          <w:color w:val="auto"/>
          <w:sz w:val="21"/>
          <w:szCs w:val="21"/>
        </w:rPr>
        <w:t xml:space="preserve"> operates as a local 1/2 waveplate to implement the geometric phase of -2</w:t>
      </w:r>
      <w:r w:rsidRPr="005B7419">
        <w:rPr>
          <w:i/>
          <w:iCs/>
          <w:color w:val="auto"/>
          <w:sz w:val="21"/>
          <w:szCs w:val="21"/>
        </w:rPr>
        <w:t>σα</w:t>
      </w:r>
      <w:r w:rsidRPr="005B7419">
        <w:rPr>
          <w:color w:val="auto"/>
          <w:sz w:val="21"/>
          <w:szCs w:val="21"/>
        </w:rPr>
        <w:t xml:space="preserve"> with high efficiency, where </w:t>
      </w:r>
      <w:r w:rsidRPr="005B7419">
        <w:rPr>
          <w:i/>
          <w:iCs/>
          <w:color w:val="auto"/>
          <w:sz w:val="21"/>
          <w:szCs w:val="21"/>
        </w:rPr>
        <w:t>σ</w:t>
      </w:r>
      <w:r w:rsidR="00905C6B" w:rsidRPr="005B7419">
        <w:rPr>
          <w:i/>
          <w:iCs/>
          <w:color w:val="auto"/>
          <w:sz w:val="21"/>
          <w:szCs w:val="21"/>
        </w:rPr>
        <w:t xml:space="preserve"> </w:t>
      </w:r>
      <w:r w:rsidRPr="005B7419">
        <w:rPr>
          <w:color w:val="auto"/>
          <w:sz w:val="21"/>
          <w:szCs w:val="21"/>
        </w:rPr>
        <w:t>=</w:t>
      </w:r>
      <w:r w:rsidR="00905C6B" w:rsidRPr="005B7419">
        <w:rPr>
          <w:color w:val="auto"/>
          <w:sz w:val="21"/>
          <w:szCs w:val="21"/>
        </w:rPr>
        <w:t xml:space="preserve"> </w:t>
      </w:r>
      <w:r w:rsidRPr="005B7419">
        <w:rPr>
          <w:color w:val="auto"/>
          <w:sz w:val="21"/>
          <w:szCs w:val="21"/>
        </w:rPr>
        <w:t>±1 indicates the spin state of incident circular polarization and</w:t>
      </w:r>
      <w:r w:rsidR="00D902B0" w:rsidRPr="005B7419">
        <w:rPr>
          <w:color w:val="auto"/>
          <w:sz w:val="21"/>
          <w:szCs w:val="21"/>
        </w:rPr>
        <w:t xml:space="preserve"> </w:t>
      </w:r>
      <w:r w:rsidRPr="005B7419">
        <w:rPr>
          <w:rFonts w:cs="Times New Roman"/>
          <w:i/>
          <w:iCs/>
          <w:color w:val="auto"/>
          <w:sz w:val="21"/>
          <w:szCs w:val="21"/>
        </w:rPr>
        <w:t>α</w:t>
      </w:r>
      <w:r w:rsidRPr="005B7419">
        <w:rPr>
          <w:color w:val="auto"/>
          <w:sz w:val="21"/>
          <w:szCs w:val="21"/>
        </w:rPr>
        <w:t xml:space="preserve"> is the </w:t>
      </w:r>
      <w:r w:rsidR="00905C6B" w:rsidRPr="005B7419">
        <w:rPr>
          <w:color w:val="auto"/>
          <w:sz w:val="21"/>
          <w:szCs w:val="21"/>
        </w:rPr>
        <w:t xml:space="preserve">local </w:t>
      </w:r>
      <w:r w:rsidRPr="005B7419">
        <w:rPr>
          <w:color w:val="auto"/>
          <w:sz w:val="21"/>
          <w:szCs w:val="21"/>
        </w:rPr>
        <w:t xml:space="preserve">rotation angle of </w:t>
      </w:r>
      <w:r w:rsidR="00C50518" w:rsidRPr="005B7419">
        <w:rPr>
          <w:color w:val="auto"/>
          <w:sz w:val="21"/>
          <w:szCs w:val="21"/>
        </w:rPr>
        <w:t>the grating fin</w:t>
      </w:r>
      <w:r w:rsidR="006467F8" w:rsidRPr="005B7419">
        <w:rPr>
          <w:color w:val="auto"/>
          <w:sz w:val="21"/>
          <w:szCs w:val="21"/>
        </w:rPr>
        <w:t>s</w:t>
      </w:r>
      <w:r w:rsidRPr="005B7419">
        <w:rPr>
          <w:color w:val="auto"/>
          <w:sz w:val="21"/>
          <w:szCs w:val="21"/>
        </w:rPr>
        <w:t>.</w:t>
      </w:r>
      <w:r w:rsidR="00905C6B" w:rsidRPr="005B7419">
        <w:rPr>
          <w:color w:val="auto"/>
          <w:sz w:val="21"/>
          <w:szCs w:val="21"/>
        </w:rPr>
        <w:t xml:space="preserve"> </w:t>
      </w:r>
      <w:r w:rsidR="00684867" w:rsidRPr="005B7419">
        <w:rPr>
          <w:color w:val="auto"/>
          <w:sz w:val="21"/>
          <w:szCs w:val="21"/>
        </w:rPr>
        <w:t xml:space="preserve">The polarization-conversion efficiency spectrum of the unit cell is displayed in Fig. </w:t>
      </w:r>
      <w:r w:rsidR="00A51C90" w:rsidRPr="005B7419">
        <w:rPr>
          <w:color w:val="auto"/>
          <w:sz w:val="21"/>
          <w:szCs w:val="21"/>
        </w:rPr>
        <w:t>S4</w:t>
      </w:r>
      <w:r w:rsidR="00684867" w:rsidRPr="005B7419">
        <w:rPr>
          <w:color w:val="auto"/>
          <w:sz w:val="21"/>
          <w:szCs w:val="21"/>
        </w:rPr>
        <w:t xml:space="preserve">. It is defined as the ratio of the power of transmissive spin-flipped light to the total transmissive power. As can be seen, the average polarization-conversion efficiency can exceed 99% within 8~14 μm. </w:t>
      </w:r>
      <w:r w:rsidR="00DD3E8C" w:rsidRPr="005B7419">
        <w:rPr>
          <w:color w:val="auto"/>
          <w:sz w:val="21"/>
          <w:szCs w:val="24"/>
        </w:rPr>
        <w:t xml:space="preserve">The finite-element method in CST Microwave Studio was applied to simulate unit cells. A perfectly matched layer boundary condition was employed in the </w:t>
      </w:r>
      <w:r w:rsidR="00DD3E8C" w:rsidRPr="005B7419">
        <w:rPr>
          <w:i/>
          <w:iCs/>
          <w:color w:val="auto"/>
          <w:sz w:val="21"/>
          <w:szCs w:val="24"/>
        </w:rPr>
        <w:t>z</w:t>
      </w:r>
      <w:r w:rsidR="00DD3E8C" w:rsidRPr="005B7419">
        <w:rPr>
          <w:color w:val="auto"/>
          <w:sz w:val="21"/>
          <w:szCs w:val="24"/>
        </w:rPr>
        <w:t xml:space="preserve">-direction, and the unit cell boundary conditions were applied in the </w:t>
      </w:r>
      <w:r w:rsidR="00DD3E8C" w:rsidRPr="005B7419">
        <w:rPr>
          <w:i/>
          <w:iCs/>
          <w:color w:val="auto"/>
          <w:sz w:val="21"/>
          <w:szCs w:val="24"/>
        </w:rPr>
        <w:t>x</w:t>
      </w:r>
      <w:r w:rsidR="00DD3E8C" w:rsidRPr="005B7419">
        <w:rPr>
          <w:color w:val="auto"/>
          <w:sz w:val="21"/>
          <w:szCs w:val="24"/>
        </w:rPr>
        <w:t xml:space="preserve">- and </w:t>
      </w:r>
      <w:r w:rsidR="00DD3E8C" w:rsidRPr="005B7419">
        <w:rPr>
          <w:i/>
          <w:iCs/>
          <w:color w:val="auto"/>
          <w:sz w:val="21"/>
          <w:szCs w:val="24"/>
        </w:rPr>
        <w:t>y</w:t>
      </w:r>
      <w:r w:rsidR="00DD3E8C" w:rsidRPr="005B7419">
        <w:rPr>
          <w:color w:val="auto"/>
          <w:sz w:val="21"/>
          <w:szCs w:val="24"/>
        </w:rPr>
        <w:t>-directions. The refractive index of silicon was set as a constant at 3.36 [</w:t>
      </w:r>
      <w:r w:rsidR="00012624">
        <w:rPr>
          <w:color w:val="auto"/>
          <w:sz w:val="21"/>
          <w:szCs w:val="24"/>
        </w:rPr>
        <w:t>1</w:t>
      </w:r>
      <w:r w:rsidR="00DD3E8C" w:rsidRPr="005B7419">
        <w:rPr>
          <w:color w:val="auto"/>
          <w:sz w:val="21"/>
          <w:szCs w:val="24"/>
        </w:rPr>
        <w:t>].</w:t>
      </w:r>
    </w:p>
    <w:p w14:paraId="6C5C1929" w14:textId="565C575B" w:rsidR="0021404A" w:rsidRPr="005B7419" w:rsidRDefault="007D0D76" w:rsidP="00EB068A">
      <w:pPr>
        <w:pStyle w:val="10BodySubsequentParagraph"/>
        <w:rPr>
          <w:color w:val="auto"/>
          <w:sz w:val="21"/>
          <w:szCs w:val="21"/>
        </w:rPr>
      </w:pPr>
      <w:r w:rsidRPr="005B7419">
        <w:rPr>
          <w:color w:val="auto"/>
          <w:sz w:val="21"/>
          <w:szCs w:val="21"/>
        </w:rPr>
        <w:t xml:space="preserve">The phase distribution of the </w:t>
      </w:r>
      <w:r w:rsidR="004723CB" w:rsidRPr="005B7419">
        <w:rPr>
          <w:color w:val="auto"/>
          <w:sz w:val="21"/>
          <w:szCs w:val="21"/>
        </w:rPr>
        <w:t>catenary-like</w:t>
      </w:r>
      <w:r w:rsidRPr="005B7419">
        <w:rPr>
          <w:color w:val="auto"/>
          <w:sz w:val="21"/>
          <w:szCs w:val="21"/>
        </w:rPr>
        <w:t xml:space="preserve"> metasurface is -2σπ</w:t>
      </w:r>
      <w:r w:rsidRPr="005B7419">
        <w:rPr>
          <w:i/>
          <w:iCs/>
          <w:color w:val="auto"/>
          <w:sz w:val="21"/>
          <w:szCs w:val="21"/>
        </w:rPr>
        <w:t>x</w:t>
      </w:r>
      <w:r w:rsidRPr="005B7419">
        <w:rPr>
          <w:color w:val="auto"/>
          <w:sz w:val="21"/>
          <w:szCs w:val="21"/>
        </w:rPr>
        <w:t>/</w:t>
      </w:r>
      <w:r w:rsidR="008F0153" w:rsidRPr="005B7419">
        <w:rPr>
          <w:i/>
          <w:iCs/>
          <w:color w:val="auto"/>
          <w:sz w:val="21"/>
          <w:szCs w:val="21"/>
        </w:rPr>
        <w:t>p</w:t>
      </w:r>
      <w:r w:rsidRPr="005B7419">
        <w:rPr>
          <w:i/>
          <w:iCs/>
          <w:color w:val="auto"/>
          <w:sz w:val="21"/>
          <w:szCs w:val="21"/>
        </w:rPr>
        <w:t>,</w:t>
      </w:r>
      <w:r w:rsidRPr="005B7419">
        <w:rPr>
          <w:color w:val="auto"/>
          <w:sz w:val="21"/>
          <w:szCs w:val="21"/>
        </w:rPr>
        <w:t xml:space="preserve"> which means the orientation distribution</w:t>
      </w:r>
      <w:r w:rsidR="00684867" w:rsidRPr="005B7419">
        <w:rPr>
          <w:color w:val="auto"/>
          <w:sz w:val="21"/>
          <w:szCs w:val="21"/>
        </w:rPr>
        <w:t xml:space="preserve"> of the grating fins</w:t>
      </w:r>
      <w:r w:rsidRPr="005B7419">
        <w:rPr>
          <w:color w:val="auto"/>
          <w:sz w:val="21"/>
          <w:szCs w:val="21"/>
        </w:rPr>
        <w:t xml:space="preserve"> is </w:t>
      </w:r>
      <w:r w:rsidRPr="005B7419">
        <w:rPr>
          <w:i/>
          <w:iCs/>
          <w:color w:val="auto"/>
          <w:sz w:val="21"/>
          <w:szCs w:val="21"/>
        </w:rPr>
        <w:t xml:space="preserve">α = </w:t>
      </w:r>
      <w:r w:rsidRPr="005B7419">
        <w:rPr>
          <w:color w:val="auto"/>
          <w:sz w:val="21"/>
          <w:szCs w:val="21"/>
        </w:rPr>
        <w:t>π</w:t>
      </w:r>
      <w:r w:rsidRPr="005B7419">
        <w:rPr>
          <w:i/>
          <w:iCs/>
          <w:color w:val="auto"/>
          <w:sz w:val="21"/>
          <w:szCs w:val="21"/>
        </w:rPr>
        <w:t>x</w:t>
      </w:r>
      <w:r w:rsidRPr="005B7419">
        <w:rPr>
          <w:color w:val="auto"/>
          <w:sz w:val="21"/>
          <w:szCs w:val="21"/>
        </w:rPr>
        <w:t>/</w:t>
      </w:r>
      <w:r w:rsidR="008F0153" w:rsidRPr="005B7419">
        <w:rPr>
          <w:i/>
          <w:iCs/>
          <w:color w:val="auto"/>
          <w:sz w:val="21"/>
          <w:szCs w:val="21"/>
        </w:rPr>
        <w:t>p</w:t>
      </w:r>
      <w:r w:rsidRPr="005B7419">
        <w:rPr>
          <w:color w:val="auto"/>
          <w:sz w:val="21"/>
          <w:szCs w:val="21"/>
        </w:rPr>
        <w:t>.</w:t>
      </w:r>
      <w:r w:rsidR="00354429" w:rsidRPr="005B7419">
        <w:rPr>
          <w:color w:val="auto"/>
          <w:sz w:val="21"/>
          <w:szCs w:val="21"/>
        </w:rPr>
        <w:t xml:space="preserve"> To fully collect the transmitted light of two cascaded </w:t>
      </w:r>
      <w:r w:rsidR="004723CB" w:rsidRPr="005B7419">
        <w:rPr>
          <w:color w:val="auto"/>
          <w:sz w:val="21"/>
          <w:szCs w:val="21"/>
        </w:rPr>
        <w:t>catenary-like</w:t>
      </w:r>
      <w:r w:rsidR="00354429" w:rsidRPr="005B7419">
        <w:rPr>
          <w:color w:val="auto"/>
          <w:sz w:val="21"/>
          <w:szCs w:val="21"/>
        </w:rPr>
        <w:t xml:space="preserve"> metasurfaces, the maximum diffraction angle should be smaller than the FOV of the broadband achromatic Fourier lens group. The period </w:t>
      </w:r>
      <w:r w:rsidR="008F0153" w:rsidRPr="005B7419">
        <w:rPr>
          <w:i/>
          <w:iCs/>
          <w:color w:val="auto"/>
          <w:sz w:val="21"/>
          <w:szCs w:val="21"/>
        </w:rPr>
        <w:t>p</w:t>
      </w:r>
      <w:r w:rsidR="00354429" w:rsidRPr="005B7419">
        <w:rPr>
          <w:color w:val="auto"/>
          <w:sz w:val="21"/>
          <w:szCs w:val="21"/>
        </w:rPr>
        <w:t xml:space="preserve"> of </w:t>
      </w:r>
      <w:r w:rsidR="009E4AD3" w:rsidRPr="005B7419">
        <w:rPr>
          <w:color w:val="auto"/>
          <w:sz w:val="21"/>
          <w:szCs w:val="21"/>
        </w:rPr>
        <w:t xml:space="preserve">the </w:t>
      </w:r>
      <w:r w:rsidR="004723CB" w:rsidRPr="005B7419">
        <w:rPr>
          <w:color w:val="auto"/>
          <w:sz w:val="21"/>
          <w:szCs w:val="21"/>
        </w:rPr>
        <w:t>catenary-like</w:t>
      </w:r>
      <w:r w:rsidR="00354429" w:rsidRPr="005B7419">
        <w:rPr>
          <w:color w:val="auto"/>
          <w:sz w:val="21"/>
          <w:szCs w:val="21"/>
        </w:rPr>
        <w:t xml:space="preserve"> metasurface </w:t>
      </w:r>
      <w:r w:rsidR="00D902B0" w:rsidRPr="005B7419">
        <w:rPr>
          <w:color w:val="auto"/>
          <w:sz w:val="21"/>
          <w:szCs w:val="21"/>
        </w:rPr>
        <w:t>is</w:t>
      </w:r>
      <w:r w:rsidR="00354429" w:rsidRPr="005B7419">
        <w:rPr>
          <w:color w:val="auto"/>
          <w:sz w:val="21"/>
          <w:szCs w:val="21"/>
        </w:rPr>
        <w:t xml:space="preserve"> 1/17 mm (17 lp/mm) along the </w:t>
      </w:r>
      <w:r w:rsidR="00354429" w:rsidRPr="005B7419">
        <w:rPr>
          <w:i/>
          <w:iCs/>
          <w:color w:val="auto"/>
          <w:sz w:val="21"/>
          <w:szCs w:val="21"/>
        </w:rPr>
        <w:t>x</w:t>
      </w:r>
      <w:r w:rsidR="00354429" w:rsidRPr="005B7419">
        <w:rPr>
          <w:color w:val="auto"/>
          <w:sz w:val="21"/>
          <w:szCs w:val="21"/>
        </w:rPr>
        <w:t xml:space="preserve">-direction and is periodic along the </w:t>
      </w:r>
      <w:r w:rsidR="00354429" w:rsidRPr="005B7419">
        <w:rPr>
          <w:i/>
          <w:iCs/>
          <w:color w:val="auto"/>
          <w:sz w:val="21"/>
          <w:szCs w:val="21"/>
        </w:rPr>
        <w:t>y</w:t>
      </w:r>
      <w:r w:rsidR="00354429" w:rsidRPr="005B7419">
        <w:rPr>
          <w:color w:val="auto"/>
          <w:sz w:val="21"/>
          <w:szCs w:val="21"/>
        </w:rPr>
        <w:t>-direction, where the unit of lp/mm indicates the number of periods in 1 mm</w:t>
      </w:r>
      <w:r w:rsidR="00D902B0" w:rsidRPr="005B7419">
        <w:rPr>
          <w:color w:val="auto"/>
          <w:sz w:val="21"/>
          <w:szCs w:val="21"/>
        </w:rPr>
        <w:t>.</w:t>
      </w:r>
      <w:r w:rsidR="00C50518" w:rsidRPr="005B7419">
        <w:rPr>
          <w:rFonts w:hint="eastAsia"/>
          <w:color w:val="auto"/>
          <w:sz w:val="21"/>
          <w:szCs w:val="21"/>
          <w:lang w:eastAsia="zh-CN"/>
        </w:rPr>
        <w:t xml:space="preserve"> </w:t>
      </w:r>
      <w:r w:rsidR="001843FD" w:rsidRPr="005B7419">
        <w:rPr>
          <w:color w:val="auto"/>
          <w:sz w:val="21"/>
          <w:szCs w:val="21"/>
        </w:rPr>
        <w:t>Since the orientation profile linearly changes with the coordinates, its structural streamline</w:t>
      </w:r>
      <w:r w:rsidR="00C50518" w:rsidRPr="005B7419">
        <w:rPr>
          <w:color w:val="auto"/>
          <w:sz w:val="21"/>
          <w:szCs w:val="21"/>
        </w:rPr>
        <w:t xml:space="preserve"> illustrated by the dash</w:t>
      </w:r>
      <w:r w:rsidR="009E4AD3" w:rsidRPr="005B7419">
        <w:rPr>
          <w:color w:val="auto"/>
          <w:sz w:val="21"/>
          <w:szCs w:val="21"/>
        </w:rPr>
        <w:t>ed</w:t>
      </w:r>
      <w:r w:rsidR="00C50518" w:rsidRPr="005B7419">
        <w:rPr>
          <w:color w:val="auto"/>
          <w:sz w:val="21"/>
          <w:szCs w:val="21"/>
        </w:rPr>
        <w:t xml:space="preserve"> curve in Fig. </w:t>
      </w:r>
      <w:r w:rsidR="00A51C90" w:rsidRPr="005B7419">
        <w:rPr>
          <w:color w:val="auto"/>
          <w:sz w:val="21"/>
          <w:szCs w:val="21"/>
        </w:rPr>
        <w:t>S4</w:t>
      </w:r>
      <w:r w:rsidR="00C50518" w:rsidRPr="005B7419">
        <w:rPr>
          <w:color w:val="auto"/>
          <w:sz w:val="21"/>
          <w:szCs w:val="21"/>
        </w:rPr>
        <w:t>(b)</w:t>
      </w:r>
      <w:r w:rsidR="001843FD" w:rsidRPr="005B7419">
        <w:rPr>
          <w:color w:val="auto"/>
          <w:sz w:val="21"/>
          <w:szCs w:val="21"/>
        </w:rPr>
        <w:t xml:space="preserve"> forms the “catenary of equal strength”: </w:t>
      </w:r>
      <w:r w:rsidR="001843FD" w:rsidRPr="005B7419">
        <w:rPr>
          <w:i/>
          <w:iCs/>
          <w:color w:val="auto"/>
          <w:sz w:val="21"/>
          <w:szCs w:val="21"/>
        </w:rPr>
        <w:t>y</w:t>
      </w:r>
      <w:r w:rsidR="001843FD" w:rsidRPr="005B7419">
        <w:rPr>
          <w:color w:val="auto"/>
          <w:sz w:val="21"/>
          <w:szCs w:val="21"/>
        </w:rPr>
        <w:t xml:space="preserve"> = </w:t>
      </w:r>
      <w:r w:rsidR="008F0153" w:rsidRPr="005B7419">
        <w:rPr>
          <w:i/>
          <w:iCs/>
          <w:color w:val="auto"/>
          <w:sz w:val="21"/>
          <w:szCs w:val="21"/>
        </w:rPr>
        <w:t>p</w:t>
      </w:r>
      <w:r w:rsidR="001843FD" w:rsidRPr="005B7419">
        <w:rPr>
          <w:color w:val="auto"/>
          <w:sz w:val="21"/>
          <w:szCs w:val="21"/>
        </w:rPr>
        <w:t>/π·ln|sec(π</w:t>
      </w:r>
      <w:r w:rsidR="001843FD" w:rsidRPr="005B7419">
        <w:rPr>
          <w:i/>
          <w:iCs/>
          <w:color w:val="auto"/>
          <w:sz w:val="21"/>
          <w:szCs w:val="21"/>
        </w:rPr>
        <w:t>x</w:t>
      </w:r>
      <w:r w:rsidR="001843FD" w:rsidRPr="005B7419">
        <w:rPr>
          <w:color w:val="auto"/>
          <w:sz w:val="21"/>
          <w:szCs w:val="21"/>
        </w:rPr>
        <w:t>/</w:t>
      </w:r>
      <w:r w:rsidR="008F0153" w:rsidRPr="005B7419">
        <w:rPr>
          <w:i/>
          <w:iCs/>
          <w:color w:val="auto"/>
          <w:sz w:val="21"/>
          <w:szCs w:val="21"/>
        </w:rPr>
        <w:t>p</w:t>
      </w:r>
      <w:r w:rsidR="001843FD" w:rsidRPr="005B7419">
        <w:rPr>
          <w:color w:val="auto"/>
          <w:sz w:val="21"/>
          <w:szCs w:val="21"/>
        </w:rPr>
        <w:t xml:space="preserve">)| according to mathematical integral. In the specific design, it has been quantified by 8 levels </w:t>
      </w:r>
      <w:r w:rsidR="001843FD" w:rsidRPr="005B7419">
        <w:rPr>
          <w:rFonts w:hint="eastAsia"/>
          <w:color w:val="auto"/>
          <w:sz w:val="21"/>
          <w:szCs w:val="21"/>
        </w:rPr>
        <w:t>and</w:t>
      </w:r>
      <w:r w:rsidR="001843FD" w:rsidRPr="005B7419">
        <w:rPr>
          <w:color w:val="auto"/>
          <w:sz w:val="21"/>
          <w:szCs w:val="21"/>
        </w:rPr>
        <w:t xml:space="preserve"> each part has a width of 6.5 μm</w:t>
      </w:r>
      <w:r w:rsidR="00684867" w:rsidRPr="005B7419">
        <w:rPr>
          <w:color w:val="auto"/>
          <w:sz w:val="21"/>
          <w:szCs w:val="21"/>
        </w:rPr>
        <w:t xml:space="preserve">, as shown in Fig. </w:t>
      </w:r>
      <w:r w:rsidR="00A51C90" w:rsidRPr="005B7419">
        <w:rPr>
          <w:color w:val="auto"/>
          <w:sz w:val="21"/>
          <w:szCs w:val="21"/>
        </w:rPr>
        <w:t>4</w:t>
      </w:r>
      <w:r w:rsidR="00684867" w:rsidRPr="005B7419">
        <w:rPr>
          <w:color w:val="auto"/>
          <w:sz w:val="21"/>
          <w:szCs w:val="21"/>
        </w:rPr>
        <w:t>(b)</w:t>
      </w:r>
      <w:r w:rsidR="001843FD" w:rsidRPr="005B7419">
        <w:rPr>
          <w:color w:val="auto"/>
          <w:sz w:val="21"/>
          <w:szCs w:val="21"/>
        </w:rPr>
        <w:t>.</w:t>
      </w:r>
      <w:bookmarkEnd w:id="17"/>
      <w:r w:rsidR="001843FD" w:rsidRPr="005B7419">
        <w:rPr>
          <w:color w:val="auto"/>
          <w:sz w:val="21"/>
          <w:szCs w:val="21"/>
        </w:rPr>
        <w:t xml:space="preserve"> </w:t>
      </w:r>
    </w:p>
    <w:p w14:paraId="243E3035" w14:textId="77777777" w:rsidR="0021404A" w:rsidRPr="005B7419" w:rsidRDefault="0021404A">
      <w:pPr>
        <w:pStyle w:val="10BodySubsequentParagraph"/>
        <w:rPr>
          <w:color w:val="auto"/>
          <w:sz w:val="21"/>
          <w:szCs w:val="21"/>
        </w:rPr>
      </w:pPr>
    </w:p>
    <w:p w14:paraId="00CC33E7" w14:textId="6D30610B" w:rsidR="0021404A" w:rsidRPr="005B7419" w:rsidRDefault="00B22C93">
      <w:pPr>
        <w:pStyle w:val="10BodySubsequentParagraph"/>
        <w:jc w:val="center"/>
        <w:rPr>
          <w:color w:val="auto"/>
          <w:sz w:val="21"/>
          <w:szCs w:val="21"/>
        </w:rPr>
      </w:pPr>
      <w:r w:rsidRPr="005B7419">
        <w:rPr>
          <w:noProof/>
          <w:color w:val="auto"/>
          <w:lang w:eastAsia="zh-CN"/>
        </w:rPr>
        <w:lastRenderedPageBreak/>
        <w:drawing>
          <wp:inline distT="0" distB="0" distL="0" distR="0" wp14:anchorId="08302330" wp14:editId="11FFD54F">
            <wp:extent cx="5861713" cy="2418710"/>
            <wp:effectExtent l="0" t="0" r="5715" b="127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877334" cy="2425156"/>
                    </a:xfrm>
                    <a:prstGeom prst="rect">
                      <a:avLst/>
                    </a:prstGeom>
                    <a:noFill/>
                    <a:ln>
                      <a:noFill/>
                    </a:ln>
                  </pic:spPr>
                </pic:pic>
              </a:graphicData>
            </a:graphic>
          </wp:inline>
        </w:drawing>
      </w:r>
    </w:p>
    <w:p w14:paraId="34EFE5CF" w14:textId="791CE807" w:rsidR="0021404A" w:rsidRPr="005B7419" w:rsidRDefault="00C2395A" w:rsidP="00581084">
      <w:pPr>
        <w:pStyle w:val="12FigureCaptionShort"/>
        <w:ind w:left="0" w:right="0"/>
        <w:jc w:val="both"/>
        <w:rPr>
          <w:color w:val="auto"/>
          <w:sz w:val="18"/>
          <w:szCs w:val="18"/>
        </w:rPr>
      </w:pPr>
      <w:r w:rsidRPr="005B7419">
        <w:rPr>
          <w:b/>
          <w:bCs/>
          <w:color w:val="auto"/>
          <w:sz w:val="18"/>
          <w:szCs w:val="18"/>
        </w:rPr>
        <w:t xml:space="preserve">Fig. </w:t>
      </w:r>
      <w:r w:rsidR="00A51C90" w:rsidRPr="005B7419">
        <w:rPr>
          <w:b/>
          <w:bCs/>
          <w:color w:val="auto"/>
          <w:sz w:val="18"/>
          <w:szCs w:val="18"/>
        </w:rPr>
        <w:t>S4</w:t>
      </w:r>
      <w:r w:rsidRPr="005B7419">
        <w:rPr>
          <w:b/>
          <w:bCs/>
          <w:color w:val="auto"/>
          <w:sz w:val="18"/>
          <w:szCs w:val="18"/>
        </w:rPr>
        <w:t>.</w:t>
      </w:r>
      <w:r w:rsidRPr="005B7419">
        <w:rPr>
          <w:color w:val="auto"/>
          <w:sz w:val="18"/>
          <w:szCs w:val="18"/>
        </w:rPr>
        <w:t xml:space="preserve"> </w:t>
      </w:r>
      <w:r w:rsidR="00480AF5" w:rsidRPr="005B7419">
        <w:rPr>
          <w:color w:val="auto"/>
          <w:sz w:val="18"/>
          <w:szCs w:val="18"/>
        </w:rPr>
        <w:t>(a) P</w:t>
      </w:r>
      <w:r w:rsidRPr="005B7419">
        <w:rPr>
          <w:color w:val="auto"/>
          <w:sz w:val="18"/>
          <w:szCs w:val="18"/>
        </w:rPr>
        <w:t>olarization-conversion efficiency spectrum and schematic diagram</w:t>
      </w:r>
      <w:r w:rsidR="00480AF5" w:rsidRPr="005B7419">
        <w:rPr>
          <w:color w:val="auto"/>
          <w:sz w:val="18"/>
          <w:szCs w:val="18"/>
        </w:rPr>
        <w:t xml:space="preserve"> of the unit-cell of the </w:t>
      </w:r>
      <w:r w:rsidR="004723CB" w:rsidRPr="005B7419">
        <w:rPr>
          <w:color w:val="auto"/>
          <w:sz w:val="18"/>
          <w:szCs w:val="18"/>
        </w:rPr>
        <w:t>catenary-like</w:t>
      </w:r>
      <w:r w:rsidR="00480AF5" w:rsidRPr="005B7419">
        <w:rPr>
          <w:color w:val="auto"/>
          <w:sz w:val="18"/>
          <w:szCs w:val="18"/>
        </w:rPr>
        <w:t xml:space="preserve"> metasurface</w:t>
      </w:r>
      <w:r w:rsidRPr="005B7419">
        <w:rPr>
          <w:color w:val="auto"/>
          <w:sz w:val="18"/>
          <w:szCs w:val="18"/>
        </w:rPr>
        <w:t xml:space="preserve">. Geometrical parameters: </w:t>
      </w:r>
      <w:r w:rsidRPr="005B7419">
        <w:rPr>
          <w:i/>
          <w:iCs/>
          <w:color w:val="auto"/>
          <w:sz w:val="18"/>
          <w:szCs w:val="18"/>
        </w:rPr>
        <w:t>h</w:t>
      </w:r>
      <w:r w:rsidRPr="005B7419">
        <w:rPr>
          <w:color w:val="auto"/>
          <w:sz w:val="18"/>
          <w:szCs w:val="18"/>
        </w:rPr>
        <w:t xml:space="preserve"> = 6 μm, </w:t>
      </w:r>
      <w:r w:rsidRPr="005B7419">
        <w:rPr>
          <w:i/>
          <w:iCs/>
          <w:color w:val="auto"/>
          <w:sz w:val="18"/>
          <w:szCs w:val="18"/>
        </w:rPr>
        <w:t>d</w:t>
      </w:r>
      <w:r w:rsidRPr="005B7419">
        <w:rPr>
          <w:i/>
          <w:iCs/>
          <w:color w:val="auto"/>
          <w:sz w:val="18"/>
          <w:szCs w:val="18"/>
          <w:vertAlign w:val="subscript"/>
        </w:rPr>
        <w:t>1</w:t>
      </w:r>
      <w:r w:rsidRPr="005B7419">
        <w:rPr>
          <w:color w:val="auto"/>
          <w:sz w:val="18"/>
          <w:szCs w:val="18"/>
        </w:rPr>
        <w:t xml:space="preserve"> = 1.52 μm, and </w:t>
      </w:r>
      <w:r w:rsidR="00680E90" w:rsidRPr="005B7419">
        <w:rPr>
          <w:i/>
          <w:iCs/>
          <w:color w:val="auto"/>
          <w:sz w:val="18"/>
          <w:szCs w:val="18"/>
        </w:rPr>
        <w:t>Λ</w:t>
      </w:r>
      <w:r w:rsidRPr="005B7419">
        <w:rPr>
          <w:color w:val="auto"/>
          <w:sz w:val="18"/>
          <w:szCs w:val="18"/>
        </w:rPr>
        <w:t xml:space="preserve"> = 2.38 μm.</w:t>
      </w:r>
      <w:r w:rsidR="00480AF5" w:rsidRPr="005B7419">
        <w:rPr>
          <w:color w:val="auto"/>
          <w:sz w:val="18"/>
          <w:szCs w:val="18"/>
        </w:rPr>
        <w:t xml:space="preserve"> (b) Schematic diagram of the </w:t>
      </w:r>
      <w:r w:rsidR="004723CB" w:rsidRPr="005B7419">
        <w:rPr>
          <w:color w:val="auto"/>
          <w:sz w:val="18"/>
          <w:szCs w:val="18"/>
        </w:rPr>
        <w:t>catenary-like</w:t>
      </w:r>
      <w:r w:rsidR="00480AF5" w:rsidRPr="005B7419">
        <w:rPr>
          <w:color w:val="auto"/>
          <w:sz w:val="18"/>
          <w:szCs w:val="18"/>
        </w:rPr>
        <w:t xml:space="preserve"> metasurface.</w:t>
      </w:r>
      <w:bookmarkEnd w:id="18"/>
    </w:p>
    <w:p w14:paraId="724FF536" w14:textId="23BB1349" w:rsidR="0021404A" w:rsidRPr="005B7419" w:rsidRDefault="00C2395A">
      <w:pPr>
        <w:pStyle w:val="10BodySubsequentParagraph"/>
        <w:rPr>
          <w:color w:val="auto"/>
          <w:sz w:val="21"/>
          <w:szCs w:val="21"/>
        </w:rPr>
      </w:pPr>
      <w:r w:rsidRPr="005B7419">
        <w:rPr>
          <w:color w:val="auto"/>
          <w:sz w:val="21"/>
          <w:szCs w:val="21"/>
        </w:rPr>
        <w:t>Fig</w:t>
      </w:r>
      <w:r w:rsidR="0088027D" w:rsidRPr="005B7419">
        <w:rPr>
          <w:color w:val="auto"/>
          <w:sz w:val="21"/>
          <w:szCs w:val="21"/>
        </w:rPr>
        <w:t>.</w:t>
      </w:r>
      <w:r w:rsidRPr="005B7419">
        <w:rPr>
          <w:color w:val="auto"/>
          <w:sz w:val="21"/>
          <w:szCs w:val="21"/>
        </w:rPr>
        <w:t xml:space="preserve"> </w:t>
      </w:r>
      <w:r w:rsidR="00A51C90" w:rsidRPr="005B7419">
        <w:rPr>
          <w:color w:val="auto"/>
          <w:sz w:val="21"/>
          <w:szCs w:val="21"/>
        </w:rPr>
        <w:t xml:space="preserve">S5 </w:t>
      </w:r>
      <w:r w:rsidRPr="005B7419">
        <w:rPr>
          <w:color w:val="auto"/>
          <w:sz w:val="21"/>
          <w:szCs w:val="21"/>
        </w:rPr>
        <w:t xml:space="preserve">show simulated diffraction efficiency defined as the ratio of the diffraction order power to the total transmitted power. The average diffraction efficiency reaches 93.3% within 8 to 14 μm. </w:t>
      </w:r>
      <w:r w:rsidR="009E4AD3" w:rsidRPr="005B7419">
        <w:rPr>
          <w:color w:val="auto"/>
          <w:sz w:val="21"/>
          <w:szCs w:val="21"/>
        </w:rPr>
        <w:t>The m</w:t>
      </w:r>
      <w:r w:rsidRPr="005B7419">
        <w:rPr>
          <w:color w:val="auto"/>
          <w:sz w:val="21"/>
          <w:szCs w:val="21"/>
        </w:rPr>
        <w:t>easured diffraction efficiencies of LCP and RCP light are about 85% (84.06% for LCP light and 85.04% for RCP light) at the wavelength of 10.6 μm. The diffraction efficiency is defined as the ratio of the diffraction order power to the total transmitted power.</w:t>
      </w:r>
    </w:p>
    <w:p w14:paraId="007F1B1C" w14:textId="77777777" w:rsidR="0021404A" w:rsidRPr="005B7419" w:rsidRDefault="0021404A">
      <w:pPr>
        <w:pStyle w:val="10BodySubsequentParagraph"/>
        <w:rPr>
          <w:color w:val="auto"/>
          <w:sz w:val="21"/>
          <w:szCs w:val="21"/>
        </w:rPr>
      </w:pPr>
    </w:p>
    <w:p w14:paraId="273FAE0E" w14:textId="05C567B1" w:rsidR="0021404A" w:rsidRPr="005B7419" w:rsidRDefault="00B22C93">
      <w:pPr>
        <w:pStyle w:val="10BodySubsequentParagraph"/>
        <w:jc w:val="center"/>
        <w:rPr>
          <w:color w:val="auto"/>
          <w:sz w:val="21"/>
          <w:szCs w:val="21"/>
        </w:rPr>
      </w:pPr>
      <w:r w:rsidRPr="005B7419">
        <w:rPr>
          <w:noProof/>
          <w:color w:val="auto"/>
          <w:lang w:eastAsia="zh-CN"/>
        </w:rPr>
        <w:drawing>
          <wp:inline distT="0" distB="0" distL="0" distR="0" wp14:anchorId="11C27BBA" wp14:editId="7E545ECA">
            <wp:extent cx="3448050" cy="2552700"/>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448050" cy="2552700"/>
                    </a:xfrm>
                    <a:prstGeom prst="rect">
                      <a:avLst/>
                    </a:prstGeom>
                    <a:noFill/>
                    <a:ln>
                      <a:noFill/>
                    </a:ln>
                  </pic:spPr>
                </pic:pic>
              </a:graphicData>
            </a:graphic>
          </wp:inline>
        </w:drawing>
      </w:r>
    </w:p>
    <w:p w14:paraId="5105215C" w14:textId="7AA163CB" w:rsidR="0021404A" w:rsidRPr="005B7419" w:rsidRDefault="00C2395A">
      <w:pPr>
        <w:pStyle w:val="12FigureCaptionShort"/>
        <w:rPr>
          <w:b/>
          <w:bCs/>
          <w:color w:val="auto"/>
          <w:sz w:val="18"/>
          <w:szCs w:val="18"/>
        </w:rPr>
      </w:pPr>
      <w:r w:rsidRPr="005B7419">
        <w:rPr>
          <w:b/>
          <w:bCs/>
          <w:color w:val="auto"/>
          <w:sz w:val="18"/>
          <w:szCs w:val="18"/>
        </w:rPr>
        <w:t xml:space="preserve">Fig. </w:t>
      </w:r>
      <w:r w:rsidR="00A51C90" w:rsidRPr="005B7419">
        <w:rPr>
          <w:b/>
          <w:bCs/>
          <w:color w:val="auto"/>
          <w:sz w:val="18"/>
          <w:szCs w:val="18"/>
        </w:rPr>
        <w:t>S5</w:t>
      </w:r>
      <w:r w:rsidRPr="005B7419">
        <w:rPr>
          <w:b/>
          <w:bCs/>
          <w:color w:val="auto"/>
          <w:sz w:val="18"/>
          <w:szCs w:val="18"/>
        </w:rPr>
        <w:t>.</w:t>
      </w:r>
      <w:r w:rsidRPr="005B7419">
        <w:rPr>
          <w:color w:val="auto"/>
          <w:sz w:val="18"/>
          <w:szCs w:val="18"/>
        </w:rPr>
        <w:t xml:space="preserve"> Simulated diffraction efficiency.</w:t>
      </w:r>
    </w:p>
    <w:p w14:paraId="4CDD9655" w14:textId="63CF6C7F" w:rsidR="0021404A" w:rsidRPr="005B7419" w:rsidRDefault="009B4E45">
      <w:pPr>
        <w:pStyle w:val="10BodySubsequentParagraph"/>
        <w:ind w:firstLine="0"/>
        <w:rPr>
          <w:b/>
          <w:color w:val="auto"/>
          <w:sz w:val="21"/>
          <w:szCs w:val="21"/>
          <w:lang w:eastAsia="zh-CN"/>
        </w:rPr>
      </w:pPr>
      <w:r w:rsidRPr="005B7419">
        <w:rPr>
          <w:rFonts w:hint="eastAsia"/>
          <w:color w:val="auto"/>
          <w:sz w:val="21"/>
          <w:szCs w:val="21"/>
          <w:lang w:eastAsia="zh-CN"/>
        </w:rPr>
        <w:t>S</w:t>
      </w:r>
      <w:r w:rsidRPr="005B7419">
        <w:rPr>
          <w:color w:val="auto"/>
          <w:sz w:val="21"/>
          <w:szCs w:val="21"/>
          <w:lang w:eastAsia="zh-CN"/>
        </w:rPr>
        <w:t xml:space="preserve">4. </w:t>
      </w:r>
      <w:r w:rsidRPr="005B7419">
        <w:rPr>
          <w:b/>
          <w:color w:val="auto"/>
          <w:sz w:val="21"/>
          <w:szCs w:val="21"/>
          <w:lang w:eastAsia="zh-CN"/>
        </w:rPr>
        <w:t>Sample fabrications and experimental setups</w:t>
      </w:r>
    </w:p>
    <w:p w14:paraId="66B70039" w14:textId="77777777" w:rsidR="00C64DF9" w:rsidRPr="005B7419" w:rsidRDefault="00C64DF9" w:rsidP="005B7419">
      <w:pPr>
        <w:pStyle w:val="09BodyFirstParagraph"/>
        <w:ind w:firstLineChars="200" w:firstLine="420"/>
        <w:rPr>
          <w:color w:val="auto"/>
          <w:sz w:val="21"/>
          <w:szCs w:val="24"/>
        </w:rPr>
      </w:pPr>
      <w:r w:rsidRPr="005B7419">
        <w:rPr>
          <w:color w:val="auto"/>
          <w:sz w:val="21"/>
          <w:szCs w:val="24"/>
        </w:rPr>
        <w:t>The patterns of the catenary-like metasurfaces were fabricated by means of direct laser writing on photoresist on a double-sided polished silicon wafer. Then, inductive-coupled plasmonic etching was employed to transfer the patterns into the silicon wafer to form the structure. The phase meta-corrector was fabricated through multiple overlay procedures using direct laser writing and inductive-coupled plasmonic</w:t>
      </w:r>
      <w:r w:rsidRPr="005B7419" w:rsidDel="00D01A70">
        <w:rPr>
          <w:color w:val="auto"/>
          <w:sz w:val="21"/>
          <w:szCs w:val="24"/>
        </w:rPr>
        <w:t xml:space="preserve"> </w:t>
      </w:r>
      <w:r w:rsidRPr="005B7419">
        <w:rPr>
          <w:color w:val="auto"/>
          <w:sz w:val="21"/>
          <w:szCs w:val="24"/>
        </w:rPr>
        <w:t>etching. The double sides of the refractive germanium lens and the phase meta-corrector were coated with an antireflective layer. In addition, a single side of each catenary-like metasurface was coated with an antireflective layer.</w:t>
      </w:r>
    </w:p>
    <w:p w14:paraId="55F4614B" w14:textId="2AFDACA7" w:rsidR="00C64DF9" w:rsidRPr="005B7419" w:rsidRDefault="00C64DF9" w:rsidP="00581084">
      <w:pPr>
        <w:pStyle w:val="10BodySubsequentParagraph"/>
        <w:ind w:firstLineChars="150" w:firstLine="315"/>
        <w:rPr>
          <w:color w:val="auto"/>
          <w:sz w:val="21"/>
          <w:szCs w:val="24"/>
        </w:rPr>
      </w:pPr>
      <w:r w:rsidRPr="005B7419">
        <w:rPr>
          <w:color w:val="auto"/>
          <w:sz w:val="21"/>
          <w:szCs w:val="24"/>
        </w:rPr>
        <w:t>As shown in Fig. S</w:t>
      </w:r>
      <w:r w:rsidR="00572D16" w:rsidRPr="005B7419">
        <w:rPr>
          <w:color w:val="auto"/>
          <w:sz w:val="21"/>
          <w:szCs w:val="24"/>
        </w:rPr>
        <w:t>6</w:t>
      </w:r>
      <w:r w:rsidRPr="005B7419">
        <w:rPr>
          <w:color w:val="auto"/>
          <w:sz w:val="21"/>
          <w:szCs w:val="24"/>
        </w:rPr>
        <w:t xml:space="preserve">(a) in the Supplementary Information, an adjustable carbon dioxide laser was utilized as the source to calibrate the spectral mode. After passing through an attenuator, the laser was normally illuminated on the meta-optical system. For the transmission spectrum measurement, the source was replaced with a mini blackbody </w:t>
      </w:r>
      <w:bookmarkStart w:id="19" w:name="_Hlk119438935"/>
      <w:r w:rsidRPr="005B7419">
        <w:rPr>
          <w:color w:val="auto"/>
          <w:sz w:val="21"/>
          <w:szCs w:val="24"/>
        </w:rPr>
        <w:t>(Infrasolid, HIS550R-OWC)</w:t>
      </w:r>
      <w:bookmarkEnd w:id="19"/>
      <w:r w:rsidRPr="005B7419">
        <w:rPr>
          <w:color w:val="auto"/>
          <w:sz w:val="21"/>
          <w:szCs w:val="24"/>
        </w:rPr>
        <w:t>, as shown in Fig. S</w:t>
      </w:r>
      <w:r w:rsidR="00572D16" w:rsidRPr="005B7419">
        <w:rPr>
          <w:color w:val="auto"/>
          <w:sz w:val="21"/>
          <w:szCs w:val="24"/>
        </w:rPr>
        <w:t>6</w:t>
      </w:r>
      <w:r w:rsidRPr="005B7419">
        <w:rPr>
          <w:color w:val="auto"/>
          <w:sz w:val="21"/>
          <w:szCs w:val="24"/>
        </w:rPr>
        <w:t xml:space="preserve">(b). A filter function was used to smooth the spectra. For multi-target spectral detection, a row of ceramic lamps with an interval of </w:t>
      </w:r>
      <w:r w:rsidRPr="005B7419">
        <w:rPr>
          <w:color w:val="auto"/>
          <w:sz w:val="21"/>
          <w:szCs w:val="24"/>
          <w:lang w:eastAsia="zh-CN"/>
        </w:rPr>
        <w:t xml:space="preserve">about </w:t>
      </w:r>
      <w:r w:rsidRPr="005B7419">
        <w:rPr>
          <w:color w:val="auto"/>
          <w:sz w:val="21"/>
          <w:szCs w:val="24"/>
        </w:rPr>
        <w:t>150 mm was employed as the target, and the radiation beam was directly captured by the meta-optical system with an objective distance of about 1.5 m, as shown in Fig. S</w:t>
      </w:r>
      <w:r w:rsidR="00572D16" w:rsidRPr="005B7419">
        <w:rPr>
          <w:color w:val="auto"/>
          <w:sz w:val="21"/>
          <w:szCs w:val="24"/>
        </w:rPr>
        <w:t>6</w:t>
      </w:r>
      <w:r w:rsidRPr="005B7419">
        <w:rPr>
          <w:color w:val="auto"/>
          <w:sz w:val="21"/>
          <w:szCs w:val="24"/>
        </w:rPr>
        <w:t>(c).</w:t>
      </w:r>
    </w:p>
    <w:p w14:paraId="7FB66ADC" w14:textId="77777777" w:rsidR="00162A4E" w:rsidRPr="005B7419" w:rsidRDefault="00162A4E" w:rsidP="00162A4E">
      <w:pPr>
        <w:pStyle w:val="10BodySubsequentParagraph"/>
        <w:jc w:val="center"/>
        <w:rPr>
          <w:rFonts w:cs="Times New Roman"/>
          <w:color w:val="auto"/>
          <w:sz w:val="21"/>
          <w:szCs w:val="21"/>
        </w:rPr>
      </w:pPr>
      <w:r w:rsidRPr="005B7419">
        <w:rPr>
          <w:noProof/>
          <w:color w:val="auto"/>
          <w:lang w:eastAsia="zh-CN"/>
        </w:rPr>
        <w:lastRenderedPageBreak/>
        <w:drawing>
          <wp:inline distT="0" distB="0" distL="0" distR="0" wp14:anchorId="5868B444" wp14:editId="43D88326">
            <wp:extent cx="3407410" cy="2277110"/>
            <wp:effectExtent l="0" t="0" r="2540" b="8890"/>
            <wp:docPr id="1052336048" name="图片 1052336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407410" cy="2277110"/>
                    </a:xfrm>
                    <a:prstGeom prst="rect">
                      <a:avLst/>
                    </a:prstGeom>
                    <a:noFill/>
                    <a:ln>
                      <a:noFill/>
                    </a:ln>
                  </pic:spPr>
                </pic:pic>
              </a:graphicData>
            </a:graphic>
          </wp:inline>
        </w:drawing>
      </w:r>
    </w:p>
    <w:p w14:paraId="142E89CA" w14:textId="39E492FA" w:rsidR="00162A4E" w:rsidRPr="005B7419" w:rsidRDefault="00162A4E" w:rsidP="00581084">
      <w:pPr>
        <w:pStyle w:val="12FigureCaptionShort"/>
        <w:ind w:left="0" w:right="0"/>
        <w:jc w:val="both"/>
        <w:rPr>
          <w:color w:val="auto"/>
          <w:sz w:val="18"/>
          <w:szCs w:val="18"/>
        </w:rPr>
      </w:pPr>
      <w:r w:rsidRPr="005B7419">
        <w:rPr>
          <w:b/>
          <w:bCs/>
          <w:color w:val="auto"/>
          <w:sz w:val="18"/>
          <w:szCs w:val="18"/>
        </w:rPr>
        <w:t>Fig. S</w:t>
      </w:r>
      <w:r w:rsidR="00572D16" w:rsidRPr="005B7419">
        <w:rPr>
          <w:b/>
          <w:bCs/>
          <w:color w:val="auto"/>
          <w:sz w:val="18"/>
          <w:szCs w:val="18"/>
        </w:rPr>
        <w:t>6</w:t>
      </w:r>
      <w:r w:rsidRPr="005B7419">
        <w:rPr>
          <w:b/>
          <w:bCs/>
          <w:color w:val="auto"/>
          <w:sz w:val="18"/>
          <w:szCs w:val="18"/>
        </w:rPr>
        <w:t>.</w:t>
      </w:r>
      <w:r w:rsidRPr="005B7419">
        <w:rPr>
          <w:color w:val="auto"/>
          <w:sz w:val="18"/>
          <w:szCs w:val="18"/>
        </w:rPr>
        <w:t xml:space="preserve"> Schematic illustration of the experimental setup. (</w:t>
      </w:r>
      <w:r w:rsidRPr="005B7419">
        <w:rPr>
          <w:rFonts w:hint="eastAsia"/>
          <w:color w:val="auto"/>
          <w:sz w:val="18"/>
          <w:szCs w:val="18"/>
          <w:lang w:eastAsia="zh-CN"/>
        </w:rPr>
        <w:t>a</w:t>
      </w:r>
      <w:r w:rsidRPr="005B7419">
        <w:rPr>
          <w:color w:val="auto"/>
          <w:sz w:val="18"/>
          <w:szCs w:val="18"/>
        </w:rPr>
        <w:t xml:space="preserve">) Spectral calibration. (b) Spectral measurement. (c) </w:t>
      </w:r>
      <w:r w:rsidRPr="005B7419">
        <w:rPr>
          <w:rFonts w:hint="eastAsia"/>
          <w:color w:val="auto"/>
          <w:sz w:val="18"/>
          <w:szCs w:val="18"/>
          <w:lang w:eastAsia="zh-CN"/>
        </w:rPr>
        <w:t>M</w:t>
      </w:r>
      <w:r w:rsidRPr="005B7419">
        <w:rPr>
          <w:color w:val="auto"/>
          <w:sz w:val="18"/>
          <w:szCs w:val="18"/>
        </w:rPr>
        <w:t>ulti-target spectral detection. (d) Demonstration of polarization-spectral detection ability.</w:t>
      </w:r>
    </w:p>
    <w:p w14:paraId="77291129" w14:textId="77777777" w:rsidR="009B4E45" w:rsidRPr="005B7419" w:rsidRDefault="009B4E45">
      <w:pPr>
        <w:pStyle w:val="10BodySubsequentParagraph"/>
        <w:ind w:firstLine="0"/>
        <w:rPr>
          <w:color w:val="auto"/>
          <w:sz w:val="21"/>
          <w:szCs w:val="21"/>
        </w:rPr>
      </w:pPr>
    </w:p>
    <w:p w14:paraId="6BDD1D2F" w14:textId="735E7226" w:rsidR="0021404A" w:rsidRPr="005B7419" w:rsidRDefault="00C2395A">
      <w:pPr>
        <w:adjustRightInd w:val="0"/>
        <w:snapToGrid w:val="0"/>
        <w:spacing w:after="0" w:line="240" w:lineRule="exact"/>
        <w:rPr>
          <w:rFonts w:ascii="Times New Roman" w:eastAsia="黑体" w:hAnsi="Times New Roman" w:cs="Times New Roman"/>
          <w:b/>
          <w:sz w:val="21"/>
          <w:szCs w:val="21"/>
        </w:rPr>
      </w:pPr>
      <w:r w:rsidRPr="005B7419">
        <w:rPr>
          <w:rFonts w:ascii="Times New Roman" w:eastAsia="黑体" w:hAnsi="Times New Roman" w:cs="Times New Roman"/>
          <w:b/>
          <w:sz w:val="21"/>
          <w:szCs w:val="21"/>
        </w:rPr>
        <w:t>S</w:t>
      </w:r>
      <w:r w:rsidR="00C94894" w:rsidRPr="005B7419">
        <w:rPr>
          <w:rFonts w:ascii="Times New Roman" w:eastAsia="黑体" w:hAnsi="Times New Roman" w:cs="Times New Roman"/>
          <w:b/>
          <w:sz w:val="21"/>
          <w:szCs w:val="21"/>
        </w:rPr>
        <w:t>5</w:t>
      </w:r>
      <w:r w:rsidRPr="005B7419">
        <w:rPr>
          <w:rFonts w:ascii="Times New Roman" w:eastAsia="黑体" w:hAnsi="Times New Roman" w:cs="Times New Roman"/>
          <w:b/>
          <w:sz w:val="21"/>
          <w:szCs w:val="21"/>
        </w:rPr>
        <w:t>. FOV measurement</w:t>
      </w:r>
    </w:p>
    <w:p w14:paraId="7912670F" w14:textId="7F99F73D" w:rsidR="0021404A" w:rsidRPr="005B7419" w:rsidRDefault="0009090B" w:rsidP="00581084">
      <w:pPr>
        <w:pStyle w:val="10BodySubsequentParagraph"/>
        <w:ind w:firstLineChars="200" w:firstLine="420"/>
        <w:rPr>
          <w:color w:val="auto"/>
          <w:sz w:val="21"/>
          <w:szCs w:val="21"/>
        </w:rPr>
      </w:pPr>
      <w:r w:rsidRPr="005B7419">
        <w:rPr>
          <w:color w:val="auto"/>
          <w:sz w:val="21"/>
          <w:szCs w:val="21"/>
        </w:rPr>
        <w:t>As illustrated in Fig. S</w:t>
      </w:r>
      <w:r w:rsidR="0088027D" w:rsidRPr="005B7419">
        <w:rPr>
          <w:color w:val="auto"/>
          <w:sz w:val="21"/>
          <w:szCs w:val="21"/>
        </w:rPr>
        <w:t>7</w:t>
      </w:r>
      <w:r w:rsidRPr="005B7419">
        <w:rPr>
          <w:color w:val="auto"/>
          <w:sz w:val="21"/>
          <w:szCs w:val="21"/>
        </w:rPr>
        <w:t xml:space="preserve">(a), an infrared ceramic lamp and a rotation stage were employed to characterize the FOV at an objective distance of 2.89 m. </w:t>
      </w:r>
      <w:r w:rsidR="00FB6261" w:rsidRPr="005B7419">
        <w:rPr>
          <w:color w:val="auto"/>
          <w:sz w:val="21"/>
          <w:szCs w:val="21"/>
        </w:rPr>
        <w:t xml:space="preserve">The </w:t>
      </w:r>
      <w:r w:rsidR="00FB6261" w:rsidRPr="005B7419">
        <w:rPr>
          <w:color w:val="auto"/>
          <w:sz w:val="21"/>
          <w:szCs w:val="24"/>
        </w:rPr>
        <w:t>horizontal and vertical</w:t>
      </w:r>
      <w:r w:rsidR="00FB6261" w:rsidRPr="005B7419">
        <w:rPr>
          <w:color w:val="auto"/>
          <w:sz w:val="21"/>
          <w:szCs w:val="21"/>
        </w:rPr>
        <w:t xml:space="preserve"> FOVs were respectively measured by rotating the meta-optical system 90 degrees along its optical axis. </w:t>
      </w:r>
      <w:r w:rsidRPr="005B7419">
        <w:rPr>
          <w:color w:val="auto"/>
          <w:sz w:val="21"/>
          <w:szCs w:val="21"/>
        </w:rPr>
        <w:t>Superimposed imaging results of different half FOVs are displayed in Fig. S</w:t>
      </w:r>
      <w:r w:rsidR="0088027D" w:rsidRPr="005B7419">
        <w:rPr>
          <w:color w:val="auto"/>
          <w:sz w:val="21"/>
          <w:szCs w:val="21"/>
        </w:rPr>
        <w:t>7</w:t>
      </w:r>
      <w:r w:rsidRPr="005B7419">
        <w:rPr>
          <w:color w:val="auto"/>
          <w:sz w:val="21"/>
          <w:szCs w:val="21"/>
        </w:rPr>
        <w:t xml:space="preserve">(b). </w:t>
      </w:r>
      <w:r w:rsidR="00584950" w:rsidRPr="005B7419">
        <w:rPr>
          <w:color w:val="auto"/>
          <w:sz w:val="21"/>
          <w:szCs w:val="21"/>
        </w:rPr>
        <w:t>The criterion for judging the edge FOV is that the</w:t>
      </w:r>
      <w:r w:rsidR="00FB6261" w:rsidRPr="005B7419">
        <w:rPr>
          <w:color w:val="auto"/>
          <w:sz w:val="21"/>
          <w:szCs w:val="21"/>
        </w:rPr>
        <w:t xml:space="preserve"> image</w:t>
      </w:r>
      <w:r w:rsidR="00584950" w:rsidRPr="005B7419">
        <w:rPr>
          <w:color w:val="auto"/>
          <w:sz w:val="21"/>
          <w:szCs w:val="21"/>
        </w:rPr>
        <w:t xml:space="preserve"> dot is cut in half.</w:t>
      </w:r>
      <w:r w:rsidR="00FB6261" w:rsidRPr="005B7419">
        <w:rPr>
          <w:color w:val="auto"/>
          <w:sz w:val="21"/>
          <w:szCs w:val="21"/>
        </w:rPr>
        <w:t xml:space="preserve"> The measured </w:t>
      </w:r>
      <w:r w:rsidR="00FB6261" w:rsidRPr="005B7419">
        <w:rPr>
          <w:color w:val="auto"/>
          <w:sz w:val="21"/>
          <w:szCs w:val="24"/>
        </w:rPr>
        <w:t>horizontal and vertical</w:t>
      </w:r>
      <w:r w:rsidR="00FB6261" w:rsidRPr="005B7419">
        <w:rPr>
          <w:color w:val="auto"/>
          <w:sz w:val="21"/>
          <w:szCs w:val="21"/>
        </w:rPr>
        <w:t xml:space="preserve"> FOVs are </w:t>
      </w:r>
      <w:r w:rsidR="00FB6261" w:rsidRPr="005B7419">
        <w:rPr>
          <w:color w:val="auto"/>
          <w:sz w:val="21"/>
          <w:szCs w:val="24"/>
        </w:rPr>
        <w:t>76° and 61°, respectively.</w:t>
      </w:r>
    </w:p>
    <w:p w14:paraId="5208A9FA" w14:textId="7F683F67" w:rsidR="0021404A" w:rsidRPr="005B7419" w:rsidRDefault="00BC261C">
      <w:pPr>
        <w:pStyle w:val="10BodySubsequentParagraph"/>
        <w:jc w:val="center"/>
        <w:rPr>
          <w:color w:val="auto"/>
          <w:sz w:val="21"/>
          <w:szCs w:val="21"/>
        </w:rPr>
      </w:pPr>
      <w:r w:rsidRPr="005B7419">
        <w:rPr>
          <w:noProof/>
          <w:color w:val="auto"/>
          <w:sz w:val="21"/>
          <w:szCs w:val="21"/>
          <w:lang w:eastAsia="zh-CN"/>
        </w:rPr>
        <w:drawing>
          <wp:inline distT="0" distB="0" distL="0" distR="0" wp14:anchorId="1404BB9C" wp14:editId="46106E67">
            <wp:extent cx="4167505" cy="2085975"/>
            <wp:effectExtent l="0" t="0" r="4445" b="952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4167505" cy="2085975"/>
                    </a:xfrm>
                    <a:prstGeom prst="rect">
                      <a:avLst/>
                    </a:prstGeom>
                    <a:noFill/>
                    <a:ln>
                      <a:noFill/>
                    </a:ln>
                  </pic:spPr>
                </pic:pic>
              </a:graphicData>
            </a:graphic>
          </wp:inline>
        </w:drawing>
      </w:r>
    </w:p>
    <w:p w14:paraId="316DBBA8" w14:textId="549D7963" w:rsidR="0021404A" w:rsidRPr="005B7419" w:rsidRDefault="00C2395A" w:rsidP="00581084">
      <w:pPr>
        <w:pStyle w:val="12FigureCaptionShort"/>
        <w:ind w:left="0" w:right="0"/>
        <w:jc w:val="both"/>
        <w:rPr>
          <w:color w:val="auto"/>
          <w:sz w:val="18"/>
          <w:szCs w:val="18"/>
        </w:rPr>
      </w:pPr>
      <w:r w:rsidRPr="005B7419">
        <w:rPr>
          <w:b/>
          <w:bCs/>
          <w:color w:val="auto"/>
          <w:sz w:val="18"/>
          <w:szCs w:val="18"/>
        </w:rPr>
        <w:t xml:space="preserve">Fig. </w:t>
      </w:r>
      <w:r w:rsidR="00A51C90" w:rsidRPr="005B7419">
        <w:rPr>
          <w:b/>
          <w:bCs/>
          <w:color w:val="auto"/>
          <w:sz w:val="18"/>
          <w:szCs w:val="18"/>
        </w:rPr>
        <w:t>S</w:t>
      </w:r>
      <w:r w:rsidR="0088027D" w:rsidRPr="005B7419">
        <w:rPr>
          <w:b/>
          <w:bCs/>
          <w:color w:val="auto"/>
          <w:sz w:val="18"/>
          <w:szCs w:val="18"/>
        </w:rPr>
        <w:t>7</w:t>
      </w:r>
      <w:r w:rsidRPr="005B7419">
        <w:rPr>
          <w:b/>
          <w:bCs/>
          <w:color w:val="auto"/>
          <w:sz w:val="18"/>
          <w:szCs w:val="18"/>
        </w:rPr>
        <w:t>.</w:t>
      </w:r>
      <w:r w:rsidRPr="005B7419">
        <w:rPr>
          <w:color w:val="auto"/>
          <w:sz w:val="18"/>
          <w:szCs w:val="18"/>
        </w:rPr>
        <w:t xml:space="preserve"> Experimental result of FOV measurement.</w:t>
      </w:r>
      <w:r w:rsidR="00B22C93" w:rsidRPr="005B7419">
        <w:rPr>
          <w:color w:val="auto"/>
          <w:sz w:val="18"/>
          <w:szCs w:val="18"/>
        </w:rPr>
        <w:t xml:space="preserve"> (a) Schematic of the optical setup. (b) </w:t>
      </w:r>
      <w:r w:rsidR="00B22C93" w:rsidRPr="005B7419">
        <w:rPr>
          <w:rFonts w:hint="eastAsia"/>
          <w:color w:val="auto"/>
          <w:sz w:val="18"/>
          <w:szCs w:val="18"/>
          <w:lang w:eastAsia="zh-CN"/>
        </w:rPr>
        <w:t>S</w:t>
      </w:r>
      <w:r w:rsidR="00B22C93" w:rsidRPr="005B7419">
        <w:rPr>
          <w:color w:val="auto"/>
          <w:sz w:val="18"/>
          <w:szCs w:val="18"/>
        </w:rPr>
        <w:t xml:space="preserve">uperimposed imaging results </w:t>
      </w:r>
      <w:r w:rsidR="00B332A1" w:rsidRPr="005B7419">
        <w:rPr>
          <w:color w:val="auto"/>
          <w:sz w:val="18"/>
          <w:szCs w:val="18"/>
        </w:rPr>
        <w:t>of</w:t>
      </w:r>
      <w:r w:rsidR="00B22C93" w:rsidRPr="005B7419">
        <w:rPr>
          <w:color w:val="auto"/>
          <w:sz w:val="18"/>
          <w:szCs w:val="18"/>
        </w:rPr>
        <w:t xml:space="preserve"> different </w:t>
      </w:r>
      <w:r w:rsidR="00B332A1" w:rsidRPr="005B7419">
        <w:rPr>
          <w:color w:val="auto"/>
          <w:sz w:val="18"/>
          <w:szCs w:val="18"/>
        </w:rPr>
        <w:t xml:space="preserve">half </w:t>
      </w:r>
      <w:r w:rsidR="00B22C93" w:rsidRPr="005B7419">
        <w:rPr>
          <w:color w:val="auto"/>
          <w:sz w:val="18"/>
          <w:szCs w:val="18"/>
        </w:rPr>
        <w:t>FOVs.</w:t>
      </w:r>
    </w:p>
    <w:p w14:paraId="59C4DBB8" w14:textId="77777777" w:rsidR="0021404A" w:rsidRPr="005B7419" w:rsidRDefault="0021404A">
      <w:pPr>
        <w:pStyle w:val="10BodySubsequentParagraph"/>
        <w:ind w:firstLine="0"/>
        <w:rPr>
          <w:color w:val="auto"/>
          <w:sz w:val="21"/>
          <w:szCs w:val="21"/>
          <w:lang w:eastAsia="zh-CN"/>
        </w:rPr>
      </w:pPr>
    </w:p>
    <w:p w14:paraId="702E0AD1" w14:textId="39D21358" w:rsidR="0021404A" w:rsidRPr="005B7419" w:rsidRDefault="00C2395A">
      <w:pPr>
        <w:adjustRightInd w:val="0"/>
        <w:snapToGrid w:val="0"/>
        <w:spacing w:after="0" w:line="240" w:lineRule="exact"/>
        <w:rPr>
          <w:rFonts w:ascii="Times New Roman" w:eastAsia="黑体" w:hAnsi="Times New Roman" w:cs="Times New Roman"/>
          <w:b/>
          <w:sz w:val="21"/>
          <w:szCs w:val="21"/>
        </w:rPr>
      </w:pPr>
      <w:r w:rsidRPr="005B7419">
        <w:rPr>
          <w:rFonts w:ascii="Times New Roman" w:eastAsia="黑体" w:hAnsi="Times New Roman" w:cs="Times New Roman"/>
          <w:b/>
          <w:sz w:val="21"/>
          <w:szCs w:val="21"/>
        </w:rPr>
        <w:t>S</w:t>
      </w:r>
      <w:r w:rsidR="00C94894" w:rsidRPr="005B7419">
        <w:rPr>
          <w:rFonts w:ascii="Times New Roman" w:eastAsia="黑体" w:hAnsi="Times New Roman" w:cs="Times New Roman"/>
          <w:b/>
          <w:sz w:val="21"/>
          <w:szCs w:val="21"/>
        </w:rPr>
        <w:t>6</w:t>
      </w:r>
      <w:r w:rsidRPr="005B7419">
        <w:rPr>
          <w:rFonts w:ascii="Times New Roman" w:eastAsia="黑体" w:hAnsi="Times New Roman" w:cs="Times New Roman"/>
          <w:b/>
          <w:sz w:val="21"/>
          <w:szCs w:val="21"/>
        </w:rPr>
        <w:t xml:space="preserve">. </w:t>
      </w:r>
      <w:bookmarkStart w:id="20" w:name="_Hlk118713845"/>
      <w:r w:rsidRPr="005B7419">
        <w:rPr>
          <w:rFonts w:ascii="Times New Roman" w:eastAsia="黑体" w:hAnsi="Times New Roman" w:cs="Times New Roman"/>
          <w:b/>
          <w:sz w:val="21"/>
          <w:szCs w:val="21"/>
        </w:rPr>
        <w:t>Tunable spectral resolution</w:t>
      </w:r>
      <w:bookmarkEnd w:id="20"/>
      <w:r w:rsidRPr="005B7419">
        <w:rPr>
          <w:rFonts w:ascii="Times New Roman" w:eastAsia="黑体" w:hAnsi="Times New Roman" w:cs="Times New Roman"/>
          <w:b/>
          <w:sz w:val="21"/>
          <w:szCs w:val="21"/>
        </w:rPr>
        <w:t xml:space="preserve"> by adjusting the included angle</w:t>
      </w:r>
    </w:p>
    <w:p w14:paraId="3161E020" w14:textId="5881CCD4" w:rsidR="0021404A" w:rsidRPr="005B7419" w:rsidRDefault="00C2395A" w:rsidP="00581084">
      <w:pPr>
        <w:pStyle w:val="10BodySubsequentParagraph"/>
        <w:ind w:firstLineChars="200" w:firstLine="420"/>
        <w:rPr>
          <w:color w:val="auto"/>
          <w:sz w:val="21"/>
          <w:szCs w:val="21"/>
        </w:rPr>
      </w:pPr>
      <w:r w:rsidRPr="005B7419">
        <w:rPr>
          <w:color w:val="auto"/>
          <w:sz w:val="21"/>
          <w:szCs w:val="21"/>
        </w:rPr>
        <w:t xml:space="preserve">The spectral resolution mainly depends on the included angle </w:t>
      </w:r>
      <w:r w:rsidRPr="005B7419">
        <w:rPr>
          <w:i/>
          <w:iCs/>
          <w:color w:val="auto"/>
          <w:sz w:val="21"/>
          <w:szCs w:val="21"/>
        </w:rPr>
        <w:t xml:space="preserve">θ = </w:t>
      </w:r>
      <w:r w:rsidRPr="005B7419">
        <w:rPr>
          <w:color w:val="auto"/>
          <w:sz w:val="21"/>
          <w:szCs w:val="21"/>
        </w:rPr>
        <w:t>|</w:t>
      </w:r>
      <w:r w:rsidRPr="005B7419">
        <w:rPr>
          <w:i/>
          <w:iCs/>
          <w:color w:val="auto"/>
          <w:sz w:val="21"/>
          <w:szCs w:val="21"/>
        </w:rPr>
        <w:t>θ</w:t>
      </w:r>
      <w:r w:rsidRPr="005B7419">
        <w:rPr>
          <w:color w:val="auto"/>
          <w:sz w:val="21"/>
          <w:szCs w:val="21"/>
          <w:vertAlign w:val="subscript"/>
        </w:rPr>
        <w:t>1</w:t>
      </w:r>
      <w:r w:rsidRPr="005B7419">
        <w:rPr>
          <w:color w:val="auto"/>
          <w:sz w:val="21"/>
          <w:szCs w:val="21"/>
        </w:rPr>
        <w:t>-</w:t>
      </w:r>
      <w:r w:rsidRPr="005B7419">
        <w:rPr>
          <w:i/>
          <w:iCs/>
          <w:color w:val="auto"/>
          <w:sz w:val="21"/>
          <w:szCs w:val="21"/>
        </w:rPr>
        <w:t>θ</w:t>
      </w:r>
      <w:r w:rsidRPr="005B7419">
        <w:rPr>
          <w:color w:val="auto"/>
          <w:sz w:val="21"/>
          <w:szCs w:val="21"/>
          <w:vertAlign w:val="subscript"/>
        </w:rPr>
        <w:t>2</w:t>
      </w:r>
      <w:r w:rsidRPr="005B7419">
        <w:rPr>
          <w:color w:val="auto"/>
          <w:sz w:val="21"/>
          <w:szCs w:val="21"/>
        </w:rPr>
        <w:t xml:space="preserve">| between two cascaded </w:t>
      </w:r>
      <w:r w:rsidR="004723CB" w:rsidRPr="005B7419">
        <w:rPr>
          <w:color w:val="auto"/>
          <w:sz w:val="21"/>
          <w:szCs w:val="21"/>
        </w:rPr>
        <w:t>catenary-like</w:t>
      </w:r>
      <w:r w:rsidRPr="005B7419">
        <w:rPr>
          <w:color w:val="auto"/>
          <w:sz w:val="21"/>
          <w:szCs w:val="21"/>
        </w:rPr>
        <w:t xml:space="preserve"> metasurfaces, as shown in Fig. </w:t>
      </w:r>
      <w:r w:rsidR="00A51C90" w:rsidRPr="005B7419">
        <w:rPr>
          <w:color w:val="auto"/>
          <w:sz w:val="21"/>
          <w:szCs w:val="21"/>
        </w:rPr>
        <w:t>S</w:t>
      </w:r>
      <w:r w:rsidR="0088027D" w:rsidRPr="005B7419">
        <w:rPr>
          <w:color w:val="auto"/>
          <w:sz w:val="21"/>
          <w:szCs w:val="21"/>
        </w:rPr>
        <w:t>8</w:t>
      </w:r>
      <w:r w:rsidRPr="005B7419">
        <w:rPr>
          <w:color w:val="auto"/>
          <w:sz w:val="21"/>
          <w:szCs w:val="21"/>
        </w:rPr>
        <w:t xml:space="preserve">(a). The top of Fig. </w:t>
      </w:r>
      <w:r w:rsidR="00A51C90" w:rsidRPr="005B7419">
        <w:rPr>
          <w:color w:val="auto"/>
          <w:sz w:val="21"/>
          <w:szCs w:val="21"/>
        </w:rPr>
        <w:t>S</w:t>
      </w:r>
      <w:r w:rsidR="0088027D" w:rsidRPr="005B7419">
        <w:rPr>
          <w:color w:val="auto"/>
          <w:sz w:val="21"/>
          <w:szCs w:val="21"/>
        </w:rPr>
        <w:t>8</w:t>
      </w:r>
      <w:r w:rsidRPr="005B7419">
        <w:rPr>
          <w:color w:val="auto"/>
          <w:sz w:val="21"/>
          <w:szCs w:val="21"/>
        </w:rPr>
        <w:t xml:space="preserve">(b) is the spectral image detected with an included angle of </w:t>
      </w:r>
      <w:r w:rsidRPr="005B7419">
        <w:rPr>
          <w:i/>
          <w:iCs/>
          <w:color w:val="auto"/>
          <w:sz w:val="21"/>
          <w:szCs w:val="21"/>
        </w:rPr>
        <w:t xml:space="preserve">θ = </w:t>
      </w:r>
      <w:r w:rsidRPr="005B7419">
        <w:rPr>
          <w:color w:val="auto"/>
          <w:sz w:val="21"/>
          <w:szCs w:val="21"/>
        </w:rPr>
        <w:t xml:space="preserve">π/2, while the bottom of Fig. </w:t>
      </w:r>
      <w:r w:rsidR="00A51C90" w:rsidRPr="005B7419">
        <w:rPr>
          <w:color w:val="auto"/>
          <w:sz w:val="21"/>
          <w:szCs w:val="21"/>
        </w:rPr>
        <w:t>S</w:t>
      </w:r>
      <w:r w:rsidR="0088027D" w:rsidRPr="005B7419">
        <w:rPr>
          <w:color w:val="auto"/>
          <w:sz w:val="21"/>
          <w:szCs w:val="21"/>
        </w:rPr>
        <w:t>8</w:t>
      </w:r>
      <w:r w:rsidRPr="005B7419">
        <w:rPr>
          <w:color w:val="auto"/>
          <w:sz w:val="21"/>
          <w:szCs w:val="21"/>
        </w:rPr>
        <w:t xml:space="preserve">(b) corresponds to an included angle of </w:t>
      </w:r>
      <w:r w:rsidRPr="005B7419">
        <w:rPr>
          <w:i/>
          <w:iCs/>
          <w:color w:val="auto"/>
          <w:sz w:val="21"/>
          <w:szCs w:val="21"/>
        </w:rPr>
        <w:t xml:space="preserve">θ = </w:t>
      </w:r>
      <w:r w:rsidRPr="005B7419">
        <w:rPr>
          <w:i/>
          <w:color w:val="auto"/>
          <w:sz w:val="21"/>
          <w:szCs w:val="21"/>
        </w:rPr>
        <w:t>π</w:t>
      </w:r>
      <w:r w:rsidRPr="005B7419">
        <w:rPr>
          <w:color w:val="auto"/>
          <w:sz w:val="21"/>
          <w:szCs w:val="21"/>
        </w:rPr>
        <w:t xml:space="preserve">. The spectral split length within 8~14 μm is proximately equal to ~1.66 mm and ~2.35 mm for </w:t>
      </w:r>
      <w:r w:rsidRPr="005B7419">
        <w:rPr>
          <w:i/>
          <w:iCs/>
          <w:color w:val="auto"/>
          <w:sz w:val="21"/>
          <w:szCs w:val="21"/>
        </w:rPr>
        <w:t xml:space="preserve">θ = </w:t>
      </w:r>
      <w:r w:rsidRPr="005B7419">
        <w:rPr>
          <w:i/>
          <w:color w:val="auto"/>
          <w:sz w:val="21"/>
          <w:szCs w:val="21"/>
        </w:rPr>
        <w:t>π</w:t>
      </w:r>
      <w:r w:rsidRPr="005B7419">
        <w:rPr>
          <w:color w:val="auto"/>
          <w:sz w:val="21"/>
          <w:szCs w:val="21"/>
        </w:rPr>
        <w:t>/2 and</w:t>
      </w:r>
      <w:r w:rsidRPr="005B7419">
        <w:rPr>
          <w:i/>
          <w:iCs/>
          <w:color w:val="auto"/>
          <w:sz w:val="21"/>
          <w:szCs w:val="21"/>
        </w:rPr>
        <w:t xml:space="preserve"> π</w:t>
      </w:r>
      <w:r w:rsidRPr="005B7419">
        <w:rPr>
          <w:color w:val="auto"/>
          <w:sz w:val="21"/>
          <w:szCs w:val="21"/>
        </w:rPr>
        <w:t xml:space="preserve">, indicating a noticeable improvement </w:t>
      </w:r>
      <w:r w:rsidR="009E4AD3" w:rsidRPr="005B7419">
        <w:rPr>
          <w:color w:val="auto"/>
          <w:sz w:val="21"/>
          <w:szCs w:val="21"/>
        </w:rPr>
        <w:t>in</w:t>
      </w:r>
      <w:r w:rsidRPr="005B7419">
        <w:rPr>
          <w:color w:val="auto"/>
          <w:sz w:val="21"/>
          <w:szCs w:val="21"/>
        </w:rPr>
        <w:t xml:space="preserve"> spectral resolution.</w:t>
      </w:r>
    </w:p>
    <w:p w14:paraId="12DFEA31" w14:textId="77777777" w:rsidR="0021404A" w:rsidRPr="005B7419" w:rsidRDefault="0021404A">
      <w:pPr>
        <w:pStyle w:val="10BodySubsequentParagraph"/>
        <w:rPr>
          <w:color w:val="auto"/>
          <w:sz w:val="21"/>
          <w:szCs w:val="21"/>
        </w:rPr>
      </w:pPr>
    </w:p>
    <w:p w14:paraId="332826FA" w14:textId="744FCC58" w:rsidR="0021404A" w:rsidRPr="005B7419" w:rsidRDefault="00C269CA">
      <w:pPr>
        <w:pStyle w:val="10BodySubsequentParagraph"/>
        <w:jc w:val="center"/>
        <w:rPr>
          <w:color w:val="auto"/>
          <w:sz w:val="21"/>
          <w:szCs w:val="21"/>
        </w:rPr>
      </w:pPr>
      <w:r w:rsidRPr="005B7419">
        <w:rPr>
          <w:noProof/>
          <w:color w:val="auto"/>
          <w:lang w:eastAsia="zh-CN"/>
        </w:rPr>
        <w:lastRenderedPageBreak/>
        <w:drawing>
          <wp:inline distT="0" distB="0" distL="0" distR="0" wp14:anchorId="19F5FD6C" wp14:editId="33F25FBE">
            <wp:extent cx="4011295" cy="2026920"/>
            <wp:effectExtent l="0" t="0" r="825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011295" cy="2026920"/>
                    </a:xfrm>
                    <a:prstGeom prst="rect">
                      <a:avLst/>
                    </a:prstGeom>
                    <a:noFill/>
                    <a:ln>
                      <a:noFill/>
                    </a:ln>
                  </pic:spPr>
                </pic:pic>
              </a:graphicData>
            </a:graphic>
          </wp:inline>
        </w:drawing>
      </w:r>
    </w:p>
    <w:p w14:paraId="266C221C" w14:textId="48FD7886" w:rsidR="0021404A" w:rsidRPr="005B7419" w:rsidRDefault="00C2395A" w:rsidP="00581084">
      <w:pPr>
        <w:pStyle w:val="12FigureCaptionShort"/>
        <w:ind w:left="0" w:right="0"/>
        <w:jc w:val="both"/>
        <w:rPr>
          <w:color w:val="auto"/>
          <w:sz w:val="18"/>
          <w:szCs w:val="18"/>
        </w:rPr>
      </w:pPr>
      <w:r w:rsidRPr="005B7419">
        <w:rPr>
          <w:b/>
          <w:bCs/>
          <w:color w:val="auto"/>
          <w:sz w:val="18"/>
          <w:szCs w:val="18"/>
        </w:rPr>
        <w:t xml:space="preserve">Fig. </w:t>
      </w:r>
      <w:r w:rsidR="00A51C90" w:rsidRPr="005B7419">
        <w:rPr>
          <w:b/>
          <w:bCs/>
          <w:color w:val="auto"/>
          <w:sz w:val="18"/>
          <w:szCs w:val="18"/>
        </w:rPr>
        <w:t>S</w:t>
      </w:r>
      <w:r w:rsidR="0088027D" w:rsidRPr="005B7419">
        <w:rPr>
          <w:b/>
          <w:bCs/>
          <w:color w:val="auto"/>
          <w:sz w:val="18"/>
          <w:szCs w:val="18"/>
        </w:rPr>
        <w:t>8</w:t>
      </w:r>
      <w:r w:rsidRPr="005B7419">
        <w:rPr>
          <w:b/>
          <w:bCs/>
          <w:color w:val="auto"/>
          <w:sz w:val="18"/>
          <w:szCs w:val="18"/>
        </w:rPr>
        <w:t>.</w:t>
      </w:r>
      <w:r w:rsidRPr="005B7419">
        <w:rPr>
          <w:color w:val="auto"/>
          <w:sz w:val="18"/>
          <w:szCs w:val="18"/>
        </w:rPr>
        <w:t xml:space="preserve"> Tunable spectral resolution. (a) Schematic of two cascaded </w:t>
      </w:r>
      <w:r w:rsidR="004723CB" w:rsidRPr="005B7419">
        <w:rPr>
          <w:color w:val="auto"/>
          <w:sz w:val="18"/>
          <w:szCs w:val="18"/>
        </w:rPr>
        <w:t>catenary-like</w:t>
      </w:r>
      <w:r w:rsidRPr="005B7419">
        <w:rPr>
          <w:color w:val="auto"/>
          <w:sz w:val="18"/>
          <w:szCs w:val="18"/>
        </w:rPr>
        <w:t xml:space="preserve"> metasurfaces. (b) Measured spectra f</w:t>
      </w:r>
      <w:r w:rsidRPr="005B7419">
        <w:rPr>
          <w:rFonts w:hint="eastAsia"/>
          <w:color w:val="auto"/>
          <w:sz w:val="18"/>
          <w:szCs w:val="18"/>
        </w:rPr>
        <w:t>or</w:t>
      </w:r>
      <w:r w:rsidRPr="005B7419">
        <w:rPr>
          <w:color w:val="auto"/>
          <w:sz w:val="18"/>
          <w:szCs w:val="18"/>
        </w:rPr>
        <w:t xml:space="preserve"> included angles from π/8 (top) to π (bottom) with an increment of π/8.</w:t>
      </w:r>
    </w:p>
    <w:p w14:paraId="1D65451F" w14:textId="77777777" w:rsidR="0021404A" w:rsidRPr="005B7419" w:rsidRDefault="0021404A">
      <w:pPr>
        <w:pStyle w:val="10BodySubsequentParagraph"/>
        <w:ind w:firstLine="0"/>
        <w:rPr>
          <w:color w:val="auto"/>
          <w:sz w:val="21"/>
          <w:szCs w:val="21"/>
        </w:rPr>
      </w:pPr>
    </w:p>
    <w:p w14:paraId="51196B89" w14:textId="627413B6" w:rsidR="0021404A" w:rsidRPr="005B7419" w:rsidRDefault="00C2395A">
      <w:pPr>
        <w:adjustRightInd w:val="0"/>
        <w:snapToGrid w:val="0"/>
        <w:spacing w:after="0" w:line="240" w:lineRule="exact"/>
        <w:rPr>
          <w:sz w:val="21"/>
          <w:szCs w:val="21"/>
        </w:rPr>
      </w:pPr>
      <w:r w:rsidRPr="005B7419">
        <w:rPr>
          <w:rFonts w:ascii="Times New Roman" w:eastAsia="黑体" w:hAnsi="Times New Roman" w:cs="Times New Roman"/>
          <w:b/>
          <w:sz w:val="21"/>
          <w:szCs w:val="21"/>
        </w:rPr>
        <w:t>S</w:t>
      </w:r>
      <w:r w:rsidR="00C94894" w:rsidRPr="005B7419">
        <w:rPr>
          <w:rFonts w:ascii="Times New Roman" w:eastAsia="黑体" w:hAnsi="Times New Roman" w:cs="Times New Roman"/>
          <w:b/>
          <w:sz w:val="21"/>
          <w:szCs w:val="21"/>
        </w:rPr>
        <w:t>7</w:t>
      </w:r>
      <w:r w:rsidRPr="005B7419">
        <w:rPr>
          <w:rFonts w:ascii="Times New Roman" w:eastAsia="黑体" w:hAnsi="Times New Roman" w:cs="Times New Roman"/>
          <w:b/>
          <w:sz w:val="21"/>
          <w:szCs w:val="21"/>
        </w:rPr>
        <w:t>. Demonstration of p</w:t>
      </w:r>
      <w:bookmarkStart w:id="21" w:name="_Hlk111982652"/>
      <w:r w:rsidRPr="005B7419">
        <w:rPr>
          <w:rFonts w:ascii="Times New Roman" w:eastAsia="黑体" w:hAnsi="Times New Roman" w:cs="Times New Roman"/>
          <w:b/>
          <w:sz w:val="21"/>
          <w:szCs w:val="21"/>
        </w:rPr>
        <w:t>olarization</w:t>
      </w:r>
      <w:r w:rsidR="00080B4D" w:rsidRPr="005B7419">
        <w:rPr>
          <w:rFonts w:ascii="Times New Roman" w:eastAsia="黑体" w:hAnsi="Times New Roman" w:cs="Times New Roman"/>
          <w:b/>
          <w:sz w:val="21"/>
          <w:szCs w:val="21"/>
        </w:rPr>
        <w:t>-</w:t>
      </w:r>
      <w:r w:rsidRPr="005B7419">
        <w:rPr>
          <w:rFonts w:ascii="Times New Roman" w:eastAsia="黑体" w:hAnsi="Times New Roman" w:cs="Times New Roman"/>
          <w:b/>
          <w:sz w:val="21"/>
          <w:szCs w:val="21"/>
        </w:rPr>
        <w:t>spectral detection</w:t>
      </w:r>
      <w:bookmarkEnd w:id="21"/>
    </w:p>
    <w:p w14:paraId="573F463A" w14:textId="60C48E52" w:rsidR="0021404A" w:rsidRPr="005B7419" w:rsidRDefault="00C2395A" w:rsidP="00581084">
      <w:pPr>
        <w:pStyle w:val="10BodySubsequentParagraph"/>
        <w:ind w:firstLineChars="200" w:firstLine="420"/>
        <w:rPr>
          <w:color w:val="auto"/>
          <w:sz w:val="21"/>
          <w:szCs w:val="21"/>
        </w:rPr>
      </w:pPr>
      <w:r w:rsidRPr="005B7419">
        <w:rPr>
          <w:color w:val="auto"/>
          <w:sz w:val="21"/>
          <w:szCs w:val="21"/>
        </w:rPr>
        <w:t>The verification of polarization</w:t>
      </w:r>
      <w:r w:rsidR="00080B4D" w:rsidRPr="005B7419">
        <w:rPr>
          <w:color w:val="auto"/>
          <w:sz w:val="21"/>
          <w:szCs w:val="21"/>
        </w:rPr>
        <w:t>-</w:t>
      </w:r>
      <w:r w:rsidRPr="005B7419">
        <w:rPr>
          <w:color w:val="auto"/>
          <w:sz w:val="21"/>
          <w:szCs w:val="21"/>
        </w:rPr>
        <w:t>spectral detection is carried out by an experiment setup shown in Fig. S</w:t>
      </w:r>
      <w:r w:rsidR="0088027D" w:rsidRPr="005B7419">
        <w:rPr>
          <w:color w:val="auto"/>
          <w:sz w:val="21"/>
          <w:szCs w:val="21"/>
        </w:rPr>
        <w:t>6</w:t>
      </w:r>
      <w:r w:rsidRPr="005B7419">
        <w:rPr>
          <w:color w:val="auto"/>
          <w:sz w:val="21"/>
          <w:szCs w:val="21"/>
        </w:rPr>
        <w:t>(d). The thermal radiation from a blackbody (FuYuan Photoelectric HFY-300A) was conversed into linearly polarized light by a linear polarizer. After passing a quarter-wave plate and a bandpass filter with a central wavelength of 10.6 μm, the radiation beam was captured by the meta-system. Fig</w:t>
      </w:r>
      <w:r w:rsidR="0088027D" w:rsidRPr="005B7419">
        <w:rPr>
          <w:color w:val="auto"/>
          <w:sz w:val="21"/>
          <w:szCs w:val="21"/>
        </w:rPr>
        <w:t>.</w:t>
      </w:r>
      <w:r w:rsidRPr="005B7419">
        <w:rPr>
          <w:color w:val="auto"/>
          <w:sz w:val="21"/>
          <w:szCs w:val="21"/>
        </w:rPr>
        <w:t xml:space="preserve"> </w:t>
      </w:r>
      <w:r w:rsidR="00A51C90" w:rsidRPr="005B7419">
        <w:rPr>
          <w:color w:val="auto"/>
          <w:sz w:val="21"/>
          <w:szCs w:val="21"/>
        </w:rPr>
        <w:t>S</w:t>
      </w:r>
      <w:r w:rsidR="0088027D" w:rsidRPr="005B7419">
        <w:rPr>
          <w:color w:val="auto"/>
          <w:sz w:val="21"/>
          <w:szCs w:val="21"/>
        </w:rPr>
        <w:t>9</w:t>
      </w:r>
      <w:r w:rsidR="00A51C90" w:rsidRPr="005B7419">
        <w:rPr>
          <w:color w:val="auto"/>
          <w:sz w:val="21"/>
          <w:szCs w:val="21"/>
        </w:rPr>
        <w:t xml:space="preserve"> </w:t>
      </w:r>
      <w:r w:rsidRPr="005B7419">
        <w:rPr>
          <w:color w:val="auto"/>
          <w:sz w:val="21"/>
          <w:szCs w:val="21"/>
        </w:rPr>
        <w:t xml:space="preserve">shows the results captured by the meta-system in the spectral mode with different included angles of </w:t>
      </w:r>
      <w:r w:rsidRPr="005B7419">
        <w:rPr>
          <w:i/>
          <w:color w:val="auto"/>
          <w:sz w:val="21"/>
          <w:szCs w:val="21"/>
        </w:rPr>
        <w:t>Φ</w:t>
      </w:r>
      <w:r w:rsidRPr="005B7419">
        <w:rPr>
          <w:iCs/>
          <w:color w:val="auto"/>
          <w:sz w:val="21"/>
          <w:szCs w:val="21"/>
        </w:rPr>
        <w:t xml:space="preserve"> between the </w:t>
      </w:r>
      <w:r w:rsidRPr="005B7419">
        <w:rPr>
          <w:color w:val="auto"/>
          <w:sz w:val="21"/>
          <w:szCs w:val="21"/>
        </w:rPr>
        <w:t>polarizer and quarter-wave plate. The bandpass filter is used to limit the spectrum of the radiation beam within the operating bandwidth of the quarter-wave plate. When the included angle is a positive integral multiple of 45°, the radiation beam will be converted to LCP or RCP.</w:t>
      </w:r>
    </w:p>
    <w:p w14:paraId="317608A5" w14:textId="77777777" w:rsidR="0021404A" w:rsidRPr="005B7419" w:rsidRDefault="0021404A">
      <w:pPr>
        <w:pStyle w:val="10BodySubsequentParagraph"/>
        <w:rPr>
          <w:color w:val="auto"/>
          <w:sz w:val="21"/>
          <w:szCs w:val="21"/>
        </w:rPr>
      </w:pPr>
    </w:p>
    <w:p w14:paraId="18367929" w14:textId="6EA6B9BB" w:rsidR="0021404A" w:rsidRPr="005B7419" w:rsidRDefault="00C269CA">
      <w:pPr>
        <w:pStyle w:val="10BodySubsequentParagraph"/>
        <w:jc w:val="center"/>
        <w:rPr>
          <w:color w:val="auto"/>
          <w:sz w:val="21"/>
          <w:szCs w:val="21"/>
        </w:rPr>
      </w:pPr>
      <w:r w:rsidRPr="005B7419">
        <w:rPr>
          <w:noProof/>
          <w:color w:val="auto"/>
          <w:lang w:eastAsia="zh-CN"/>
        </w:rPr>
        <w:drawing>
          <wp:inline distT="0" distB="0" distL="0" distR="0" wp14:anchorId="725356B4" wp14:editId="659A61CC">
            <wp:extent cx="2251710" cy="223393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251710" cy="2233930"/>
                    </a:xfrm>
                    <a:prstGeom prst="rect">
                      <a:avLst/>
                    </a:prstGeom>
                    <a:noFill/>
                    <a:ln>
                      <a:noFill/>
                    </a:ln>
                  </pic:spPr>
                </pic:pic>
              </a:graphicData>
            </a:graphic>
          </wp:inline>
        </w:drawing>
      </w:r>
    </w:p>
    <w:p w14:paraId="2F61F9C7" w14:textId="7704CBF9" w:rsidR="0021404A" w:rsidRDefault="00C2395A" w:rsidP="0037287A">
      <w:pPr>
        <w:pStyle w:val="12FigureCaptionShort"/>
        <w:rPr>
          <w:color w:val="auto"/>
          <w:sz w:val="18"/>
          <w:szCs w:val="18"/>
        </w:rPr>
      </w:pPr>
      <w:r w:rsidRPr="005B7419">
        <w:rPr>
          <w:b/>
          <w:bCs/>
          <w:color w:val="auto"/>
          <w:sz w:val="18"/>
          <w:szCs w:val="18"/>
        </w:rPr>
        <w:t xml:space="preserve">Fig. </w:t>
      </w:r>
      <w:r w:rsidR="00A51C90" w:rsidRPr="005B7419">
        <w:rPr>
          <w:b/>
          <w:bCs/>
          <w:color w:val="auto"/>
          <w:sz w:val="18"/>
          <w:szCs w:val="18"/>
        </w:rPr>
        <w:t>S</w:t>
      </w:r>
      <w:r w:rsidR="0088027D" w:rsidRPr="005B7419">
        <w:rPr>
          <w:b/>
          <w:bCs/>
          <w:color w:val="auto"/>
          <w:sz w:val="18"/>
          <w:szCs w:val="18"/>
        </w:rPr>
        <w:t>9</w:t>
      </w:r>
      <w:r w:rsidRPr="005B7419">
        <w:rPr>
          <w:b/>
          <w:bCs/>
          <w:color w:val="auto"/>
          <w:sz w:val="18"/>
          <w:szCs w:val="18"/>
        </w:rPr>
        <w:t>.</w:t>
      </w:r>
      <w:r w:rsidRPr="005B7419">
        <w:rPr>
          <w:color w:val="auto"/>
          <w:sz w:val="18"/>
          <w:szCs w:val="18"/>
        </w:rPr>
        <w:t xml:space="preserve"> Polarization</w:t>
      </w:r>
      <w:r w:rsidR="00080B4D" w:rsidRPr="005B7419">
        <w:rPr>
          <w:color w:val="auto"/>
          <w:sz w:val="18"/>
          <w:szCs w:val="18"/>
        </w:rPr>
        <w:t>-</w:t>
      </w:r>
      <w:r w:rsidRPr="005B7419">
        <w:rPr>
          <w:color w:val="auto"/>
          <w:sz w:val="18"/>
          <w:szCs w:val="18"/>
        </w:rPr>
        <w:t>spectral detection results.</w:t>
      </w:r>
    </w:p>
    <w:p w14:paraId="1E901443" w14:textId="77777777" w:rsidR="00012624" w:rsidRPr="00D30144" w:rsidRDefault="00012624" w:rsidP="00012624">
      <w:pPr>
        <w:pStyle w:val="hkeywords"/>
        <w:autoSpaceDE w:val="0"/>
        <w:autoSpaceDN w:val="0"/>
        <w:adjustRightInd w:val="0"/>
        <w:snapToGrid w:val="0"/>
        <w:spacing w:afterLines="50" w:after="120"/>
        <w:rPr>
          <w:rFonts w:eastAsia="黑体"/>
          <w:b/>
          <w:szCs w:val="21"/>
        </w:rPr>
      </w:pPr>
      <w:r w:rsidRPr="00D30144">
        <w:rPr>
          <w:rFonts w:eastAsia="黑体"/>
          <w:b/>
          <w:szCs w:val="21"/>
        </w:rPr>
        <w:t>References</w:t>
      </w:r>
    </w:p>
    <w:p w14:paraId="2DD56981" w14:textId="61285E62" w:rsidR="00012624" w:rsidRPr="00012624" w:rsidRDefault="00012624" w:rsidP="00012624">
      <w:pPr>
        <w:pStyle w:val="10BodySubsequentParagraph"/>
        <w:ind w:firstLine="0"/>
        <w:rPr>
          <w:lang w:eastAsia="zh-CN"/>
        </w:rPr>
      </w:pPr>
      <w:r>
        <w:rPr>
          <w:rFonts w:hint="eastAsia"/>
          <w:lang w:eastAsia="zh-CN"/>
        </w:rPr>
        <w:t>[</w:t>
      </w:r>
      <w:r>
        <w:rPr>
          <w:lang w:eastAsia="zh-CN"/>
        </w:rPr>
        <w:t>1]</w:t>
      </w:r>
      <w:r w:rsidRPr="00012624">
        <w:rPr>
          <w:color w:val="auto"/>
          <w:szCs w:val="24"/>
        </w:rPr>
        <w:t xml:space="preserve"> </w:t>
      </w:r>
      <w:r w:rsidRPr="00012624">
        <w:rPr>
          <w:sz w:val="18"/>
          <w:szCs w:val="18"/>
        </w:rPr>
        <w:t>Zhang</w:t>
      </w:r>
      <w:r w:rsidRPr="00012624">
        <w:rPr>
          <w:color w:val="auto"/>
          <w:sz w:val="18"/>
          <w:szCs w:val="18"/>
        </w:rPr>
        <w:t xml:space="preserve"> </w:t>
      </w:r>
      <w:r w:rsidRPr="00012624">
        <w:rPr>
          <w:sz w:val="18"/>
          <w:szCs w:val="18"/>
        </w:rPr>
        <w:t>F</w:t>
      </w:r>
      <w:r w:rsidRPr="00012624">
        <w:rPr>
          <w:color w:val="auto"/>
          <w:sz w:val="18"/>
          <w:szCs w:val="18"/>
        </w:rPr>
        <w:t xml:space="preserve">, </w:t>
      </w:r>
      <w:r w:rsidRPr="00012624">
        <w:rPr>
          <w:sz w:val="18"/>
          <w:szCs w:val="18"/>
        </w:rPr>
        <w:t>Pu</w:t>
      </w:r>
      <w:r w:rsidRPr="00012624">
        <w:rPr>
          <w:color w:val="auto"/>
          <w:sz w:val="18"/>
          <w:szCs w:val="18"/>
        </w:rPr>
        <w:t xml:space="preserve"> </w:t>
      </w:r>
      <w:r w:rsidRPr="00012624">
        <w:rPr>
          <w:sz w:val="18"/>
          <w:szCs w:val="18"/>
        </w:rPr>
        <w:t>M</w:t>
      </w:r>
      <w:r w:rsidRPr="00012624">
        <w:rPr>
          <w:color w:val="auto"/>
          <w:sz w:val="18"/>
          <w:szCs w:val="18"/>
        </w:rPr>
        <w:t xml:space="preserve">, </w:t>
      </w:r>
      <w:r w:rsidRPr="00012624">
        <w:rPr>
          <w:sz w:val="18"/>
          <w:szCs w:val="18"/>
        </w:rPr>
        <w:t>Li</w:t>
      </w:r>
      <w:r w:rsidRPr="00012624">
        <w:rPr>
          <w:color w:val="auto"/>
          <w:sz w:val="18"/>
          <w:szCs w:val="18"/>
        </w:rPr>
        <w:t xml:space="preserve"> </w:t>
      </w:r>
      <w:r w:rsidRPr="00012624">
        <w:rPr>
          <w:sz w:val="18"/>
          <w:szCs w:val="18"/>
        </w:rPr>
        <w:t>X</w:t>
      </w:r>
      <w:r w:rsidRPr="00012624">
        <w:rPr>
          <w:color w:val="auto"/>
          <w:sz w:val="18"/>
          <w:szCs w:val="18"/>
        </w:rPr>
        <w:t xml:space="preserve">, </w:t>
      </w:r>
      <w:r w:rsidRPr="00012624">
        <w:rPr>
          <w:sz w:val="18"/>
          <w:szCs w:val="18"/>
        </w:rPr>
        <w:t>Gao</w:t>
      </w:r>
      <w:r w:rsidRPr="00012624">
        <w:rPr>
          <w:color w:val="auto"/>
          <w:sz w:val="18"/>
          <w:szCs w:val="18"/>
        </w:rPr>
        <w:t xml:space="preserve"> </w:t>
      </w:r>
      <w:r w:rsidRPr="00012624">
        <w:rPr>
          <w:sz w:val="18"/>
          <w:szCs w:val="18"/>
        </w:rPr>
        <w:t>P</w:t>
      </w:r>
      <w:r w:rsidRPr="00012624">
        <w:rPr>
          <w:color w:val="auto"/>
          <w:sz w:val="18"/>
          <w:szCs w:val="18"/>
        </w:rPr>
        <w:t xml:space="preserve">, </w:t>
      </w:r>
      <w:r w:rsidRPr="00012624">
        <w:rPr>
          <w:sz w:val="18"/>
          <w:szCs w:val="18"/>
        </w:rPr>
        <w:t>Ma</w:t>
      </w:r>
      <w:r w:rsidRPr="00012624">
        <w:rPr>
          <w:color w:val="auto"/>
          <w:sz w:val="18"/>
          <w:szCs w:val="18"/>
        </w:rPr>
        <w:t xml:space="preserve"> </w:t>
      </w:r>
      <w:r w:rsidRPr="00012624">
        <w:rPr>
          <w:sz w:val="18"/>
          <w:szCs w:val="18"/>
        </w:rPr>
        <w:t>X</w:t>
      </w:r>
      <w:r w:rsidRPr="00012624">
        <w:rPr>
          <w:color w:val="auto"/>
          <w:sz w:val="18"/>
          <w:szCs w:val="18"/>
        </w:rPr>
        <w:t xml:space="preserve">, </w:t>
      </w:r>
      <w:r w:rsidRPr="00012624">
        <w:rPr>
          <w:sz w:val="18"/>
          <w:szCs w:val="18"/>
        </w:rPr>
        <w:t>Luo</w:t>
      </w:r>
      <w:r w:rsidRPr="00012624">
        <w:rPr>
          <w:color w:val="auto"/>
          <w:sz w:val="18"/>
          <w:szCs w:val="18"/>
        </w:rPr>
        <w:t xml:space="preserve"> </w:t>
      </w:r>
      <w:r w:rsidRPr="00012624">
        <w:rPr>
          <w:sz w:val="18"/>
          <w:szCs w:val="18"/>
        </w:rPr>
        <w:t>J</w:t>
      </w:r>
      <w:r w:rsidRPr="00012624">
        <w:rPr>
          <w:color w:val="auto"/>
          <w:sz w:val="18"/>
          <w:szCs w:val="18"/>
        </w:rPr>
        <w:t xml:space="preserve">, </w:t>
      </w:r>
      <w:r w:rsidRPr="00012624">
        <w:rPr>
          <w:sz w:val="18"/>
          <w:szCs w:val="18"/>
        </w:rPr>
        <w:t>et al.</w:t>
      </w:r>
      <w:r w:rsidRPr="00012624">
        <w:rPr>
          <w:color w:val="auto"/>
          <w:sz w:val="18"/>
          <w:szCs w:val="18"/>
        </w:rPr>
        <w:t xml:space="preserve"> </w:t>
      </w:r>
      <w:r w:rsidRPr="00012624">
        <w:rPr>
          <w:sz w:val="18"/>
          <w:szCs w:val="18"/>
        </w:rPr>
        <w:t>All-</w:t>
      </w:r>
      <w:r w:rsidRPr="00012624">
        <w:rPr>
          <w:color w:val="auto"/>
          <w:sz w:val="18"/>
          <w:szCs w:val="18"/>
        </w:rPr>
        <w:t>dielectric metasurfaces for simultaneous giant circular asymmetric transmission and wavefront shaping based on asymmetric photonic spin-orbit i</w:t>
      </w:r>
      <w:r w:rsidRPr="00012624">
        <w:rPr>
          <w:sz w:val="18"/>
          <w:szCs w:val="18"/>
        </w:rPr>
        <w:t>nteractions.</w:t>
      </w:r>
      <w:r w:rsidRPr="00012624">
        <w:rPr>
          <w:color w:val="auto"/>
          <w:sz w:val="18"/>
          <w:szCs w:val="18"/>
        </w:rPr>
        <w:t xml:space="preserve"> </w:t>
      </w:r>
      <w:r w:rsidRPr="00012624">
        <w:rPr>
          <w:sz w:val="18"/>
          <w:szCs w:val="18"/>
        </w:rPr>
        <w:t>Adv Funct Mater</w:t>
      </w:r>
      <w:r w:rsidRPr="00012624">
        <w:rPr>
          <w:color w:val="auto"/>
          <w:sz w:val="18"/>
          <w:szCs w:val="18"/>
        </w:rPr>
        <w:t xml:space="preserve"> </w:t>
      </w:r>
      <w:r w:rsidRPr="00012624">
        <w:rPr>
          <w:sz w:val="18"/>
          <w:szCs w:val="18"/>
        </w:rPr>
        <w:t>2017</w:t>
      </w:r>
      <w:r w:rsidRPr="00012624">
        <w:rPr>
          <w:color w:val="auto"/>
          <w:sz w:val="18"/>
          <w:szCs w:val="18"/>
        </w:rPr>
        <w:t>;</w:t>
      </w:r>
      <w:r w:rsidRPr="00012624">
        <w:rPr>
          <w:sz w:val="18"/>
          <w:szCs w:val="18"/>
        </w:rPr>
        <w:t>27</w:t>
      </w:r>
      <w:r w:rsidRPr="00012624">
        <w:rPr>
          <w:color w:val="auto"/>
          <w:sz w:val="18"/>
          <w:szCs w:val="18"/>
        </w:rPr>
        <w:t>(</w:t>
      </w:r>
      <w:r w:rsidRPr="00012624">
        <w:rPr>
          <w:sz w:val="18"/>
          <w:szCs w:val="18"/>
        </w:rPr>
        <w:t>47</w:t>
      </w:r>
      <w:r w:rsidRPr="00012624">
        <w:rPr>
          <w:color w:val="auto"/>
          <w:sz w:val="18"/>
          <w:szCs w:val="18"/>
        </w:rPr>
        <w:t>):</w:t>
      </w:r>
      <w:r w:rsidRPr="00012624">
        <w:rPr>
          <w:sz w:val="18"/>
          <w:szCs w:val="18"/>
        </w:rPr>
        <w:t>1704295</w:t>
      </w:r>
      <w:r w:rsidRPr="00012624">
        <w:rPr>
          <w:color w:val="auto"/>
          <w:sz w:val="18"/>
          <w:szCs w:val="18"/>
        </w:rPr>
        <w:t>.</w:t>
      </w:r>
    </w:p>
    <w:sectPr w:rsidR="00012624" w:rsidRPr="00012624" w:rsidSect="001E08C3">
      <w:footerReference w:type="default" r:id="rId39"/>
      <w:pgSz w:w="11906" w:h="16838"/>
      <w:pgMar w:top="1616" w:right="737" w:bottom="1616" w:left="73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C059EF" w14:textId="77777777" w:rsidR="00BF5AC8" w:rsidRDefault="00BF5AC8">
      <w:pPr>
        <w:spacing w:line="240" w:lineRule="auto"/>
      </w:pPr>
      <w:r>
        <w:separator/>
      </w:r>
    </w:p>
  </w:endnote>
  <w:endnote w:type="continuationSeparator" w:id="0">
    <w:p w14:paraId="0AE7D8A6" w14:textId="77777777" w:rsidR="00BF5AC8" w:rsidRDefault="00BF5A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5598839"/>
      <w:docPartObj>
        <w:docPartGallery w:val="Page Numbers (Bottom of Page)"/>
        <w:docPartUnique/>
      </w:docPartObj>
    </w:sdtPr>
    <w:sdtEndPr/>
    <w:sdtContent>
      <w:p w14:paraId="5BE78FD1" w14:textId="574D7320" w:rsidR="00551B06" w:rsidRDefault="00551B06">
        <w:pPr>
          <w:pStyle w:val="a5"/>
          <w:jc w:val="right"/>
        </w:pPr>
        <w:r>
          <w:fldChar w:fldCharType="begin"/>
        </w:r>
        <w:r>
          <w:instrText>PAGE   \* MERGEFORMAT</w:instrText>
        </w:r>
        <w:r>
          <w:fldChar w:fldCharType="separate"/>
        </w:r>
        <w:r w:rsidR="004B4996" w:rsidRPr="004B4996">
          <w:rPr>
            <w:noProof/>
            <w:lang w:val="zh-CN" w:eastAsia="zh-CN"/>
          </w:rPr>
          <w:t>7</w:t>
        </w:r>
        <w:r>
          <w:fldChar w:fldCharType="end"/>
        </w:r>
      </w:p>
    </w:sdtContent>
  </w:sdt>
  <w:p w14:paraId="5DFEC6A3" w14:textId="77777777" w:rsidR="00551B06" w:rsidRDefault="00551B0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D83B80" w14:textId="77777777" w:rsidR="00BF5AC8" w:rsidRDefault="00BF5AC8">
      <w:pPr>
        <w:spacing w:after="0"/>
      </w:pPr>
      <w:r>
        <w:separator/>
      </w:r>
    </w:p>
  </w:footnote>
  <w:footnote w:type="continuationSeparator" w:id="0">
    <w:p w14:paraId="0584E159" w14:textId="77777777" w:rsidR="00BF5AC8" w:rsidRDefault="00BF5AC8">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A33AD"/>
    <w:multiLevelType w:val="multilevel"/>
    <w:tmpl w:val="093A33AD"/>
    <w:lvl w:ilvl="0">
      <w:start w:val="1"/>
      <w:numFmt w:val="bullet"/>
      <w:pStyle w:val="17ListBulleted"/>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
    <w:nsid w:val="14010ED4"/>
    <w:multiLevelType w:val="multilevel"/>
    <w:tmpl w:val="14010ED4"/>
    <w:lvl w:ilvl="0">
      <w:start w:val="1"/>
      <w:numFmt w:val="decimal"/>
      <w:pStyle w:val="08SectionHeader1"/>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
    <w:nsid w:val="1D772220"/>
    <w:multiLevelType w:val="multilevel"/>
    <w:tmpl w:val="1D772220"/>
    <w:lvl w:ilvl="0">
      <w:start w:val="1"/>
      <w:numFmt w:val="decimal"/>
      <w:pStyle w:val="24References"/>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549929DE"/>
    <w:multiLevelType w:val="multilevel"/>
    <w:tmpl w:val="549929DE"/>
    <w:lvl w:ilvl="0">
      <w:start w:val="1"/>
      <w:numFmt w:val="decimal"/>
      <w:pStyle w:val="19ListNumber1"/>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nsid w:val="6EC84BF4"/>
    <w:multiLevelType w:val="multilevel"/>
    <w:tmpl w:val="6EC84BF4"/>
    <w:lvl w:ilvl="0">
      <w:start w:val="1"/>
      <w:numFmt w:val="lowerLetter"/>
      <w:pStyle w:val="19ListNumber2"/>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bordersDoNotSurroundHeader/>
  <w:bordersDoNotSurroundFooter/>
  <w:proofState w:spelling="clean" w:grammar="clean"/>
  <w:defaultTabStop w:val="719"/>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DEzMrAwNjY2tTA2NLRQ0lEKTi0uzszPAykwtKwFANVnr80tAAAA"/>
    <w:docVar w:name="commondata" w:val="eyJoZGlkIjoiN2YzNjBkOTgyNWQ1YTMxYzM3MzMwNWFiODNmOWIzYWMifQ=="/>
  </w:docVars>
  <w:rsids>
    <w:rsidRoot w:val="006E3663"/>
    <w:rsid w:val="00002E70"/>
    <w:rsid w:val="00012624"/>
    <w:rsid w:val="00021142"/>
    <w:rsid w:val="00022A47"/>
    <w:rsid w:val="00025EED"/>
    <w:rsid w:val="00036639"/>
    <w:rsid w:val="000366A8"/>
    <w:rsid w:val="00036D48"/>
    <w:rsid w:val="000469E1"/>
    <w:rsid w:val="000615EE"/>
    <w:rsid w:val="00062D82"/>
    <w:rsid w:val="000748C9"/>
    <w:rsid w:val="00080B4D"/>
    <w:rsid w:val="00086BC8"/>
    <w:rsid w:val="0009090B"/>
    <w:rsid w:val="00092896"/>
    <w:rsid w:val="000A1A24"/>
    <w:rsid w:val="000B0402"/>
    <w:rsid w:val="000B626E"/>
    <w:rsid w:val="00112B21"/>
    <w:rsid w:val="0012111D"/>
    <w:rsid w:val="00133129"/>
    <w:rsid w:val="00162A4E"/>
    <w:rsid w:val="001706B0"/>
    <w:rsid w:val="00176184"/>
    <w:rsid w:val="0018075C"/>
    <w:rsid w:val="001843FD"/>
    <w:rsid w:val="001920EE"/>
    <w:rsid w:val="001A28CD"/>
    <w:rsid w:val="001A58A5"/>
    <w:rsid w:val="001B3C47"/>
    <w:rsid w:val="001C1A8F"/>
    <w:rsid w:val="001E01C7"/>
    <w:rsid w:val="001E08C3"/>
    <w:rsid w:val="001F0948"/>
    <w:rsid w:val="0020118A"/>
    <w:rsid w:val="0021404A"/>
    <w:rsid w:val="00225EE0"/>
    <w:rsid w:val="00241F85"/>
    <w:rsid w:val="00243F6E"/>
    <w:rsid w:val="00250FCF"/>
    <w:rsid w:val="00271DF7"/>
    <w:rsid w:val="00285F00"/>
    <w:rsid w:val="002A261B"/>
    <w:rsid w:val="002A2E82"/>
    <w:rsid w:val="002B1EAA"/>
    <w:rsid w:val="002D262F"/>
    <w:rsid w:val="002D43D6"/>
    <w:rsid w:val="002E0DDB"/>
    <w:rsid w:val="002E2F1C"/>
    <w:rsid w:val="002E5CE7"/>
    <w:rsid w:val="002F13BA"/>
    <w:rsid w:val="002F14ED"/>
    <w:rsid w:val="002F389C"/>
    <w:rsid w:val="00311999"/>
    <w:rsid w:val="003202A4"/>
    <w:rsid w:val="0032217E"/>
    <w:rsid w:val="00331AB2"/>
    <w:rsid w:val="00333C67"/>
    <w:rsid w:val="00350965"/>
    <w:rsid w:val="00354429"/>
    <w:rsid w:val="003558F1"/>
    <w:rsid w:val="00356592"/>
    <w:rsid w:val="0036209C"/>
    <w:rsid w:val="00366701"/>
    <w:rsid w:val="0037287A"/>
    <w:rsid w:val="00383428"/>
    <w:rsid w:val="003912FB"/>
    <w:rsid w:val="00394496"/>
    <w:rsid w:val="00394DAE"/>
    <w:rsid w:val="00394FAA"/>
    <w:rsid w:val="003B0430"/>
    <w:rsid w:val="003B1339"/>
    <w:rsid w:val="003F2F9F"/>
    <w:rsid w:val="003F56EC"/>
    <w:rsid w:val="004048F5"/>
    <w:rsid w:val="00416CDD"/>
    <w:rsid w:val="0042486E"/>
    <w:rsid w:val="00432E94"/>
    <w:rsid w:val="00435547"/>
    <w:rsid w:val="00443477"/>
    <w:rsid w:val="0046510A"/>
    <w:rsid w:val="004723CB"/>
    <w:rsid w:val="00474FB8"/>
    <w:rsid w:val="00480AF5"/>
    <w:rsid w:val="0048331C"/>
    <w:rsid w:val="00497360"/>
    <w:rsid w:val="004A22CD"/>
    <w:rsid w:val="004B4996"/>
    <w:rsid w:val="004D54AD"/>
    <w:rsid w:val="004D5CDC"/>
    <w:rsid w:val="004E29AE"/>
    <w:rsid w:val="004E5380"/>
    <w:rsid w:val="004F6039"/>
    <w:rsid w:val="00500EBF"/>
    <w:rsid w:val="00513CB8"/>
    <w:rsid w:val="00522A93"/>
    <w:rsid w:val="00526251"/>
    <w:rsid w:val="00527485"/>
    <w:rsid w:val="00535347"/>
    <w:rsid w:val="00551B06"/>
    <w:rsid w:val="00560F5B"/>
    <w:rsid w:val="00572D16"/>
    <w:rsid w:val="005763C4"/>
    <w:rsid w:val="00576B0D"/>
    <w:rsid w:val="00581084"/>
    <w:rsid w:val="00584950"/>
    <w:rsid w:val="00591164"/>
    <w:rsid w:val="00595A48"/>
    <w:rsid w:val="005A33E2"/>
    <w:rsid w:val="005B43AC"/>
    <w:rsid w:val="005B641F"/>
    <w:rsid w:val="005B7419"/>
    <w:rsid w:val="005C1152"/>
    <w:rsid w:val="005C5922"/>
    <w:rsid w:val="005C7CBE"/>
    <w:rsid w:val="005E47E4"/>
    <w:rsid w:val="005F4008"/>
    <w:rsid w:val="006005DA"/>
    <w:rsid w:val="006270B3"/>
    <w:rsid w:val="00643829"/>
    <w:rsid w:val="006467F8"/>
    <w:rsid w:val="006508E1"/>
    <w:rsid w:val="006723FB"/>
    <w:rsid w:val="00674706"/>
    <w:rsid w:val="006747C4"/>
    <w:rsid w:val="00680E90"/>
    <w:rsid w:val="00684867"/>
    <w:rsid w:val="00690FE7"/>
    <w:rsid w:val="006B1167"/>
    <w:rsid w:val="006B394E"/>
    <w:rsid w:val="006C5505"/>
    <w:rsid w:val="006E097B"/>
    <w:rsid w:val="006E3663"/>
    <w:rsid w:val="006E77CA"/>
    <w:rsid w:val="006F725C"/>
    <w:rsid w:val="007157C5"/>
    <w:rsid w:val="007264FF"/>
    <w:rsid w:val="00746F6A"/>
    <w:rsid w:val="00762B85"/>
    <w:rsid w:val="00763008"/>
    <w:rsid w:val="00767F6F"/>
    <w:rsid w:val="007873CA"/>
    <w:rsid w:val="007A00F9"/>
    <w:rsid w:val="007A717D"/>
    <w:rsid w:val="007B2071"/>
    <w:rsid w:val="007B6528"/>
    <w:rsid w:val="007C62F9"/>
    <w:rsid w:val="007D0D76"/>
    <w:rsid w:val="007D2DDC"/>
    <w:rsid w:val="007D7494"/>
    <w:rsid w:val="007E1A52"/>
    <w:rsid w:val="007F35CC"/>
    <w:rsid w:val="007F49A3"/>
    <w:rsid w:val="0080185D"/>
    <w:rsid w:val="00804C9B"/>
    <w:rsid w:val="0081015F"/>
    <w:rsid w:val="0081577A"/>
    <w:rsid w:val="00823498"/>
    <w:rsid w:val="008245DA"/>
    <w:rsid w:val="00824C53"/>
    <w:rsid w:val="00825658"/>
    <w:rsid w:val="008464FC"/>
    <w:rsid w:val="00873BA7"/>
    <w:rsid w:val="0088027D"/>
    <w:rsid w:val="008A370D"/>
    <w:rsid w:val="008C57CE"/>
    <w:rsid w:val="008E4E83"/>
    <w:rsid w:val="008F0153"/>
    <w:rsid w:val="008F3CDE"/>
    <w:rsid w:val="00905C6B"/>
    <w:rsid w:val="00907C09"/>
    <w:rsid w:val="00920FB3"/>
    <w:rsid w:val="009317A1"/>
    <w:rsid w:val="009375A0"/>
    <w:rsid w:val="009508BC"/>
    <w:rsid w:val="009667AE"/>
    <w:rsid w:val="00974340"/>
    <w:rsid w:val="00974BEF"/>
    <w:rsid w:val="00981A66"/>
    <w:rsid w:val="009909E8"/>
    <w:rsid w:val="00994199"/>
    <w:rsid w:val="009A4135"/>
    <w:rsid w:val="009B4E45"/>
    <w:rsid w:val="009E4AD3"/>
    <w:rsid w:val="009E647D"/>
    <w:rsid w:val="00A035D7"/>
    <w:rsid w:val="00A05A2A"/>
    <w:rsid w:val="00A06C24"/>
    <w:rsid w:val="00A11017"/>
    <w:rsid w:val="00A16C55"/>
    <w:rsid w:val="00A2220C"/>
    <w:rsid w:val="00A40EFB"/>
    <w:rsid w:val="00A51C90"/>
    <w:rsid w:val="00A52528"/>
    <w:rsid w:val="00A55B30"/>
    <w:rsid w:val="00A568B6"/>
    <w:rsid w:val="00A61D36"/>
    <w:rsid w:val="00A62764"/>
    <w:rsid w:val="00A62F4F"/>
    <w:rsid w:val="00A77A8E"/>
    <w:rsid w:val="00AA085D"/>
    <w:rsid w:val="00AD24B9"/>
    <w:rsid w:val="00AE560B"/>
    <w:rsid w:val="00AE5CF0"/>
    <w:rsid w:val="00AE6551"/>
    <w:rsid w:val="00AF719D"/>
    <w:rsid w:val="00B071A7"/>
    <w:rsid w:val="00B129C3"/>
    <w:rsid w:val="00B14CF6"/>
    <w:rsid w:val="00B17469"/>
    <w:rsid w:val="00B22C93"/>
    <w:rsid w:val="00B27C66"/>
    <w:rsid w:val="00B332A1"/>
    <w:rsid w:val="00B345AD"/>
    <w:rsid w:val="00B42950"/>
    <w:rsid w:val="00B64B13"/>
    <w:rsid w:val="00B76CFF"/>
    <w:rsid w:val="00B81D2B"/>
    <w:rsid w:val="00B971C8"/>
    <w:rsid w:val="00BB73D5"/>
    <w:rsid w:val="00BC261C"/>
    <w:rsid w:val="00BC55D1"/>
    <w:rsid w:val="00BD2F0B"/>
    <w:rsid w:val="00BD3DB2"/>
    <w:rsid w:val="00BF5AC8"/>
    <w:rsid w:val="00BF64A9"/>
    <w:rsid w:val="00C1651A"/>
    <w:rsid w:val="00C202EA"/>
    <w:rsid w:val="00C2395A"/>
    <w:rsid w:val="00C269CA"/>
    <w:rsid w:val="00C413BF"/>
    <w:rsid w:val="00C50518"/>
    <w:rsid w:val="00C516D9"/>
    <w:rsid w:val="00C64DF9"/>
    <w:rsid w:val="00C65A09"/>
    <w:rsid w:val="00C66A83"/>
    <w:rsid w:val="00C90584"/>
    <w:rsid w:val="00C94894"/>
    <w:rsid w:val="00CB0396"/>
    <w:rsid w:val="00CC2D6A"/>
    <w:rsid w:val="00CD0466"/>
    <w:rsid w:val="00CE06CC"/>
    <w:rsid w:val="00CE2B6F"/>
    <w:rsid w:val="00CE587E"/>
    <w:rsid w:val="00D07434"/>
    <w:rsid w:val="00D10D2E"/>
    <w:rsid w:val="00D2683C"/>
    <w:rsid w:val="00D352CC"/>
    <w:rsid w:val="00D4248B"/>
    <w:rsid w:val="00D44604"/>
    <w:rsid w:val="00D505C0"/>
    <w:rsid w:val="00D540F8"/>
    <w:rsid w:val="00D643BC"/>
    <w:rsid w:val="00D664E9"/>
    <w:rsid w:val="00D85027"/>
    <w:rsid w:val="00D902B0"/>
    <w:rsid w:val="00D91A4A"/>
    <w:rsid w:val="00D91E57"/>
    <w:rsid w:val="00DA66C7"/>
    <w:rsid w:val="00DD2514"/>
    <w:rsid w:val="00DD3E8C"/>
    <w:rsid w:val="00DD47F1"/>
    <w:rsid w:val="00DE0E4C"/>
    <w:rsid w:val="00DF10EB"/>
    <w:rsid w:val="00DF53FA"/>
    <w:rsid w:val="00DF6C7C"/>
    <w:rsid w:val="00E00665"/>
    <w:rsid w:val="00E3603A"/>
    <w:rsid w:val="00E46FAD"/>
    <w:rsid w:val="00E71198"/>
    <w:rsid w:val="00E80E41"/>
    <w:rsid w:val="00E86B64"/>
    <w:rsid w:val="00E93504"/>
    <w:rsid w:val="00EA0214"/>
    <w:rsid w:val="00EA5153"/>
    <w:rsid w:val="00EB068A"/>
    <w:rsid w:val="00EB38EC"/>
    <w:rsid w:val="00EC0262"/>
    <w:rsid w:val="00EC755F"/>
    <w:rsid w:val="00ED2C69"/>
    <w:rsid w:val="00EE4C8B"/>
    <w:rsid w:val="00EF09E8"/>
    <w:rsid w:val="00EF7D8F"/>
    <w:rsid w:val="00F33E52"/>
    <w:rsid w:val="00F3556C"/>
    <w:rsid w:val="00F75B1B"/>
    <w:rsid w:val="00F92333"/>
    <w:rsid w:val="00F92A96"/>
    <w:rsid w:val="00F95D16"/>
    <w:rsid w:val="00F969F1"/>
    <w:rsid w:val="00FA1BFD"/>
    <w:rsid w:val="00FA680F"/>
    <w:rsid w:val="00FB1919"/>
    <w:rsid w:val="00FB6261"/>
    <w:rsid w:val="00FC10AC"/>
    <w:rsid w:val="00FC3C4F"/>
    <w:rsid w:val="00FC5D38"/>
    <w:rsid w:val="00FC5DCC"/>
    <w:rsid w:val="00FD5E0D"/>
    <w:rsid w:val="00FF2981"/>
    <w:rsid w:val="01ED5DFB"/>
    <w:rsid w:val="1AF363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D26C31"/>
  <w15:docId w15:val="{327E1FA6-CE50-43A5-A899-38E9178D1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nhideWhenUsed/>
    <w:pPr>
      <w:spacing w:after="200" w:line="276" w:lineRule="auto"/>
    </w:pPr>
    <w:rPr>
      <w:sz w:val="22"/>
      <w:szCs w:val="22"/>
      <w:lang w:eastAsia="en-US"/>
    </w:rPr>
  </w:style>
  <w:style w:type="paragraph" w:styleId="1">
    <w:name w:val="heading 1"/>
    <w:basedOn w:val="a"/>
    <w:next w:val="a"/>
    <w:link w:val="1Char"/>
    <w:uiPriority w:val="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pPr>
      <w:spacing w:line="240" w:lineRule="auto"/>
    </w:pPr>
    <w:rPr>
      <w:sz w:val="20"/>
      <w:szCs w:val="20"/>
    </w:rPr>
  </w:style>
  <w:style w:type="paragraph" w:styleId="a4">
    <w:name w:val="Balloon Text"/>
    <w:basedOn w:val="a"/>
    <w:link w:val="Char0"/>
    <w:uiPriority w:val="99"/>
    <w:semiHidden/>
    <w:unhideWhenUsed/>
    <w:qFormat/>
    <w:pPr>
      <w:spacing w:after="0" w:line="240" w:lineRule="auto"/>
    </w:pPr>
    <w:rPr>
      <w:rFonts w:ascii="Tahoma" w:hAnsi="Tahoma" w:cs="Tahoma"/>
      <w:sz w:val="16"/>
      <w:szCs w:val="16"/>
    </w:rPr>
  </w:style>
  <w:style w:type="paragraph" w:styleId="a5">
    <w:name w:val="footer"/>
    <w:basedOn w:val="a"/>
    <w:link w:val="Char1"/>
    <w:uiPriority w:val="99"/>
    <w:unhideWhenUsed/>
    <w:qFormat/>
    <w:pPr>
      <w:tabs>
        <w:tab w:val="center" w:pos="4153"/>
        <w:tab w:val="right" w:pos="8306"/>
      </w:tabs>
      <w:snapToGrid w:val="0"/>
      <w:spacing w:line="240" w:lineRule="auto"/>
    </w:pPr>
    <w:rPr>
      <w:sz w:val="18"/>
      <w:szCs w:val="18"/>
    </w:rPr>
  </w:style>
  <w:style w:type="paragraph" w:styleId="a6">
    <w:name w:val="header"/>
    <w:basedOn w:val="a"/>
    <w:link w:val="Char2"/>
    <w:uiPriority w:val="99"/>
    <w:unhideWhenUsed/>
    <w:qFormat/>
    <w:pPr>
      <w:pBdr>
        <w:bottom w:val="single" w:sz="6" w:space="1" w:color="auto"/>
      </w:pBdr>
      <w:tabs>
        <w:tab w:val="center" w:pos="4153"/>
        <w:tab w:val="right" w:pos="8306"/>
      </w:tabs>
      <w:snapToGrid w:val="0"/>
      <w:spacing w:line="240" w:lineRule="auto"/>
      <w:jc w:val="center"/>
    </w:pPr>
    <w:rPr>
      <w:sz w:val="18"/>
      <w:szCs w:val="18"/>
    </w:rPr>
  </w:style>
  <w:style w:type="paragraph" w:styleId="a7">
    <w:name w:val="annotation subject"/>
    <w:basedOn w:val="a3"/>
    <w:next w:val="a3"/>
    <w:link w:val="Char3"/>
    <w:uiPriority w:val="99"/>
    <w:semiHidden/>
    <w:unhideWhenUsed/>
    <w:qFormat/>
    <w:rPr>
      <w:b/>
      <w:bCs/>
    </w:rPr>
  </w:style>
  <w:style w:type="table" w:styleId="a8">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0"/>
    <w:uiPriority w:val="99"/>
    <w:unhideWhenUsed/>
    <w:qFormat/>
    <w:rPr>
      <w:color w:val="0000FF" w:themeColor="hyperlink"/>
      <w:u w:val="single"/>
    </w:rPr>
  </w:style>
  <w:style w:type="character" w:styleId="aa">
    <w:name w:val="annotation reference"/>
    <w:basedOn w:val="a0"/>
    <w:uiPriority w:val="99"/>
    <w:unhideWhenUsed/>
    <w:qFormat/>
    <w:rPr>
      <w:sz w:val="16"/>
      <w:szCs w:val="16"/>
    </w:rPr>
  </w:style>
  <w:style w:type="paragraph" w:customStyle="1" w:styleId="01Title">
    <w:name w:val="01. Title"/>
    <w:basedOn w:val="a"/>
    <w:next w:val="02Author"/>
    <w:qFormat/>
    <w:pPr>
      <w:spacing w:after="0" w:line="240" w:lineRule="auto"/>
    </w:pPr>
    <w:rPr>
      <w:rFonts w:ascii="Arial" w:hAnsi="Arial"/>
      <w:b/>
      <w:spacing w:val="10"/>
      <w:kern w:val="32"/>
      <w:sz w:val="32"/>
    </w:rPr>
  </w:style>
  <w:style w:type="paragraph" w:customStyle="1" w:styleId="02Author">
    <w:name w:val="02. Author"/>
    <w:basedOn w:val="02Author-AO"/>
    <w:next w:val="03AuthorAffiliation"/>
    <w:qFormat/>
    <w:rPr>
      <w:color w:val="595959" w:themeColor="text1" w:themeTint="A6"/>
    </w:rPr>
  </w:style>
  <w:style w:type="paragraph" w:customStyle="1" w:styleId="02Author-AO">
    <w:name w:val="02. Author - AO"/>
    <w:basedOn w:val="02Author-BOE"/>
    <w:next w:val="03AuthorAffiliation"/>
    <w:qFormat/>
    <w:rPr>
      <w:color w:val="26428F"/>
    </w:rPr>
  </w:style>
  <w:style w:type="paragraph" w:customStyle="1" w:styleId="02Author-BOE">
    <w:name w:val="02. Author - BOE"/>
    <w:basedOn w:val="01Title"/>
    <w:next w:val="03AuthorAffiliation"/>
    <w:qFormat/>
    <w:pPr>
      <w:spacing w:before="240" w:after="80"/>
    </w:pPr>
    <w:rPr>
      <w:smallCaps/>
      <w:color w:val="7C130E"/>
      <w:spacing w:val="0"/>
      <w:kern w:val="0"/>
      <w:sz w:val="24"/>
    </w:rPr>
  </w:style>
  <w:style w:type="paragraph" w:customStyle="1" w:styleId="03AuthorAffiliation">
    <w:name w:val="03. Author Affiliation"/>
    <w:basedOn w:val="ab"/>
    <w:next w:val="04Email"/>
    <w:qFormat/>
    <w:rPr>
      <w:rFonts w:ascii="Times New Roman" w:hAnsi="Times New Roman"/>
      <w:i/>
      <w:sz w:val="18"/>
    </w:rPr>
  </w:style>
  <w:style w:type="paragraph" w:styleId="ab">
    <w:name w:val="No Spacing"/>
    <w:uiPriority w:val="1"/>
    <w:qFormat/>
    <w:rPr>
      <w:sz w:val="22"/>
      <w:szCs w:val="22"/>
      <w:lang w:eastAsia="en-US"/>
    </w:rPr>
  </w:style>
  <w:style w:type="paragraph" w:customStyle="1" w:styleId="04Email">
    <w:name w:val="04. Email"/>
    <w:basedOn w:val="03AuthorAffiliation"/>
    <w:next w:val="06AbstractBody"/>
    <w:qFormat/>
    <w:rPr>
      <w:color w:val="2E2EB1"/>
    </w:rPr>
  </w:style>
  <w:style w:type="paragraph" w:customStyle="1" w:styleId="06AbstractBody">
    <w:name w:val="06. Abstract Body"/>
    <w:next w:val="07Copyright"/>
    <w:link w:val="06AbstractBodyChar"/>
    <w:qFormat/>
    <w:pPr>
      <w:spacing w:before="240"/>
      <w:jc w:val="both"/>
    </w:pPr>
    <w:rPr>
      <w:rFonts w:ascii="Times New Roman" w:hAnsi="Times New Roman"/>
      <w:color w:val="000000" w:themeColor="text1"/>
      <w:szCs w:val="22"/>
      <w:lang w:eastAsia="en-US"/>
    </w:rPr>
  </w:style>
  <w:style w:type="paragraph" w:customStyle="1" w:styleId="07Copyright">
    <w:name w:val="07. Copyright"/>
    <w:basedOn w:val="06AbstractBody"/>
    <w:next w:val="08SectionHeader1"/>
    <w:qFormat/>
    <w:pPr>
      <w:spacing w:after="240"/>
    </w:pPr>
    <w:rPr>
      <w:rFonts w:ascii="Arial" w:hAnsi="Arial"/>
      <w:sz w:val="16"/>
    </w:rPr>
  </w:style>
  <w:style w:type="paragraph" w:customStyle="1" w:styleId="08SectionHeader1">
    <w:name w:val="08 Section Header 1"/>
    <w:next w:val="09BodyFirstParagraph"/>
    <w:qFormat/>
    <w:pPr>
      <w:numPr>
        <w:numId w:val="1"/>
      </w:numPr>
      <w:spacing w:before="120"/>
    </w:pPr>
    <w:rPr>
      <w:rFonts w:ascii="Arial" w:hAnsi="Arial"/>
      <w:b/>
      <w:szCs w:val="22"/>
      <w:lang w:eastAsia="en-US"/>
    </w:rPr>
  </w:style>
  <w:style w:type="paragraph" w:customStyle="1" w:styleId="09BodyFirstParagraph">
    <w:name w:val="09. Body First Paragraph"/>
    <w:basedOn w:val="06AbstractBody"/>
    <w:next w:val="10BodySubsequentParagraph"/>
    <w:link w:val="09BodyFirstParagraphChar"/>
    <w:qFormat/>
    <w:pPr>
      <w:spacing w:before="120"/>
    </w:pPr>
  </w:style>
  <w:style w:type="paragraph" w:customStyle="1" w:styleId="10BodySubsequentParagraph">
    <w:name w:val="10. Body Subsequent Paragraph"/>
    <w:basedOn w:val="09BodyFirstParagraph"/>
    <w:link w:val="10BodySubsequentParagraphChar"/>
    <w:qFormat/>
    <w:pPr>
      <w:spacing w:before="0"/>
      <w:ind w:firstLine="288"/>
    </w:pPr>
  </w:style>
  <w:style w:type="paragraph" w:customStyle="1" w:styleId="02Author-OE">
    <w:name w:val="02. Author - OE"/>
    <w:basedOn w:val="02Author-BOE"/>
    <w:next w:val="03AuthorAffiliation"/>
    <w:qFormat/>
    <w:rPr>
      <w:color w:val="943634"/>
    </w:rPr>
  </w:style>
  <w:style w:type="paragraph" w:customStyle="1" w:styleId="02Author-OME">
    <w:name w:val="02. Author - OME"/>
    <w:basedOn w:val="02Author-BOE"/>
    <w:next w:val="03AuthorAffiliation"/>
    <w:qFormat/>
    <w:rPr>
      <w:color w:val="1478B6"/>
    </w:rPr>
  </w:style>
  <w:style w:type="paragraph" w:customStyle="1" w:styleId="23ReferenceSectionHeader">
    <w:name w:val="23. Reference Section Header"/>
    <w:next w:val="24References"/>
    <w:qFormat/>
    <w:pPr>
      <w:spacing w:before="120" w:after="120"/>
    </w:pPr>
    <w:rPr>
      <w:rFonts w:ascii="Arial" w:hAnsi="Arial"/>
      <w:b/>
      <w:szCs w:val="22"/>
      <w:lang w:eastAsia="en-US"/>
    </w:rPr>
  </w:style>
  <w:style w:type="paragraph" w:customStyle="1" w:styleId="24References">
    <w:name w:val="24. References"/>
    <w:qFormat/>
    <w:pPr>
      <w:numPr>
        <w:numId w:val="2"/>
      </w:numPr>
    </w:pPr>
    <w:rPr>
      <w:rFonts w:ascii="Times New Roman" w:hAnsi="Times New Roman"/>
      <w:sz w:val="16"/>
      <w:szCs w:val="22"/>
      <w:lang w:eastAsia="en-US"/>
    </w:rPr>
  </w:style>
  <w:style w:type="paragraph" w:customStyle="1" w:styleId="08SectionHeader2">
    <w:name w:val="08. Section Header 2"/>
    <w:basedOn w:val="08SectionHeader1"/>
    <w:next w:val="09BodyFirstParagraph"/>
    <w:qFormat/>
    <w:pPr>
      <w:numPr>
        <w:numId w:val="0"/>
      </w:numPr>
    </w:pPr>
    <w:rPr>
      <w:b w:val="0"/>
      <w:i/>
    </w:rPr>
  </w:style>
  <w:style w:type="character" w:customStyle="1" w:styleId="Char">
    <w:name w:val="批注文字 Char"/>
    <w:basedOn w:val="a0"/>
    <w:link w:val="a3"/>
    <w:uiPriority w:val="99"/>
    <w:qFormat/>
    <w:rPr>
      <w:sz w:val="20"/>
      <w:szCs w:val="20"/>
    </w:rPr>
  </w:style>
  <w:style w:type="character" w:customStyle="1" w:styleId="Char3">
    <w:name w:val="批注主题 Char"/>
    <w:basedOn w:val="Char"/>
    <w:link w:val="a7"/>
    <w:uiPriority w:val="99"/>
    <w:semiHidden/>
    <w:qFormat/>
    <w:rPr>
      <w:b/>
      <w:bCs/>
      <w:sz w:val="20"/>
      <w:szCs w:val="20"/>
    </w:rPr>
  </w:style>
  <w:style w:type="character" w:customStyle="1" w:styleId="Char0">
    <w:name w:val="批注框文本 Char"/>
    <w:basedOn w:val="a0"/>
    <w:link w:val="a4"/>
    <w:uiPriority w:val="99"/>
    <w:semiHidden/>
    <w:qFormat/>
    <w:rPr>
      <w:rFonts w:ascii="Tahoma" w:hAnsi="Tahoma" w:cs="Tahoma"/>
      <w:sz w:val="16"/>
      <w:szCs w:val="16"/>
    </w:rPr>
  </w:style>
  <w:style w:type="paragraph" w:customStyle="1" w:styleId="08SectionHeader3">
    <w:name w:val="08. Section Header 3"/>
    <w:basedOn w:val="08SectionHeader2"/>
    <w:next w:val="09BodyFirstParagraph"/>
    <w:qFormat/>
    <w:rPr>
      <w:i w:val="0"/>
    </w:rPr>
  </w:style>
  <w:style w:type="paragraph" w:customStyle="1" w:styleId="20FundingSectionHeader">
    <w:name w:val="20. Funding Section Header"/>
    <w:basedOn w:val="08SectionHeader1"/>
    <w:next w:val="09BodyFirstParagraph"/>
    <w:qFormat/>
    <w:pPr>
      <w:numPr>
        <w:numId w:val="0"/>
      </w:numPr>
      <w:spacing w:after="120"/>
      <w:ind w:left="360" w:hanging="360"/>
    </w:pPr>
  </w:style>
  <w:style w:type="paragraph" w:customStyle="1" w:styleId="21AcknowledgmentsSectionHeader">
    <w:name w:val="21. Acknowledgments Section Header"/>
    <w:basedOn w:val="20FundingSectionHeader"/>
    <w:next w:val="09BodyFirstParagraph"/>
    <w:qFormat/>
  </w:style>
  <w:style w:type="paragraph" w:customStyle="1" w:styleId="12FigureCaptionShort">
    <w:name w:val="12. Figure Caption Short"/>
    <w:basedOn w:val="09BodyFirstParagraph"/>
    <w:next w:val="10BodySubsequentParagraph"/>
    <w:qFormat/>
    <w:pPr>
      <w:spacing w:after="120"/>
      <w:ind w:left="720" w:right="720"/>
      <w:jc w:val="center"/>
    </w:pPr>
    <w:rPr>
      <w:sz w:val="16"/>
    </w:rPr>
  </w:style>
  <w:style w:type="paragraph" w:customStyle="1" w:styleId="12FigureCaptionLong">
    <w:name w:val="12. Figure Caption Long"/>
    <w:basedOn w:val="12FigureCaptionShort"/>
    <w:next w:val="10BodySubsequentParagraph"/>
    <w:qFormat/>
    <w:pPr>
      <w:jc w:val="both"/>
    </w:pPr>
  </w:style>
  <w:style w:type="paragraph" w:customStyle="1" w:styleId="14TableCaption">
    <w:name w:val="14. Table Caption"/>
    <w:basedOn w:val="09BodyFirstParagraph"/>
    <w:next w:val="15TableBody"/>
    <w:qFormat/>
    <w:pPr>
      <w:spacing w:before="240" w:after="160"/>
      <w:jc w:val="center"/>
    </w:pPr>
    <w:rPr>
      <w:b/>
      <w:sz w:val="16"/>
    </w:rPr>
  </w:style>
  <w:style w:type="paragraph" w:customStyle="1" w:styleId="15TableBody">
    <w:name w:val="15. Table Body"/>
    <w:basedOn w:val="09BodyFirstParagraph"/>
    <w:next w:val="10BodySubsequentParagraph"/>
    <w:qFormat/>
    <w:pPr>
      <w:spacing w:before="0" w:after="80"/>
    </w:pPr>
    <w:rPr>
      <w:sz w:val="16"/>
    </w:rPr>
  </w:style>
  <w:style w:type="paragraph" w:customStyle="1" w:styleId="13Equation">
    <w:name w:val="13. Equation"/>
    <w:basedOn w:val="10BodySubsequentParagraph"/>
    <w:next w:val="10BodySubsequentParagraph"/>
    <w:link w:val="13EquationChar"/>
    <w:qFormat/>
    <w:pPr>
      <w:tabs>
        <w:tab w:val="center" w:pos="4320"/>
        <w:tab w:val="right" w:pos="7560"/>
      </w:tabs>
      <w:spacing w:before="120"/>
      <w:ind w:firstLine="0"/>
      <w:jc w:val="left"/>
    </w:pPr>
  </w:style>
  <w:style w:type="paragraph" w:customStyle="1" w:styleId="16TableFootnote">
    <w:name w:val="16. Table Footnote"/>
    <w:basedOn w:val="09BodyFirstParagraph"/>
    <w:next w:val="10BodySubsequentParagraph"/>
    <w:qFormat/>
    <w:pPr>
      <w:spacing w:after="120"/>
    </w:pPr>
    <w:rPr>
      <w:sz w:val="16"/>
    </w:rPr>
  </w:style>
  <w:style w:type="paragraph" w:customStyle="1" w:styleId="19ListNumber1">
    <w:name w:val="19. List Number 1"/>
    <w:basedOn w:val="10BodySubsequentParagraph"/>
    <w:qFormat/>
    <w:pPr>
      <w:numPr>
        <w:numId w:val="3"/>
      </w:numPr>
      <w:spacing w:before="120"/>
    </w:pPr>
  </w:style>
  <w:style w:type="paragraph" w:customStyle="1" w:styleId="05WebAddress">
    <w:name w:val="05. Web Address"/>
    <w:basedOn w:val="04Email"/>
    <w:next w:val="06AbstractBody"/>
    <w:qFormat/>
  </w:style>
  <w:style w:type="paragraph" w:customStyle="1" w:styleId="11Figure">
    <w:name w:val="11. Figure"/>
    <w:basedOn w:val="09BodyFirstParagraph"/>
    <w:next w:val="12FigureCaptionLong"/>
    <w:qFormat/>
    <w:pPr>
      <w:jc w:val="center"/>
    </w:pPr>
    <w:rPr>
      <w:sz w:val="16"/>
    </w:rPr>
  </w:style>
  <w:style w:type="paragraph" w:customStyle="1" w:styleId="19ListNumber2">
    <w:name w:val="19. List Number 2"/>
    <w:basedOn w:val="19ListNumber1"/>
    <w:qFormat/>
    <w:pPr>
      <w:numPr>
        <w:numId w:val="4"/>
      </w:numPr>
    </w:pPr>
  </w:style>
  <w:style w:type="paragraph" w:customStyle="1" w:styleId="18ListUnnumbered">
    <w:name w:val="18. List Unnumbered"/>
    <w:basedOn w:val="19ListNumber1"/>
    <w:qFormat/>
    <w:pPr>
      <w:numPr>
        <w:numId w:val="0"/>
      </w:numPr>
      <w:ind w:left="360"/>
    </w:pPr>
  </w:style>
  <w:style w:type="paragraph" w:customStyle="1" w:styleId="17ListBulleted">
    <w:name w:val="17. List Bulleted"/>
    <w:basedOn w:val="18ListUnnumbered"/>
    <w:qFormat/>
    <w:pPr>
      <w:numPr>
        <w:numId w:val="5"/>
      </w:numPr>
    </w:pPr>
  </w:style>
  <w:style w:type="paragraph" w:customStyle="1" w:styleId="02Author-JOSAA">
    <w:name w:val="02. Author - JOSAA"/>
    <w:basedOn w:val="02Author-AO"/>
    <w:next w:val="03AuthorAffiliation"/>
    <w:qFormat/>
    <w:rPr>
      <w:color w:val="4C265B"/>
    </w:rPr>
  </w:style>
  <w:style w:type="paragraph" w:customStyle="1" w:styleId="02Author-JOSAB">
    <w:name w:val="02. Author - JOSAB"/>
    <w:basedOn w:val="02Author-JOSAA"/>
    <w:next w:val="03AuthorAffiliation"/>
    <w:qFormat/>
    <w:rPr>
      <w:color w:val="16A14C"/>
    </w:rPr>
  </w:style>
  <w:style w:type="paragraph" w:customStyle="1" w:styleId="02Author-Optica">
    <w:name w:val="02. Author - Optica"/>
    <w:basedOn w:val="02Author-JOSAA"/>
    <w:next w:val="03AuthorAffiliation"/>
    <w:qFormat/>
    <w:rPr>
      <w:color w:val="007B4A"/>
    </w:rPr>
  </w:style>
  <w:style w:type="paragraph" w:customStyle="1" w:styleId="02Author-OL">
    <w:name w:val="02. Author - OL"/>
    <w:basedOn w:val="02Author-Optica"/>
    <w:next w:val="03AuthorAffiliation"/>
    <w:qFormat/>
    <w:rPr>
      <w:color w:val="254982"/>
    </w:rPr>
  </w:style>
  <w:style w:type="paragraph" w:customStyle="1" w:styleId="22DisclosuresSectionHeader">
    <w:name w:val="22. Disclosures Section Header"/>
    <w:basedOn w:val="21AcknowledgmentsSectionHeader"/>
    <w:next w:val="09BodyFirstParagraph"/>
    <w:qFormat/>
  </w:style>
  <w:style w:type="character" w:customStyle="1" w:styleId="1Char">
    <w:name w:val="标题 1 Char"/>
    <w:basedOn w:val="a0"/>
    <w:link w:val="1"/>
    <w:uiPriority w:val="9"/>
    <w:qFormat/>
    <w:rPr>
      <w:rFonts w:asciiTheme="majorHAnsi" w:eastAsiaTheme="majorEastAsia" w:hAnsiTheme="majorHAnsi" w:cstheme="majorBidi"/>
      <w:color w:val="365F91" w:themeColor="accent1" w:themeShade="BF"/>
      <w:sz w:val="32"/>
      <w:szCs w:val="32"/>
    </w:rPr>
  </w:style>
  <w:style w:type="paragraph" w:customStyle="1" w:styleId="08SectionHeader10">
    <w:name w:val="08. Section Header 1"/>
    <w:next w:val="09BodyFirstParagraph"/>
    <w:qFormat/>
    <w:pPr>
      <w:spacing w:before="120"/>
      <w:ind w:left="360" w:hanging="360"/>
    </w:pPr>
    <w:rPr>
      <w:rFonts w:ascii="Arial" w:hAnsi="Arial"/>
      <w:b/>
      <w:szCs w:val="22"/>
      <w:lang w:eastAsia="en-US"/>
    </w:rPr>
  </w:style>
  <w:style w:type="paragraph" w:customStyle="1" w:styleId="02Author-AOP">
    <w:name w:val="02. Author - AOP"/>
    <w:basedOn w:val="02Author-AO"/>
    <w:qFormat/>
    <w:rPr>
      <w:color w:val="8F043A"/>
    </w:rPr>
  </w:style>
  <w:style w:type="paragraph" w:customStyle="1" w:styleId="02Author-PRJ">
    <w:name w:val="02. Author - PRJ"/>
    <w:basedOn w:val="02Author-Optica"/>
    <w:qFormat/>
    <w:rPr>
      <w:color w:val="7E2C2E"/>
    </w:rPr>
  </w:style>
  <w:style w:type="paragraph" w:customStyle="1" w:styleId="02Author-OSAC">
    <w:name w:val="02. Author - OSAC"/>
    <w:basedOn w:val="02Author-OME"/>
    <w:next w:val="03AuthorAffiliation"/>
    <w:qFormat/>
    <w:rPr>
      <w:color w:val="006E90"/>
    </w:rPr>
  </w:style>
  <w:style w:type="paragraph" w:customStyle="1" w:styleId="MTDisplayEquation">
    <w:name w:val="MTDisplayEquation"/>
    <w:basedOn w:val="13Equation"/>
    <w:next w:val="a"/>
    <w:link w:val="MTDisplayEquationChar"/>
    <w:qFormat/>
    <w:pPr>
      <w:tabs>
        <w:tab w:val="clear" w:pos="4320"/>
        <w:tab w:val="clear" w:pos="7560"/>
        <w:tab w:val="center" w:pos="3760"/>
        <w:tab w:val="right" w:pos="7540"/>
      </w:tabs>
    </w:pPr>
  </w:style>
  <w:style w:type="character" w:customStyle="1" w:styleId="06AbstractBodyChar">
    <w:name w:val="06. Abstract Body Char"/>
    <w:basedOn w:val="a0"/>
    <w:link w:val="06AbstractBody"/>
    <w:qFormat/>
    <w:rPr>
      <w:rFonts w:ascii="Times New Roman" w:hAnsi="Times New Roman"/>
      <w:color w:val="000000" w:themeColor="text1"/>
      <w:sz w:val="20"/>
    </w:rPr>
  </w:style>
  <w:style w:type="character" w:customStyle="1" w:styleId="09BodyFirstParagraphChar">
    <w:name w:val="09. Body First Paragraph Char"/>
    <w:basedOn w:val="06AbstractBodyChar"/>
    <w:link w:val="09BodyFirstParagraph"/>
    <w:qFormat/>
    <w:rPr>
      <w:rFonts w:ascii="Times New Roman" w:hAnsi="Times New Roman"/>
      <w:color w:val="000000" w:themeColor="text1"/>
      <w:sz w:val="20"/>
    </w:rPr>
  </w:style>
  <w:style w:type="character" w:customStyle="1" w:styleId="10BodySubsequentParagraphChar">
    <w:name w:val="10. Body Subsequent Paragraph Char"/>
    <w:basedOn w:val="09BodyFirstParagraphChar"/>
    <w:link w:val="10BodySubsequentParagraph"/>
    <w:qFormat/>
    <w:rPr>
      <w:rFonts w:ascii="Times New Roman" w:hAnsi="Times New Roman"/>
      <w:color w:val="000000" w:themeColor="text1"/>
      <w:sz w:val="20"/>
    </w:rPr>
  </w:style>
  <w:style w:type="character" w:customStyle="1" w:styleId="13EquationChar">
    <w:name w:val="13. Equation Char"/>
    <w:basedOn w:val="10BodySubsequentParagraphChar"/>
    <w:link w:val="13Equation"/>
    <w:qFormat/>
    <w:rPr>
      <w:rFonts w:ascii="Times New Roman" w:hAnsi="Times New Roman"/>
      <w:color w:val="000000" w:themeColor="text1"/>
      <w:sz w:val="20"/>
    </w:rPr>
  </w:style>
  <w:style w:type="character" w:customStyle="1" w:styleId="MTDisplayEquationChar">
    <w:name w:val="MTDisplayEquation Char"/>
    <w:basedOn w:val="13EquationChar"/>
    <w:link w:val="MTDisplayEquation"/>
    <w:qFormat/>
    <w:rPr>
      <w:rFonts w:ascii="Times New Roman" w:hAnsi="Times New Roman"/>
      <w:color w:val="000000" w:themeColor="text1"/>
      <w:sz w:val="20"/>
    </w:rPr>
  </w:style>
  <w:style w:type="character" w:customStyle="1" w:styleId="Char2">
    <w:name w:val="页眉 Char"/>
    <w:basedOn w:val="a0"/>
    <w:link w:val="a6"/>
    <w:uiPriority w:val="99"/>
    <w:qFormat/>
    <w:rPr>
      <w:sz w:val="18"/>
      <w:szCs w:val="18"/>
    </w:rPr>
  </w:style>
  <w:style w:type="character" w:customStyle="1" w:styleId="Char1">
    <w:name w:val="页脚 Char"/>
    <w:basedOn w:val="a0"/>
    <w:link w:val="a5"/>
    <w:uiPriority w:val="99"/>
    <w:qFormat/>
    <w:rPr>
      <w:sz w:val="18"/>
      <w:szCs w:val="18"/>
    </w:rPr>
  </w:style>
  <w:style w:type="paragraph" w:customStyle="1" w:styleId="htitle">
    <w:name w:val="htitle"/>
    <w:basedOn w:val="a"/>
    <w:qFormat/>
    <w:pPr>
      <w:keepNext/>
      <w:spacing w:before="240" w:after="0" w:line="240" w:lineRule="auto"/>
      <w:outlineLvl w:val="0"/>
    </w:pPr>
    <w:rPr>
      <w:rFonts w:ascii="Times New Roman" w:eastAsia="宋体" w:hAnsi="Times New Roman" w:cs="Times New Roman"/>
      <w:kern w:val="28"/>
      <w:sz w:val="36"/>
      <w:szCs w:val="20"/>
    </w:rPr>
  </w:style>
  <w:style w:type="paragraph" w:styleId="ac">
    <w:name w:val="Revision"/>
    <w:hidden/>
    <w:uiPriority w:val="99"/>
    <w:semiHidden/>
    <w:rsid w:val="000748C9"/>
    <w:rPr>
      <w:sz w:val="22"/>
      <w:szCs w:val="22"/>
      <w:lang w:eastAsia="en-US"/>
    </w:rPr>
  </w:style>
  <w:style w:type="character" w:styleId="ad">
    <w:name w:val="line number"/>
    <w:basedOn w:val="a0"/>
    <w:uiPriority w:val="99"/>
    <w:semiHidden/>
    <w:unhideWhenUsed/>
    <w:rsid w:val="00DD47F1"/>
  </w:style>
  <w:style w:type="paragraph" w:customStyle="1" w:styleId="authadd">
    <w:name w:val="authadd"/>
    <w:basedOn w:val="a"/>
    <w:qFormat/>
    <w:rsid w:val="005C1152"/>
    <w:pPr>
      <w:spacing w:after="0" w:line="240" w:lineRule="exact"/>
    </w:pPr>
    <w:rPr>
      <w:rFonts w:ascii="Times New Roman" w:eastAsia="宋体" w:hAnsi="Times New Roman" w:cs="Times New Roman"/>
      <w:sz w:val="24"/>
      <w:szCs w:val="20"/>
      <w:lang w:val="en-GB" w:eastAsia="zh-CN"/>
    </w:rPr>
  </w:style>
  <w:style w:type="paragraph" w:customStyle="1" w:styleId="hkeywords">
    <w:name w:val="hkeywords"/>
    <w:basedOn w:val="a"/>
    <w:link w:val="hkeywords0"/>
    <w:rsid w:val="00012624"/>
    <w:pPr>
      <w:spacing w:before="120" w:after="0" w:line="240" w:lineRule="auto"/>
    </w:pPr>
    <w:rPr>
      <w:rFonts w:ascii="Times New Roman" w:eastAsia="宋体" w:hAnsi="Times New Roman" w:cs="Times New Roman"/>
      <w:sz w:val="21"/>
      <w:szCs w:val="20"/>
    </w:rPr>
  </w:style>
  <w:style w:type="character" w:customStyle="1" w:styleId="hkeywords0">
    <w:name w:val="hkeywords 字符"/>
    <w:basedOn w:val="a0"/>
    <w:link w:val="hkeywords"/>
    <w:qFormat/>
    <w:rsid w:val="00012624"/>
    <w:rPr>
      <w:rFonts w:ascii="Times New Roman" w:eastAsia="宋体" w:hAnsi="Times New Roman" w:cs="Times New Roman"/>
      <w:sz w:val="21"/>
      <w:lang w:eastAsia="en-US"/>
    </w:rPr>
  </w:style>
  <w:style w:type="character" w:customStyle="1" w:styleId="bibarticle">
    <w:name w:val="bib_article"/>
    <w:qFormat/>
    <w:rsid w:val="00012624"/>
    <w:rPr>
      <w:sz w:val="21"/>
      <w:shd w:val="clear" w:color="auto" w:fill="CCFFFF"/>
    </w:rPr>
  </w:style>
  <w:style w:type="character" w:customStyle="1" w:styleId="bibdoi">
    <w:name w:val="bib_doi"/>
    <w:qFormat/>
    <w:rsid w:val="00012624"/>
    <w:rPr>
      <w:sz w:val="21"/>
      <w:shd w:val="clear" w:color="auto" w:fill="CCFFCC"/>
    </w:rPr>
  </w:style>
  <w:style w:type="character" w:customStyle="1" w:styleId="bibetal">
    <w:name w:val="bib_etal"/>
    <w:qFormat/>
    <w:rsid w:val="00012624"/>
    <w:rPr>
      <w:sz w:val="21"/>
      <w:shd w:val="clear" w:color="auto" w:fill="C9A6F8"/>
    </w:rPr>
  </w:style>
  <w:style w:type="character" w:customStyle="1" w:styleId="bibfname">
    <w:name w:val="bib_fname"/>
    <w:qFormat/>
    <w:rsid w:val="00012624"/>
    <w:rPr>
      <w:sz w:val="21"/>
      <w:shd w:val="clear" w:color="auto" w:fill="FFFFCC"/>
    </w:rPr>
  </w:style>
  <w:style w:type="character" w:customStyle="1" w:styleId="bibfpage">
    <w:name w:val="bib_fpage"/>
    <w:qFormat/>
    <w:rsid w:val="00012624"/>
    <w:rPr>
      <w:sz w:val="21"/>
      <w:shd w:val="clear" w:color="auto" w:fill="E6E6E6"/>
    </w:rPr>
  </w:style>
  <w:style w:type="character" w:customStyle="1" w:styleId="bibissue">
    <w:name w:val="bib_issue"/>
    <w:qFormat/>
    <w:rsid w:val="00012624"/>
    <w:rPr>
      <w:sz w:val="21"/>
      <w:shd w:val="clear" w:color="auto" w:fill="FFFFAB"/>
    </w:rPr>
  </w:style>
  <w:style w:type="character" w:customStyle="1" w:styleId="bibjournal">
    <w:name w:val="bib_journal"/>
    <w:qFormat/>
    <w:rsid w:val="00012624"/>
    <w:rPr>
      <w:sz w:val="21"/>
      <w:shd w:val="clear" w:color="auto" w:fill="F9DECF"/>
    </w:rPr>
  </w:style>
  <w:style w:type="character" w:customStyle="1" w:styleId="bibsurname">
    <w:name w:val="bib_surname"/>
    <w:qFormat/>
    <w:rsid w:val="00012624"/>
    <w:rPr>
      <w:sz w:val="21"/>
      <w:shd w:val="clear" w:color="auto" w:fill="CCFF99"/>
    </w:rPr>
  </w:style>
  <w:style w:type="character" w:customStyle="1" w:styleId="bibvolume">
    <w:name w:val="bib_volume"/>
    <w:qFormat/>
    <w:rsid w:val="00012624"/>
    <w:rPr>
      <w:sz w:val="21"/>
      <w:shd w:val="clear" w:color="auto" w:fill="CCECFF"/>
    </w:rPr>
  </w:style>
  <w:style w:type="character" w:customStyle="1" w:styleId="bibyear">
    <w:name w:val="bib_year"/>
    <w:qFormat/>
    <w:rsid w:val="00012624"/>
    <w:rPr>
      <w:sz w:val="21"/>
      <w:shd w:val="clear" w:color="auto" w:fill="FFCC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oleObject" Target="embeddings/oleObject7.bin"/><Relationship Id="rId34" Type="http://schemas.openxmlformats.org/officeDocument/2006/relationships/image" Target="media/image16.tiff"/><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image" Target="media/image15.tiff"/><Relationship Id="rId38" Type="http://schemas.openxmlformats.org/officeDocument/2006/relationships/image" Target="media/image20.tiff"/><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1.bin"/><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4.tiff"/><Relationship Id="rId37" Type="http://schemas.openxmlformats.org/officeDocument/2006/relationships/image" Target="media/image19.tiff"/><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8.tiff"/><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image" Target="media/image13.tif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tiff"/><Relationship Id="rId35" Type="http://schemas.openxmlformats.org/officeDocument/2006/relationships/image" Target="media/image17.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C904C-FACB-403B-8176-9374FBAC4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913</TotalTime>
  <Pages>7</Pages>
  <Words>2208</Words>
  <Characters>12591</Characters>
  <Application>Microsoft Office Word</Application>
  <DocSecurity>0</DocSecurity>
  <Lines>104</Lines>
  <Paragraphs>29</Paragraphs>
  <ScaleCrop>false</ScaleCrop>
  <Company>OSA</Company>
  <LinksUpToDate>false</LinksUpToDate>
  <CharactersWithSpaces>14770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Mayfield</dc:creator>
  <cp:lastModifiedBy>hp</cp:lastModifiedBy>
  <cp:revision>183</cp:revision>
  <dcterms:created xsi:type="dcterms:W3CDTF">2020-05-20T17:37:00Z</dcterms:created>
  <dcterms:modified xsi:type="dcterms:W3CDTF">2023-08-16T05:32:00Z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2052-11.1.0.12980</vt:lpwstr>
  </property>
  <property fmtid="{D5CDD505-2E9C-101B-9397-08002B2CF9AE}" pid="4" name="ICV">
    <vt:lpwstr>6C5A39EF42834FADB3D681D2EF1FC402</vt:lpwstr>
  </property>
</Properties>
</file>