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CB03BD" w14:textId="77777777" w:rsidR="00DC4F34" w:rsidRPr="00F35DE1" w:rsidRDefault="00DC4F34" w:rsidP="00DC4F34">
      <w:pPr>
        <w:adjustRightInd w:val="0"/>
        <w:snapToGrid w:val="0"/>
        <w:jc w:val="left"/>
        <w:rPr>
          <w:rFonts w:ascii="Gulliver-Regular" w:hAnsi="Gulliver-Regular"/>
          <w:kern w:val="0"/>
          <w:szCs w:val="24"/>
          <w:lang w:eastAsia="en-US"/>
        </w:rPr>
      </w:pPr>
      <w:r w:rsidRPr="00F35DE1">
        <w:rPr>
          <w:rFonts w:ascii="Gulliver-Regular" w:hAnsi="Gulliver-Regular"/>
          <w:kern w:val="0"/>
          <w:szCs w:val="24"/>
          <w:lang w:eastAsia="en-US"/>
        </w:rPr>
        <w:t>Supplementary data for</w:t>
      </w:r>
    </w:p>
    <w:p w14:paraId="4C54C309" w14:textId="77777777" w:rsidR="00DC4F34" w:rsidRPr="00F35DE1" w:rsidRDefault="00DC4F34" w:rsidP="00DC4F34">
      <w:pPr>
        <w:snapToGrid w:val="0"/>
        <w:rPr>
          <w:rFonts w:ascii="Gulliver-Regular" w:hAnsi="Gulliver-Regular"/>
          <w:b/>
          <w:sz w:val="21"/>
          <w:szCs w:val="21"/>
        </w:rPr>
      </w:pPr>
    </w:p>
    <w:p w14:paraId="2AE87E26" w14:textId="77777777" w:rsidR="00DC4F34" w:rsidRPr="00F35DE1" w:rsidRDefault="00DC4F34" w:rsidP="00DC4F34">
      <w:pPr>
        <w:adjustRightInd w:val="0"/>
        <w:snapToGrid w:val="0"/>
        <w:spacing w:beforeLines="50" w:before="163" w:afterLines="50" w:after="163"/>
        <w:rPr>
          <w:rFonts w:ascii="Gulliver-Regular" w:eastAsia="方正大标宋_GBK" w:hAnsi="Gulliver-Regular"/>
          <w:b/>
          <w:bCs/>
          <w:kern w:val="28"/>
          <w:sz w:val="30"/>
          <w:szCs w:val="30"/>
        </w:rPr>
      </w:pPr>
      <w:r w:rsidRPr="00F35DE1">
        <w:rPr>
          <w:rFonts w:ascii="Gulliver-Regular" w:eastAsia="方正大标宋_GBK" w:hAnsi="Gulliver-Regular"/>
          <w:b/>
          <w:bCs/>
          <w:kern w:val="28"/>
          <w:sz w:val="30"/>
          <w:szCs w:val="30"/>
        </w:rPr>
        <w:t>Membrane Fouling Alleviation by Chemically Enhanced Backwashing in Treating Algae-Containing Surface Water: From Bench-Scale to Full-Scale Application</w:t>
      </w:r>
    </w:p>
    <w:p w14:paraId="343C3360" w14:textId="77777777" w:rsidR="00DC4F34" w:rsidRPr="00F35DE1" w:rsidRDefault="00DC4F34" w:rsidP="00DC4F34">
      <w:pPr>
        <w:pStyle w:val="authadd"/>
        <w:autoSpaceDE w:val="0"/>
        <w:autoSpaceDN w:val="0"/>
        <w:adjustRightInd w:val="0"/>
        <w:snapToGrid w:val="0"/>
        <w:spacing w:line="240" w:lineRule="auto"/>
        <w:rPr>
          <w:rFonts w:ascii="Gulliver-Regular" w:hAnsi="Gulliver-Regular"/>
          <w:szCs w:val="24"/>
          <w:lang w:val="en-US" w:eastAsia="en-US"/>
        </w:rPr>
      </w:pPr>
      <w:r w:rsidRPr="00F35DE1">
        <w:rPr>
          <w:rFonts w:ascii="Gulliver-Regular" w:hAnsi="Gulliver-Regular"/>
          <w:szCs w:val="24"/>
          <w:lang w:val="en-US" w:eastAsia="en-US"/>
        </w:rPr>
        <w:t>Xiaobin Tang</w:t>
      </w:r>
      <w:r w:rsidRPr="00F35DE1">
        <w:rPr>
          <w:rFonts w:ascii="Gulliver-Regular" w:hAnsi="Gulliver-Regular"/>
          <w:szCs w:val="24"/>
          <w:vertAlign w:val="superscript"/>
          <w:lang w:val="en-US" w:eastAsia="en-US"/>
        </w:rPr>
        <w:t xml:space="preserve"> a</w:t>
      </w:r>
      <w:r w:rsidRPr="00F35DE1">
        <w:rPr>
          <w:rFonts w:ascii="Gulliver-Regular" w:hAnsi="Gulliver-Regular"/>
          <w:szCs w:val="24"/>
          <w:lang w:val="en-US" w:eastAsia="en-US"/>
        </w:rPr>
        <w:t>, Tiecheng Guo</w:t>
      </w:r>
      <w:r w:rsidRPr="00F35DE1">
        <w:rPr>
          <w:rFonts w:ascii="Gulliver-Regular" w:hAnsi="Gulliver-Regular"/>
          <w:szCs w:val="24"/>
          <w:vertAlign w:val="superscript"/>
          <w:lang w:val="en-US" w:eastAsia="en-US"/>
        </w:rPr>
        <w:t xml:space="preserve"> a</w:t>
      </w:r>
      <w:r w:rsidRPr="00F35DE1">
        <w:rPr>
          <w:rFonts w:ascii="Gulliver-Regular" w:hAnsi="Gulliver-Regular"/>
          <w:szCs w:val="24"/>
          <w:lang w:val="en-US" w:eastAsia="en-US"/>
        </w:rPr>
        <w:t>, Haiqing Chang</w:t>
      </w:r>
      <w:r w:rsidRPr="00F35DE1">
        <w:rPr>
          <w:rFonts w:ascii="Gulliver-Regular" w:hAnsi="Gulliver-Regular"/>
          <w:szCs w:val="24"/>
          <w:vertAlign w:val="superscript"/>
          <w:lang w:val="en-US" w:eastAsia="en-US"/>
        </w:rPr>
        <w:t xml:space="preserve"> b</w:t>
      </w:r>
      <w:r w:rsidRPr="00F35DE1">
        <w:rPr>
          <w:rFonts w:ascii="Gulliver-Regular" w:hAnsi="Gulliver-Regular"/>
          <w:szCs w:val="24"/>
          <w:lang w:val="en-US" w:eastAsia="en-US"/>
        </w:rPr>
        <w:t>, Xiao Yue</w:t>
      </w:r>
      <w:r w:rsidRPr="00F35DE1">
        <w:rPr>
          <w:rFonts w:ascii="Gulliver-Regular" w:hAnsi="Gulliver-Regular"/>
          <w:szCs w:val="24"/>
          <w:vertAlign w:val="superscript"/>
          <w:lang w:val="en-US" w:eastAsia="en-US"/>
        </w:rPr>
        <w:t xml:space="preserve"> c</w:t>
      </w:r>
      <w:r w:rsidRPr="00F35DE1">
        <w:rPr>
          <w:rFonts w:ascii="Gulliver-Regular" w:hAnsi="Gulliver-Regular"/>
          <w:szCs w:val="24"/>
          <w:lang w:val="en-US" w:eastAsia="en-US"/>
        </w:rPr>
        <w:t>, Jinlong Wang</w:t>
      </w:r>
      <w:r w:rsidRPr="00F35DE1">
        <w:rPr>
          <w:rFonts w:ascii="Gulliver-Regular" w:hAnsi="Gulliver-Regular"/>
          <w:szCs w:val="24"/>
          <w:vertAlign w:val="superscript"/>
          <w:lang w:val="en-US" w:eastAsia="en-US"/>
        </w:rPr>
        <w:t xml:space="preserve"> a</w:t>
      </w:r>
      <w:r w:rsidRPr="00F35DE1">
        <w:rPr>
          <w:rFonts w:ascii="Gulliver-Regular" w:hAnsi="Gulliver-Regular"/>
          <w:szCs w:val="24"/>
          <w:lang w:val="en-US" w:eastAsia="en-US"/>
        </w:rPr>
        <w:t>, Haikuan Yu</w:t>
      </w:r>
      <w:r w:rsidRPr="00F35DE1">
        <w:rPr>
          <w:rFonts w:ascii="Gulliver-Regular" w:hAnsi="Gulliver-Regular"/>
          <w:szCs w:val="24"/>
          <w:vertAlign w:val="superscript"/>
          <w:lang w:val="en-US" w:eastAsia="en-US"/>
        </w:rPr>
        <w:t xml:space="preserve"> c</w:t>
      </w:r>
      <w:r w:rsidRPr="00F35DE1">
        <w:rPr>
          <w:rFonts w:ascii="Gulliver-Regular" w:hAnsi="Gulliver-Regular"/>
          <w:szCs w:val="24"/>
          <w:lang w:val="en-US" w:eastAsia="en-US"/>
        </w:rPr>
        <w:t>, Binghan Xie</w:t>
      </w:r>
      <w:r w:rsidRPr="00F35DE1">
        <w:rPr>
          <w:rFonts w:ascii="Gulliver-Regular" w:hAnsi="Gulliver-Regular"/>
          <w:szCs w:val="24"/>
          <w:vertAlign w:val="superscript"/>
          <w:lang w:val="en-US" w:eastAsia="en-US"/>
        </w:rPr>
        <w:t xml:space="preserve"> d</w:t>
      </w:r>
      <w:r w:rsidRPr="00F35DE1">
        <w:rPr>
          <w:rFonts w:ascii="Gulliver-Regular" w:hAnsi="Gulliver-Regular"/>
          <w:szCs w:val="24"/>
          <w:lang w:val="en-US" w:eastAsia="en-US"/>
        </w:rPr>
        <w:t>, Xuewu Zhu</w:t>
      </w:r>
      <w:r w:rsidRPr="00F35DE1">
        <w:rPr>
          <w:rFonts w:ascii="Gulliver-Regular" w:hAnsi="Gulliver-Regular"/>
          <w:szCs w:val="24"/>
          <w:vertAlign w:val="superscript"/>
          <w:lang w:val="en-US" w:eastAsia="en-US"/>
        </w:rPr>
        <w:t xml:space="preserve"> a</w:t>
      </w:r>
      <w:r w:rsidRPr="00F35DE1">
        <w:rPr>
          <w:rFonts w:ascii="Gulliver-Regular" w:hAnsi="Gulliver-Regular"/>
          <w:szCs w:val="24"/>
          <w:lang w:val="en-US" w:eastAsia="en-US"/>
        </w:rPr>
        <w:t>, Guibai Li</w:t>
      </w:r>
      <w:r w:rsidRPr="00F35DE1">
        <w:rPr>
          <w:rFonts w:ascii="Gulliver-Regular" w:hAnsi="Gulliver-Regular"/>
          <w:szCs w:val="24"/>
          <w:vertAlign w:val="superscript"/>
          <w:lang w:val="en-US" w:eastAsia="en-US"/>
        </w:rPr>
        <w:t xml:space="preserve"> a</w:t>
      </w:r>
      <w:r w:rsidRPr="00F35DE1">
        <w:rPr>
          <w:rFonts w:ascii="Gulliver-Regular" w:hAnsi="Gulliver-Regular"/>
          <w:szCs w:val="24"/>
          <w:lang w:val="en-US" w:eastAsia="en-US"/>
        </w:rPr>
        <w:t>, Heng Liang</w:t>
      </w:r>
      <w:r w:rsidRPr="00F35DE1">
        <w:rPr>
          <w:rFonts w:ascii="Gulliver-Regular" w:hAnsi="Gulliver-Regular"/>
          <w:szCs w:val="24"/>
          <w:vertAlign w:val="superscript"/>
          <w:lang w:val="en-US" w:eastAsia="en-US"/>
        </w:rPr>
        <w:t xml:space="preserve"> a</w:t>
      </w:r>
      <w:r w:rsidRPr="00F35DE1">
        <w:rPr>
          <w:rFonts w:ascii="Gulliver-Regular" w:hAnsi="Gulliver-Regular"/>
          <w:szCs w:val="24"/>
          <w:lang w:val="en-US" w:eastAsia="en-US"/>
        </w:rPr>
        <w:t>*</w:t>
      </w:r>
    </w:p>
    <w:p w14:paraId="048BACDD" w14:textId="7206D2F5" w:rsidR="00DC4F34" w:rsidRPr="00F35DE1" w:rsidRDefault="00DC4F34" w:rsidP="00DC4F34">
      <w:pPr>
        <w:pStyle w:val="authadd"/>
        <w:autoSpaceDE w:val="0"/>
        <w:autoSpaceDN w:val="0"/>
        <w:adjustRightInd w:val="0"/>
        <w:snapToGrid w:val="0"/>
        <w:spacing w:line="240" w:lineRule="auto"/>
        <w:rPr>
          <w:rFonts w:ascii="Gulliver-Regular" w:hAnsi="Gulliver-Regular"/>
          <w:i/>
          <w:sz w:val="18"/>
          <w:szCs w:val="18"/>
          <w:lang w:val="en-US"/>
        </w:rPr>
      </w:pPr>
      <w:r w:rsidRPr="00F35DE1">
        <w:rPr>
          <w:rFonts w:ascii="Gulliver-Regular" w:hAnsi="Gulliver-Regular"/>
          <w:sz w:val="18"/>
          <w:szCs w:val="18"/>
          <w:vertAlign w:val="superscript"/>
          <w:lang w:val="en-US"/>
        </w:rPr>
        <w:t>a</w:t>
      </w:r>
      <w:r w:rsidRPr="00F35DE1">
        <w:rPr>
          <w:rFonts w:ascii="Gulliver-Regular" w:hAnsi="Gulliver-Regular"/>
          <w:i/>
          <w:sz w:val="18"/>
          <w:szCs w:val="18"/>
          <w:lang w:val="en-US"/>
        </w:rPr>
        <w:t xml:space="preserve"> State Key Laboratory of Urban Water Resource and Environment (SKLUWRE), School of Environment, Harbin Institute of Technology, Harbin 150090, China</w:t>
      </w:r>
    </w:p>
    <w:p w14:paraId="7D735C98" w14:textId="0AD7E603" w:rsidR="00DC4F34" w:rsidRPr="00F35DE1" w:rsidRDefault="00DC4F34" w:rsidP="00DC4F34">
      <w:pPr>
        <w:pStyle w:val="authadd"/>
        <w:autoSpaceDE w:val="0"/>
        <w:autoSpaceDN w:val="0"/>
        <w:adjustRightInd w:val="0"/>
        <w:snapToGrid w:val="0"/>
        <w:spacing w:line="240" w:lineRule="auto"/>
        <w:rPr>
          <w:rFonts w:ascii="Gulliver-Regular" w:hAnsi="Gulliver-Regular"/>
          <w:i/>
          <w:sz w:val="18"/>
          <w:szCs w:val="18"/>
          <w:lang w:val="en-US"/>
        </w:rPr>
      </w:pPr>
      <w:r w:rsidRPr="00F35DE1">
        <w:rPr>
          <w:rFonts w:ascii="Gulliver-Regular" w:hAnsi="Gulliver-Regular"/>
          <w:sz w:val="18"/>
          <w:szCs w:val="18"/>
          <w:vertAlign w:val="superscript"/>
          <w:lang w:val="en-US"/>
        </w:rPr>
        <w:t>b</w:t>
      </w:r>
      <w:r w:rsidRPr="00F35DE1">
        <w:rPr>
          <w:rFonts w:ascii="Gulliver-Regular" w:hAnsi="Gulliver-Regular"/>
          <w:i/>
          <w:sz w:val="18"/>
          <w:szCs w:val="18"/>
          <w:lang w:val="en-US"/>
        </w:rPr>
        <w:t xml:space="preserve"> College of Architecture and Environment, Sichuan University, Chengdu 610207, China</w:t>
      </w:r>
    </w:p>
    <w:p w14:paraId="4DB429E8" w14:textId="179FAEE0" w:rsidR="00DC4F34" w:rsidRPr="00F35DE1" w:rsidRDefault="00DC4F34" w:rsidP="00DC4F34">
      <w:pPr>
        <w:pStyle w:val="authadd"/>
        <w:autoSpaceDE w:val="0"/>
        <w:autoSpaceDN w:val="0"/>
        <w:adjustRightInd w:val="0"/>
        <w:snapToGrid w:val="0"/>
        <w:spacing w:line="240" w:lineRule="auto"/>
        <w:rPr>
          <w:rFonts w:ascii="Gulliver-Regular" w:hAnsi="Gulliver-Regular"/>
          <w:i/>
          <w:sz w:val="18"/>
          <w:szCs w:val="18"/>
          <w:lang w:val="en-US"/>
        </w:rPr>
      </w:pPr>
      <w:r w:rsidRPr="00F35DE1">
        <w:rPr>
          <w:rFonts w:ascii="Gulliver-Regular" w:hAnsi="Gulliver-Regular"/>
          <w:sz w:val="18"/>
          <w:szCs w:val="18"/>
          <w:vertAlign w:val="superscript"/>
          <w:lang w:val="en-US"/>
        </w:rPr>
        <w:t>c</w:t>
      </w:r>
      <w:r w:rsidRPr="00F35DE1">
        <w:rPr>
          <w:rFonts w:ascii="Gulliver-Regular" w:hAnsi="Gulliver-Regular"/>
          <w:i/>
          <w:sz w:val="18"/>
          <w:szCs w:val="18"/>
          <w:lang w:val="en-US"/>
        </w:rPr>
        <w:t xml:space="preserve"> College of Architecture and Civil Engineering, Beijing University of Technology, Beijing 100124, China</w:t>
      </w:r>
    </w:p>
    <w:p w14:paraId="13B87855" w14:textId="64047A2D" w:rsidR="00DC4F34" w:rsidRPr="00F35DE1" w:rsidRDefault="00DC4F34" w:rsidP="00DC4F34">
      <w:pPr>
        <w:pStyle w:val="authadd"/>
        <w:autoSpaceDE w:val="0"/>
        <w:autoSpaceDN w:val="0"/>
        <w:adjustRightInd w:val="0"/>
        <w:snapToGrid w:val="0"/>
        <w:spacing w:line="240" w:lineRule="auto"/>
        <w:rPr>
          <w:rFonts w:ascii="Gulliver-Regular" w:hAnsi="Gulliver-Regular"/>
          <w:i/>
          <w:sz w:val="18"/>
          <w:szCs w:val="18"/>
          <w:lang w:val="en-US"/>
        </w:rPr>
      </w:pPr>
      <w:r w:rsidRPr="00F35DE1">
        <w:rPr>
          <w:rFonts w:ascii="Gulliver-Regular" w:hAnsi="Gulliver-Regular"/>
          <w:sz w:val="18"/>
          <w:szCs w:val="18"/>
          <w:vertAlign w:val="superscript"/>
          <w:lang w:val="en-US"/>
        </w:rPr>
        <w:t>d</w:t>
      </w:r>
      <w:r w:rsidRPr="00F35DE1">
        <w:rPr>
          <w:rFonts w:ascii="Gulliver-Regular" w:hAnsi="Gulliver-Regular"/>
          <w:i/>
          <w:sz w:val="18"/>
          <w:szCs w:val="18"/>
          <w:lang w:val="en-US"/>
        </w:rPr>
        <w:t xml:space="preserve"> School of Marine Science and Technology, Harbin Institute of Technology at Weihai, Weihai 264209, China</w:t>
      </w:r>
    </w:p>
    <w:p w14:paraId="0E4D6EAC" w14:textId="77777777" w:rsidR="00DC4F34" w:rsidRPr="00F35DE1" w:rsidRDefault="00DC4F34" w:rsidP="00DC4F34">
      <w:pPr>
        <w:adjustRightInd w:val="0"/>
        <w:snapToGrid w:val="0"/>
        <w:rPr>
          <w:rFonts w:ascii="Gulliver-Regular" w:hAnsi="Gulliver-Regular"/>
          <w:sz w:val="18"/>
          <w:szCs w:val="18"/>
        </w:rPr>
      </w:pPr>
    </w:p>
    <w:p w14:paraId="263D2009" w14:textId="77777777" w:rsidR="00DC4F34" w:rsidRPr="00F35DE1" w:rsidRDefault="00DC4F34" w:rsidP="00DC4F34">
      <w:pPr>
        <w:adjustRightInd w:val="0"/>
        <w:snapToGrid w:val="0"/>
        <w:rPr>
          <w:rFonts w:ascii="Gulliver-Regular" w:hAnsi="Gulliver-Regular"/>
          <w:sz w:val="18"/>
          <w:szCs w:val="18"/>
        </w:rPr>
      </w:pPr>
      <w:r w:rsidRPr="00F35DE1">
        <w:rPr>
          <w:rFonts w:ascii="Gulliver-Regular" w:hAnsi="Gulliver-Regular"/>
          <w:sz w:val="18"/>
          <w:szCs w:val="18"/>
        </w:rPr>
        <w:t>*</w:t>
      </w:r>
      <w:r w:rsidRPr="00F35DE1">
        <w:rPr>
          <w:rFonts w:ascii="Gulliver-Regular" w:hAnsi="Gulliver-Regular"/>
          <w:b/>
          <w:sz w:val="18"/>
          <w:szCs w:val="18"/>
        </w:rPr>
        <w:t xml:space="preserve"> </w:t>
      </w:r>
      <w:r w:rsidRPr="00F35DE1">
        <w:rPr>
          <w:rFonts w:ascii="Gulliver-Regular" w:hAnsi="Gulliver-Regular"/>
          <w:sz w:val="18"/>
          <w:szCs w:val="18"/>
        </w:rPr>
        <w:t>Corresponding author.</w:t>
      </w:r>
    </w:p>
    <w:p w14:paraId="1202BE5B" w14:textId="77777777" w:rsidR="00DC4F34" w:rsidRPr="00F35DE1" w:rsidRDefault="00DC4F34" w:rsidP="00DC4F34">
      <w:pPr>
        <w:adjustRightInd w:val="0"/>
        <w:snapToGrid w:val="0"/>
        <w:rPr>
          <w:rFonts w:ascii="Gulliver-Regular" w:hAnsi="Gulliver-Regular"/>
          <w:sz w:val="18"/>
          <w:szCs w:val="18"/>
        </w:rPr>
      </w:pPr>
      <w:r w:rsidRPr="00F35DE1">
        <w:rPr>
          <w:rFonts w:ascii="Gulliver-Regular" w:hAnsi="Gulliver-Regular"/>
          <w:i/>
          <w:sz w:val="18"/>
          <w:szCs w:val="18"/>
        </w:rPr>
        <w:t>E-mail address:</w:t>
      </w:r>
      <w:r w:rsidRPr="00F35DE1">
        <w:rPr>
          <w:rFonts w:ascii="Gulliver-Regular" w:hAnsi="Gulliver-Regular"/>
          <w:sz w:val="18"/>
          <w:szCs w:val="18"/>
        </w:rPr>
        <w:t xml:space="preserve"> hitliangheng@163.com (H. Liang)</w:t>
      </w:r>
    </w:p>
    <w:p w14:paraId="0A254EF1" w14:textId="77777777" w:rsidR="00D463D7" w:rsidRPr="00F35DE1" w:rsidRDefault="00D463D7" w:rsidP="00D463D7">
      <w:pPr>
        <w:snapToGrid w:val="0"/>
        <w:jc w:val="center"/>
        <w:rPr>
          <w:rStyle w:val="a5"/>
          <w:rFonts w:ascii="Gulliver-Regular" w:hAnsi="Gulliver-Regular"/>
          <w:color w:val="auto"/>
          <w:sz w:val="21"/>
          <w:szCs w:val="21"/>
          <w:lang w:eastAsia="en-US"/>
        </w:rPr>
      </w:pPr>
    </w:p>
    <w:p w14:paraId="7236AD72" w14:textId="01AC91EC" w:rsidR="00D45590" w:rsidRPr="00F35DE1" w:rsidRDefault="00D45590" w:rsidP="00DC4F34">
      <w:pPr>
        <w:pStyle w:val="hkeywords"/>
        <w:widowControl w:val="0"/>
        <w:autoSpaceDE w:val="0"/>
        <w:autoSpaceDN w:val="0"/>
        <w:adjustRightInd w:val="0"/>
        <w:snapToGrid w:val="0"/>
        <w:spacing w:beforeLines="50" w:before="163" w:afterLines="50" w:after="163"/>
        <w:rPr>
          <w:rFonts w:ascii="Gulliver-Regular" w:eastAsia="Times New Roman" w:hAnsi="Gulliver-Regular"/>
          <w:b/>
          <w:szCs w:val="21"/>
        </w:rPr>
      </w:pPr>
      <w:r w:rsidRPr="00F35DE1">
        <w:rPr>
          <w:rFonts w:ascii="Gulliver-Regular" w:eastAsia="Times New Roman" w:hAnsi="Gulliver-Regular"/>
          <w:b/>
          <w:szCs w:val="21"/>
        </w:rPr>
        <w:t>1. Process of flow diagram of DWTPs</w:t>
      </w:r>
    </w:p>
    <w:p w14:paraId="62D88E09" w14:textId="247D1E8B" w:rsidR="000C4F4C" w:rsidRPr="00F35DE1" w:rsidRDefault="00D45590" w:rsidP="00D463D7">
      <w:pPr>
        <w:snapToGrid w:val="0"/>
        <w:jc w:val="center"/>
        <w:rPr>
          <w:rFonts w:ascii="Gulliver-Regular" w:hAnsi="Gulliver-Regular"/>
          <w:sz w:val="21"/>
          <w:szCs w:val="21"/>
        </w:rPr>
      </w:pPr>
      <w:bookmarkStart w:id="0" w:name="OLE_LINK4"/>
      <w:bookmarkStart w:id="1" w:name="OLE_LINK5"/>
      <w:r w:rsidRPr="00F35DE1">
        <w:rPr>
          <w:rFonts w:ascii="Gulliver-Regular" w:hAnsi="Gulliver-Regular"/>
          <w:noProof/>
          <w:sz w:val="21"/>
          <w:szCs w:val="21"/>
        </w:rPr>
        <w:drawing>
          <wp:inline distT="0" distB="0" distL="0" distR="0" wp14:anchorId="703D5CCC" wp14:editId="753D309B">
            <wp:extent cx="4343400" cy="1851148"/>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1.jpg"/>
                    <pic:cNvPicPr/>
                  </pic:nvPicPr>
                  <pic:blipFill rotWithShape="1">
                    <a:blip r:embed="rId7" cstate="print">
                      <a:extLst>
                        <a:ext uri="{28A0092B-C50C-407E-A947-70E740481C1C}">
                          <a14:useLocalDpi xmlns:a14="http://schemas.microsoft.com/office/drawing/2010/main" val="0"/>
                        </a:ext>
                      </a:extLst>
                    </a:blip>
                    <a:srcRect t="3145" b="4062"/>
                    <a:stretch/>
                  </pic:blipFill>
                  <pic:spPr bwMode="auto">
                    <a:xfrm>
                      <a:off x="0" y="0"/>
                      <a:ext cx="4372656" cy="1863617"/>
                    </a:xfrm>
                    <a:prstGeom prst="rect">
                      <a:avLst/>
                    </a:prstGeom>
                    <a:ln>
                      <a:noFill/>
                    </a:ln>
                    <a:extLst>
                      <a:ext uri="{53640926-AAD7-44D8-BBD7-CCE9431645EC}">
                        <a14:shadowObscured xmlns:a14="http://schemas.microsoft.com/office/drawing/2010/main"/>
                      </a:ext>
                    </a:extLst>
                  </pic:spPr>
                </pic:pic>
              </a:graphicData>
            </a:graphic>
          </wp:inline>
        </w:drawing>
      </w:r>
    </w:p>
    <w:p w14:paraId="72A5B89E" w14:textId="055B0702" w:rsidR="00D45590" w:rsidRPr="00F35DE1" w:rsidRDefault="00D45590" w:rsidP="00D463D7">
      <w:pPr>
        <w:snapToGrid w:val="0"/>
        <w:rPr>
          <w:rFonts w:ascii="Gulliver-Regular" w:eastAsia="微软雅黑" w:hAnsi="Gulliver-Regular"/>
          <w:sz w:val="18"/>
          <w:szCs w:val="18"/>
        </w:rPr>
      </w:pPr>
      <w:r w:rsidRPr="00F35DE1">
        <w:rPr>
          <w:rFonts w:ascii="Gulliver-Regular" w:eastAsia="微软雅黑" w:hAnsi="Gulliver-Regular"/>
          <w:sz w:val="18"/>
          <w:szCs w:val="18"/>
        </w:rPr>
        <w:t>Fig. S1</w:t>
      </w:r>
      <w:r w:rsidR="00DC4F34" w:rsidRPr="00F35DE1">
        <w:rPr>
          <w:rFonts w:ascii="Gulliver-Regular" w:eastAsia="微软雅黑" w:hAnsi="Gulliver-Regular"/>
          <w:sz w:val="18"/>
          <w:szCs w:val="18"/>
        </w:rPr>
        <w:t>.</w:t>
      </w:r>
      <w:r w:rsidRPr="00F35DE1">
        <w:rPr>
          <w:rFonts w:ascii="Gulliver-Regular" w:eastAsia="微软雅黑" w:hAnsi="Gulliver-Regular"/>
          <w:sz w:val="18"/>
          <w:szCs w:val="18"/>
        </w:rPr>
        <w:t xml:space="preserve"> Process flow diagram of DWTPs (</w:t>
      </w:r>
      <w:r w:rsidR="00812364" w:rsidRPr="00F35DE1">
        <w:rPr>
          <w:rFonts w:ascii="Gulliver-Regular" w:eastAsia="微软雅黑" w:hAnsi="Gulliver-Regular"/>
          <w:sz w:val="18"/>
          <w:szCs w:val="18"/>
        </w:rPr>
        <w:t xml:space="preserve">see </w:t>
      </w:r>
      <w:r w:rsidRPr="00F35DE1">
        <w:rPr>
          <w:rFonts w:ascii="Gulliver-Regular" w:eastAsia="微软雅黑" w:hAnsi="Gulliver-Regular"/>
          <w:sz w:val="18"/>
          <w:szCs w:val="18"/>
        </w:rPr>
        <w:t xml:space="preserve">the </w:t>
      </w:r>
      <w:r w:rsidR="00812364" w:rsidRPr="00F35DE1">
        <w:rPr>
          <w:rFonts w:ascii="Gulliver-Regular" w:eastAsia="微软雅黑" w:hAnsi="Gulliver-Regular"/>
          <w:sz w:val="18"/>
          <w:szCs w:val="18"/>
        </w:rPr>
        <w:t>black</w:t>
      </w:r>
      <w:r w:rsidRPr="00F35DE1">
        <w:rPr>
          <w:rFonts w:ascii="Gulliver-Regular" w:eastAsia="微软雅黑" w:hAnsi="Gulliver-Regular"/>
          <w:sz w:val="18"/>
          <w:szCs w:val="18"/>
        </w:rPr>
        <w:t xml:space="preserve"> </w:t>
      </w:r>
      <w:r w:rsidR="00812364" w:rsidRPr="00F35DE1">
        <w:rPr>
          <w:rFonts w:ascii="Gulliver-Regular" w:eastAsia="微软雅黑" w:hAnsi="Gulliver-Regular"/>
          <w:sz w:val="18"/>
          <w:szCs w:val="18"/>
        </w:rPr>
        <w:t>arrow</w:t>
      </w:r>
      <w:r w:rsidRPr="00F35DE1">
        <w:rPr>
          <w:rFonts w:ascii="Gulliver-Regular" w:eastAsia="微软雅黑" w:hAnsi="Gulliver-Regular"/>
          <w:sz w:val="18"/>
          <w:szCs w:val="18"/>
        </w:rPr>
        <w:t>) and the experiment setup location</w:t>
      </w:r>
      <w:r w:rsidR="00812364" w:rsidRPr="00F35DE1">
        <w:rPr>
          <w:rFonts w:ascii="Gulliver-Regular" w:eastAsia="微软雅黑" w:hAnsi="Gulliver-Regular"/>
          <w:sz w:val="18"/>
          <w:szCs w:val="18"/>
        </w:rPr>
        <w:t xml:space="preserve"> (see the green arrow)</w:t>
      </w:r>
      <w:r w:rsidR="00DC4F34" w:rsidRPr="00F35DE1">
        <w:rPr>
          <w:rFonts w:ascii="Gulliver-Regular" w:eastAsia="微软雅黑" w:hAnsi="Gulliver-Regular"/>
          <w:sz w:val="18"/>
          <w:szCs w:val="18"/>
        </w:rPr>
        <w:t>.</w:t>
      </w:r>
    </w:p>
    <w:bookmarkEnd w:id="0"/>
    <w:bookmarkEnd w:id="1"/>
    <w:p w14:paraId="1CDCC225" w14:textId="77777777" w:rsidR="00D463D7" w:rsidRPr="00F35DE1" w:rsidRDefault="00D463D7" w:rsidP="00D463D7">
      <w:pPr>
        <w:snapToGrid w:val="0"/>
        <w:rPr>
          <w:rFonts w:ascii="Gulliver-Regular" w:eastAsia="微软雅黑" w:hAnsi="Gulliver-Regular"/>
          <w:b/>
          <w:sz w:val="21"/>
          <w:szCs w:val="21"/>
        </w:rPr>
      </w:pPr>
    </w:p>
    <w:p w14:paraId="02642754" w14:textId="202CF45D" w:rsidR="00D45590" w:rsidRPr="00F35DE1" w:rsidRDefault="00D45590" w:rsidP="00DC4F34">
      <w:pPr>
        <w:pStyle w:val="hkeywords"/>
        <w:widowControl w:val="0"/>
        <w:autoSpaceDE w:val="0"/>
        <w:autoSpaceDN w:val="0"/>
        <w:adjustRightInd w:val="0"/>
        <w:snapToGrid w:val="0"/>
        <w:spacing w:beforeLines="50" w:before="163" w:afterLines="50" w:after="163"/>
        <w:rPr>
          <w:rFonts w:ascii="Gulliver-Regular" w:eastAsia="Times New Roman" w:hAnsi="Gulliver-Regular"/>
          <w:b/>
          <w:szCs w:val="21"/>
        </w:rPr>
      </w:pPr>
      <w:r w:rsidRPr="00F35DE1">
        <w:rPr>
          <w:rFonts w:ascii="Gulliver-Regular" w:eastAsia="Times New Roman" w:hAnsi="Gulliver-Regular"/>
          <w:b/>
          <w:szCs w:val="21"/>
        </w:rPr>
        <w:t>2. Characteristics of organic foulants in the feed water</w:t>
      </w:r>
    </w:p>
    <w:bookmarkStart w:id="2" w:name="_Hlk57066127"/>
    <w:p w14:paraId="079A72CE" w14:textId="60775FE3" w:rsidR="002C68FD" w:rsidRPr="00F35DE1" w:rsidRDefault="00DC4F34" w:rsidP="00D463D7">
      <w:pPr>
        <w:snapToGrid w:val="0"/>
        <w:jc w:val="center"/>
        <w:rPr>
          <w:rFonts w:ascii="Gulliver-Regular" w:hAnsi="Gulliver-Regular"/>
          <w:sz w:val="21"/>
          <w:szCs w:val="21"/>
        </w:rPr>
      </w:pPr>
      <w:r w:rsidRPr="00F35DE1">
        <w:rPr>
          <w:rFonts w:ascii="Gulliver-Regular" w:hAnsi="Gulliver-Regular"/>
          <w:sz w:val="21"/>
          <w:szCs w:val="21"/>
        </w:rPr>
        <w:object w:dxaOrig="6387" w:dyaOrig="5220" w14:anchorId="764E5C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1pt;height:224.85pt" o:ole="">
            <v:imagedata r:id="rId8" o:title="" croptop="2260f" cropbottom="377f" cropleft="410f" cropright="3282f"/>
          </v:shape>
          <o:OLEObject Type="Embed" ProgID="Origin50.Graph" ShapeID="_x0000_i1025" DrawAspect="Content" ObjectID="_1679739381" r:id="rId9"/>
        </w:object>
      </w:r>
      <w:bookmarkEnd w:id="2"/>
    </w:p>
    <w:p w14:paraId="1551D9CB" w14:textId="5EA66353" w:rsidR="00D45590" w:rsidRPr="00F35DE1" w:rsidRDefault="00D45590" w:rsidP="00D463D7">
      <w:pPr>
        <w:snapToGrid w:val="0"/>
        <w:rPr>
          <w:rFonts w:ascii="Gulliver-Regular" w:eastAsia="微软雅黑" w:hAnsi="Gulliver-Regular"/>
          <w:sz w:val="18"/>
          <w:szCs w:val="18"/>
        </w:rPr>
      </w:pPr>
      <w:r w:rsidRPr="00F35DE1">
        <w:rPr>
          <w:rFonts w:ascii="Gulliver-Regular" w:eastAsia="微软雅黑" w:hAnsi="Gulliver-Regular"/>
          <w:sz w:val="18"/>
          <w:szCs w:val="18"/>
        </w:rPr>
        <w:t>Fig. S2</w:t>
      </w:r>
      <w:r w:rsidR="00DC4F34" w:rsidRPr="00F35DE1">
        <w:rPr>
          <w:rFonts w:ascii="Gulliver-Regular" w:eastAsia="微软雅黑" w:hAnsi="Gulliver-Regular"/>
          <w:sz w:val="18"/>
          <w:szCs w:val="18"/>
        </w:rPr>
        <w:t>.</w:t>
      </w:r>
      <w:r w:rsidRPr="00F35DE1">
        <w:rPr>
          <w:rFonts w:ascii="Gulliver-Regular" w:eastAsia="微软雅黑" w:hAnsi="Gulliver-Regular"/>
          <w:sz w:val="18"/>
          <w:szCs w:val="18"/>
        </w:rPr>
        <w:t xml:space="preserve"> Characteristics of organic foulants in the feed water prior to U</w:t>
      </w:r>
      <w:bookmarkStart w:id="3" w:name="_GoBack"/>
      <w:bookmarkEnd w:id="3"/>
      <w:r w:rsidRPr="00F35DE1">
        <w:rPr>
          <w:rFonts w:ascii="Gulliver-Regular" w:eastAsia="微软雅黑" w:hAnsi="Gulliver-Regular"/>
          <w:sz w:val="18"/>
          <w:szCs w:val="18"/>
        </w:rPr>
        <w:t>F process based on the 3D-EEM measurements</w:t>
      </w:r>
      <w:r w:rsidR="00812364" w:rsidRPr="00F35DE1">
        <w:rPr>
          <w:rFonts w:ascii="Gulliver-Regular" w:eastAsia="微软雅黑" w:hAnsi="Gulliver-Regular"/>
          <w:sz w:val="18"/>
          <w:szCs w:val="18"/>
        </w:rPr>
        <w:t>.</w:t>
      </w:r>
    </w:p>
    <w:p w14:paraId="55222F51" w14:textId="39F3CC5A" w:rsidR="008E5290" w:rsidRPr="00F35DE1" w:rsidRDefault="008E5290" w:rsidP="00DC4F34">
      <w:pPr>
        <w:pStyle w:val="hkeywords"/>
        <w:widowControl w:val="0"/>
        <w:autoSpaceDE w:val="0"/>
        <w:autoSpaceDN w:val="0"/>
        <w:adjustRightInd w:val="0"/>
        <w:snapToGrid w:val="0"/>
        <w:spacing w:beforeLines="50" w:before="163" w:afterLines="50" w:after="163"/>
        <w:rPr>
          <w:rFonts w:ascii="Gulliver-Regular" w:eastAsia="Times New Roman" w:hAnsi="Gulliver-Regular"/>
          <w:b/>
          <w:szCs w:val="21"/>
        </w:rPr>
      </w:pPr>
      <w:r w:rsidRPr="00F35DE1">
        <w:rPr>
          <w:rFonts w:ascii="Gulliver-Regular" w:eastAsia="Times New Roman" w:hAnsi="Gulliver-Regular"/>
          <w:b/>
          <w:szCs w:val="21"/>
        </w:rPr>
        <w:lastRenderedPageBreak/>
        <w:t>3. Algae cell counting method</w:t>
      </w:r>
    </w:p>
    <w:p w14:paraId="6217BBFD" w14:textId="77777777" w:rsidR="0011260C" w:rsidRPr="00F35DE1" w:rsidRDefault="0011260C" w:rsidP="00DC4F34">
      <w:pPr>
        <w:snapToGrid w:val="0"/>
        <w:ind w:firstLine="284"/>
        <w:rPr>
          <w:rFonts w:ascii="Gulliver-Regular" w:hAnsi="Gulliver-Regular"/>
          <w:sz w:val="21"/>
          <w:szCs w:val="21"/>
        </w:rPr>
      </w:pPr>
      <w:r w:rsidRPr="00F35DE1">
        <w:rPr>
          <w:rFonts w:ascii="Gulliver-Regular" w:hAnsi="Gulliver-Regular"/>
          <w:sz w:val="21"/>
          <w:szCs w:val="21"/>
        </w:rPr>
        <w:t>In this study, microtechnique was used to determine the algae contents in the water. The water sample (1000 mL) was obtained from the sampling location of raw water pipe of the DWTPs and poured into a sedimentator. The fixation was proceed immediately using the working Lugol solution (10 mL). After that, static settlement was processed for 48 h. Subsequently, the supernatant was siphoned off without stirring the precipitated algae on the bottom. Then, the residual precipitated algae solution (approximately 30 mL) was transferred into a 50 mL volumetric flask. The sedimentator was rinsed 3 times using the supernatant and the water was added into the volumetric flask. Afterwards, the volumetric flask was filled to 50 mL using the supernatant. Finally, optical microscope was employed to observe and count the algae cells, and the algae concentrations can be obtained using a standard carve as shown below.</w:t>
      </w:r>
    </w:p>
    <w:p w14:paraId="281D14DB" w14:textId="2D0AB84F" w:rsidR="00DC4F34" w:rsidRPr="00F35DE1" w:rsidRDefault="00DC4F34" w:rsidP="00DC4F34">
      <w:pPr>
        <w:snapToGrid w:val="0"/>
        <w:ind w:firstLine="284"/>
        <w:rPr>
          <w:rFonts w:ascii="Gulliver-Regular" w:hAnsi="Gulliver-Regular"/>
          <w:sz w:val="21"/>
          <w:szCs w:val="21"/>
        </w:rPr>
      </w:pPr>
      <w:r w:rsidRPr="00F35DE1">
        <w:rPr>
          <w:rFonts w:ascii="Gulliver-Regular" w:hAnsi="Gulliver-Regular"/>
          <w:position w:val="-16"/>
        </w:rPr>
        <w:object w:dxaOrig="2600" w:dyaOrig="440" w14:anchorId="43D76DB9">
          <v:shape id="_x0000_i1026" type="#_x0000_t75" style="width:130.4pt;height:21.75pt" o:ole="">
            <v:imagedata r:id="rId10" o:title=""/>
          </v:shape>
          <o:OLEObject Type="Embed" ProgID="Equation.DSMT4" ShapeID="_x0000_i1026" DrawAspect="Content" ObjectID="_1679739382" r:id="rId11"/>
        </w:object>
      </w:r>
      <w:r w:rsidR="00F35DE1" w:rsidRPr="00F35DE1">
        <w:rPr>
          <w:rFonts w:ascii="Gulliver-Regular" w:hAnsi="Gulliver-Regular"/>
        </w:rPr>
        <w:t xml:space="preserve">    (S1)</w:t>
      </w:r>
    </w:p>
    <w:p w14:paraId="0B7FA1FC" w14:textId="18928CFF" w:rsidR="008E5290" w:rsidRPr="00F35DE1" w:rsidRDefault="00DC4F34" w:rsidP="00D463D7">
      <w:pPr>
        <w:snapToGrid w:val="0"/>
        <w:rPr>
          <w:rFonts w:ascii="Gulliver-Regular" w:hAnsi="Gulliver-Regular"/>
          <w:sz w:val="21"/>
          <w:szCs w:val="21"/>
        </w:rPr>
      </w:pPr>
      <w:r w:rsidRPr="00F35DE1">
        <w:rPr>
          <w:rFonts w:ascii="Gulliver-Regular" w:hAnsi="Gulliver-Regular"/>
          <w:sz w:val="21"/>
          <w:szCs w:val="21"/>
        </w:rPr>
        <w:t>w</w:t>
      </w:r>
      <w:r w:rsidR="0011260C" w:rsidRPr="00F35DE1">
        <w:rPr>
          <w:rFonts w:ascii="Gulliver-Regular" w:hAnsi="Gulliver-Regular"/>
          <w:sz w:val="21"/>
          <w:szCs w:val="21"/>
        </w:rPr>
        <w:t xml:space="preserve">here </w:t>
      </w:r>
      <w:r w:rsidR="00F35DE1" w:rsidRPr="00F35DE1">
        <w:rPr>
          <w:rFonts w:ascii="Gulliver-Regular" w:hAnsi="Gulliver-Regular"/>
          <w:i/>
        </w:rPr>
        <w:t>N</w:t>
      </w:r>
      <w:r w:rsidR="0011260C" w:rsidRPr="00F35DE1">
        <w:rPr>
          <w:rFonts w:ascii="Gulliver-Regular" w:hAnsi="Gulliver-Regular"/>
          <w:sz w:val="21"/>
          <w:szCs w:val="21"/>
        </w:rPr>
        <w:t xml:space="preserve"> is the algae concentration (cell</w:t>
      </w:r>
      <w:r w:rsidR="00F35DE1" w:rsidRPr="00F35DE1">
        <w:rPr>
          <w:rFonts w:ascii="Gulliver-Regular" w:hAnsi="Gulliver-Regular" w:cs="Leelawadee UI"/>
          <w:sz w:val="21"/>
          <w:szCs w:val="21"/>
        </w:rPr>
        <w:t>·</w:t>
      </w:r>
      <w:r w:rsidR="0011260C" w:rsidRPr="00F35DE1">
        <w:rPr>
          <w:rFonts w:ascii="Gulliver-Regular" w:hAnsi="Gulliver-Regular"/>
          <w:sz w:val="21"/>
          <w:szCs w:val="21"/>
        </w:rPr>
        <w:t>L</w:t>
      </w:r>
      <w:r w:rsidR="00F35DE1" w:rsidRPr="00F35DE1">
        <w:rPr>
          <w:rFonts w:ascii="Gulliver-Regular" w:hAnsi="Gulliver-Regular"/>
          <w:sz w:val="21"/>
          <w:szCs w:val="21"/>
          <w:vertAlign w:val="superscript"/>
        </w:rPr>
        <w:t>−</w:t>
      </w:r>
      <w:r w:rsidR="0011260C" w:rsidRPr="00F35DE1">
        <w:rPr>
          <w:rFonts w:ascii="Gulliver-Regular" w:hAnsi="Gulliver-Regular"/>
          <w:sz w:val="21"/>
          <w:szCs w:val="21"/>
          <w:vertAlign w:val="superscript"/>
        </w:rPr>
        <w:t>1</w:t>
      </w:r>
      <w:r w:rsidR="0011260C" w:rsidRPr="00F35DE1">
        <w:rPr>
          <w:rFonts w:ascii="Gulliver-Regular" w:hAnsi="Gulliver-Regular"/>
          <w:sz w:val="21"/>
          <w:szCs w:val="21"/>
        </w:rPr>
        <w:t>)</w:t>
      </w:r>
      <w:r w:rsidR="00F35DE1">
        <w:rPr>
          <w:rFonts w:ascii="Gulliver-Regular" w:hAnsi="Gulliver-Regular"/>
          <w:sz w:val="21"/>
          <w:szCs w:val="21"/>
        </w:rPr>
        <w:t>;</w:t>
      </w:r>
      <w:r w:rsidR="0011260C" w:rsidRPr="00F35DE1">
        <w:rPr>
          <w:rFonts w:ascii="Gulliver-Regular" w:hAnsi="Gulliver-Regular"/>
          <w:sz w:val="21"/>
          <w:szCs w:val="21"/>
        </w:rPr>
        <w:t xml:space="preserve"> </w:t>
      </w:r>
      <w:r w:rsidR="0011260C" w:rsidRPr="00F35DE1">
        <w:rPr>
          <w:rFonts w:ascii="Gulliver-Regular" w:hAnsi="Gulliver-Regular"/>
          <w:i/>
          <w:sz w:val="21"/>
          <w:szCs w:val="21"/>
        </w:rPr>
        <w:t>A</w:t>
      </w:r>
      <w:r w:rsidR="0011260C" w:rsidRPr="00F35DE1">
        <w:rPr>
          <w:rFonts w:ascii="Gulliver-Regular" w:hAnsi="Gulliver-Regular"/>
          <w:sz w:val="21"/>
          <w:szCs w:val="21"/>
        </w:rPr>
        <w:t xml:space="preserve"> is the area of counting grid (mm</w:t>
      </w:r>
      <w:r w:rsidR="0011260C" w:rsidRPr="00F35DE1">
        <w:rPr>
          <w:rFonts w:ascii="Gulliver-Regular" w:hAnsi="Gulliver-Regular"/>
          <w:sz w:val="21"/>
          <w:szCs w:val="21"/>
          <w:vertAlign w:val="superscript"/>
        </w:rPr>
        <w:t>2</w:t>
      </w:r>
      <w:r w:rsidR="00F35DE1">
        <w:rPr>
          <w:rFonts w:ascii="Gulliver-Regular" w:hAnsi="Gulliver-Regular"/>
          <w:sz w:val="21"/>
          <w:szCs w:val="21"/>
        </w:rPr>
        <w:t>);</w:t>
      </w:r>
      <w:r w:rsidR="0011260C" w:rsidRPr="00F35DE1">
        <w:rPr>
          <w:rFonts w:ascii="Gulliver-Regular" w:hAnsi="Gulliver-Regular"/>
          <w:sz w:val="21"/>
          <w:szCs w:val="21"/>
        </w:rPr>
        <w:t xml:space="preserve"> </w:t>
      </w:r>
      <w:r w:rsidR="0011260C" w:rsidRPr="00F35DE1">
        <w:rPr>
          <w:rFonts w:ascii="Gulliver-Regular" w:hAnsi="Gulliver-Regular"/>
          <w:i/>
          <w:sz w:val="21"/>
          <w:szCs w:val="21"/>
        </w:rPr>
        <w:t>A</w:t>
      </w:r>
      <w:r w:rsidR="0011260C" w:rsidRPr="00F35DE1">
        <w:rPr>
          <w:rFonts w:ascii="Gulliver-Regular" w:hAnsi="Gulliver-Regular"/>
          <w:sz w:val="21"/>
          <w:szCs w:val="21"/>
          <w:vertAlign w:val="subscript"/>
        </w:rPr>
        <w:t>c</w:t>
      </w:r>
      <w:r w:rsidR="0011260C" w:rsidRPr="00F35DE1">
        <w:rPr>
          <w:rFonts w:ascii="Gulliver-Regular" w:hAnsi="Gulliver-Regular"/>
          <w:sz w:val="21"/>
          <w:szCs w:val="21"/>
        </w:rPr>
        <w:t xml:space="preserve"> is the counting area (mm</w:t>
      </w:r>
      <w:r w:rsidR="0011260C" w:rsidRPr="00F35DE1">
        <w:rPr>
          <w:rFonts w:ascii="Gulliver-Regular" w:hAnsi="Gulliver-Regular"/>
          <w:sz w:val="21"/>
          <w:szCs w:val="21"/>
          <w:vertAlign w:val="superscript"/>
        </w:rPr>
        <w:t>2</w:t>
      </w:r>
      <w:r w:rsidR="00F35DE1">
        <w:rPr>
          <w:rFonts w:ascii="Gulliver-Regular" w:hAnsi="Gulliver-Regular"/>
          <w:sz w:val="21"/>
          <w:szCs w:val="21"/>
        </w:rPr>
        <w:t>);</w:t>
      </w:r>
      <w:r w:rsidR="0011260C" w:rsidRPr="00F35DE1">
        <w:rPr>
          <w:rFonts w:ascii="Gulliver-Regular" w:hAnsi="Gulliver-Regular"/>
          <w:sz w:val="21"/>
          <w:szCs w:val="21"/>
        </w:rPr>
        <w:t xml:space="preserve"> </w:t>
      </w:r>
      <w:r w:rsidR="0011260C" w:rsidRPr="00F35DE1">
        <w:rPr>
          <w:rFonts w:ascii="Gulliver-Regular" w:hAnsi="Gulliver-Regular"/>
          <w:i/>
          <w:sz w:val="21"/>
          <w:szCs w:val="21"/>
        </w:rPr>
        <w:t>V</w:t>
      </w:r>
      <w:r w:rsidR="0011260C" w:rsidRPr="00F35DE1">
        <w:rPr>
          <w:rFonts w:ascii="Gulliver-Regular" w:hAnsi="Gulliver-Regular"/>
          <w:sz w:val="21"/>
          <w:szCs w:val="21"/>
          <w:vertAlign w:val="subscript"/>
        </w:rPr>
        <w:t>s</w:t>
      </w:r>
      <w:r w:rsidR="0011260C" w:rsidRPr="00F35DE1">
        <w:rPr>
          <w:rFonts w:ascii="Gulliver-Regular" w:hAnsi="Gulliver-Regular"/>
          <w:sz w:val="21"/>
          <w:szCs w:val="21"/>
        </w:rPr>
        <w:t xml:space="preserve"> is the water sample after </w:t>
      </w:r>
      <w:r w:rsidR="00F35DE1">
        <w:rPr>
          <w:rFonts w:ascii="Gulliver-Regular" w:hAnsi="Gulliver-Regular"/>
          <w:sz w:val="21"/>
          <w:szCs w:val="21"/>
        </w:rPr>
        <w:t>sedimentation per liter (10 mL);</w:t>
      </w:r>
      <w:r w:rsidR="0011260C" w:rsidRPr="00F35DE1">
        <w:rPr>
          <w:rFonts w:ascii="Gulliver-Regular" w:hAnsi="Gulliver-Regular"/>
          <w:sz w:val="21"/>
          <w:szCs w:val="21"/>
        </w:rPr>
        <w:t xml:space="preserve"> </w:t>
      </w:r>
      <w:r w:rsidR="0011260C" w:rsidRPr="00F35DE1">
        <w:rPr>
          <w:rFonts w:ascii="Gulliver-Regular" w:hAnsi="Gulliver-Regular"/>
          <w:i/>
          <w:sz w:val="21"/>
          <w:szCs w:val="21"/>
        </w:rPr>
        <w:t>V</w:t>
      </w:r>
      <w:r w:rsidR="0011260C" w:rsidRPr="00F35DE1">
        <w:rPr>
          <w:rFonts w:ascii="Gulliver-Regular" w:hAnsi="Gulliver-Regular"/>
          <w:sz w:val="21"/>
          <w:szCs w:val="21"/>
          <w:vertAlign w:val="subscript"/>
        </w:rPr>
        <w:t>a</w:t>
      </w:r>
      <w:r w:rsidR="0011260C" w:rsidRPr="00F35DE1">
        <w:rPr>
          <w:rFonts w:ascii="Gulliver-Regular" w:hAnsi="Gulliver-Regular"/>
          <w:sz w:val="21"/>
          <w:szCs w:val="21"/>
        </w:rPr>
        <w:t xml:space="preserve"> is t</w:t>
      </w:r>
      <w:r w:rsidR="00F35DE1">
        <w:rPr>
          <w:rFonts w:ascii="Gulliver-Regular" w:hAnsi="Gulliver-Regular"/>
          <w:sz w:val="21"/>
          <w:szCs w:val="21"/>
        </w:rPr>
        <w:t>he volume of counting grid (mL);</w:t>
      </w:r>
      <w:r w:rsidR="0011260C" w:rsidRPr="00F35DE1">
        <w:rPr>
          <w:rFonts w:ascii="Gulliver-Regular" w:hAnsi="Gulliver-Regular"/>
          <w:sz w:val="21"/>
          <w:szCs w:val="21"/>
        </w:rPr>
        <w:t xml:space="preserve"> </w:t>
      </w:r>
      <w:r w:rsidR="0011260C" w:rsidRPr="00F35DE1">
        <w:rPr>
          <w:rFonts w:ascii="Gulliver-Regular" w:hAnsi="Gulliver-Regular"/>
          <w:i/>
          <w:sz w:val="21"/>
          <w:szCs w:val="21"/>
        </w:rPr>
        <w:t>n</w:t>
      </w:r>
      <w:r w:rsidR="0011260C" w:rsidRPr="00F35DE1">
        <w:rPr>
          <w:rFonts w:ascii="Gulliver-Regular" w:hAnsi="Gulliver-Regular"/>
          <w:sz w:val="21"/>
          <w:szCs w:val="21"/>
        </w:rPr>
        <w:t xml:space="preserve"> is the total cell counts.</w:t>
      </w:r>
    </w:p>
    <w:sectPr w:rsidR="008E5290" w:rsidRPr="00F35DE1" w:rsidSect="00D463D7">
      <w:pgSz w:w="11906" w:h="16838"/>
      <w:pgMar w:top="1440" w:right="1080" w:bottom="1440" w:left="1080" w:header="851" w:footer="992" w:gutter="0"/>
      <w:cols w:space="425"/>
      <w:docGrid w:type="lines"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EC1CC50" w16cid:durableId="241B365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B87F47" w14:textId="77777777" w:rsidR="00376E5E" w:rsidRDefault="00376E5E" w:rsidP="00D45590">
      <w:r>
        <w:separator/>
      </w:r>
    </w:p>
  </w:endnote>
  <w:endnote w:type="continuationSeparator" w:id="0">
    <w:p w14:paraId="48673DB2" w14:textId="77777777" w:rsidR="00376E5E" w:rsidRDefault="00376E5E" w:rsidP="00D45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Gulliver-Regular">
    <w:panose1 w:val="00000000000000000000"/>
    <w:charset w:val="00"/>
    <w:family w:val="roman"/>
    <w:notTrueType/>
    <w:pitch w:val="variable"/>
    <w:sig w:usb0="800000AF" w:usb1="4000204A" w:usb2="00000000" w:usb3="00000000" w:csb0="00000009" w:csb1="00000000"/>
  </w:font>
  <w:font w:name="方正大标宋_GBK">
    <w:altName w:val="微软雅黑"/>
    <w:charset w:val="86"/>
    <w:family w:val="script"/>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Leelawadee UI">
    <w:panose1 w:val="020B0502040204020203"/>
    <w:charset w:val="00"/>
    <w:family w:val="swiss"/>
    <w:pitch w:val="variable"/>
    <w:sig w:usb0="A3000003" w:usb1="00000000" w:usb2="00010000" w:usb3="00000000" w:csb0="00010101" w:csb1="00000000"/>
  </w:font>
  <w:font w:name="等线 Light">
    <w:panose1 w:val="02010600030101010101"/>
    <w:charset w:val="86"/>
    <w:family w:val="auto"/>
    <w:pitch w:val="variable"/>
    <w:sig w:usb0="A00002BF" w:usb1="38CF7CFA" w:usb2="00000016" w:usb3="00000000" w:csb0="0004000F" w:csb1="00000000"/>
  </w:font>
  <w:font w:name="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1190D2" w14:textId="77777777" w:rsidR="00376E5E" w:rsidRDefault="00376E5E" w:rsidP="00D45590">
      <w:r>
        <w:separator/>
      </w:r>
    </w:p>
  </w:footnote>
  <w:footnote w:type="continuationSeparator" w:id="0">
    <w:p w14:paraId="3F6312CC" w14:textId="77777777" w:rsidR="00376E5E" w:rsidRDefault="00376E5E" w:rsidP="00D4559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C26"/>
    <w:rsid w:val="000C4F4C"/>
    <w:rsid w:val="0011260C"/>
    <w:rsid w:val="00156B7F"/>
    <w:rsid w:val="002C68FD"/>
    <w:rsid w:val="00376E5E"/>
    <w:rsid w:val="00381BB9"/>
    <w:rsid w:val="003E7014"/>
    <w:rsid w:val="003F4EDB"/>
    <w:rsid w:val="004339CE"/>
    <w:rsid w:val="00574FD0"/>
    <w:rsid w:val="005D7D3C"/>
    <w:rsid w:val="00614976"/>
    <w:rsid w:val="006431F3"/>
    <w:rsid w:val="006B3934"/>
    <w:rsid w:val="00740D81"/>
    <w:rsid w:val="00812364"/>
    <w:rsid w:val="00834BEB"/>
    <w:rsid w:val="008E5290"/>
    <w:rsid w:val="00A13CF6"/>
    <w:rsid w:val="00AD06F0"/>
    <w:rsid w:val="00AF442E"/>
    <w:rsid w:val="00CD7C26"/>
    <w:rsid w:val="00D45590"/>
    <w:rsid w:val="00D463D7"/>
    <w:rsid w:val="00D72BC8"/>
    <w:rsid w:val="00DC4F34"/>
    <w:rsid w:val="00F35DE1"/>
    <w:rsid w:val="00F706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364CE3"/>
  <w15:chartTrackingRefBased/>
  <w15:docId w15:val="{1F0D5E35-2A08-4D17-A401-44604CAD0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kern w:val="2"/>
        <w:sz w:val="24"/>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4559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45590"/>
    <w:rPr>
      <w:sz w:val="18"/>
      <w:szCs w:val="18"/>
    </w:rPr>
  </w:style>
  <w:style w:type="paragraph" w:styleId="a4">
    <w:name w:val="footer"/>
    <w:basedOn w:val="a"/>
    <w:link w:val="Char0"/>
    <w:uiPriority w:val="99"/>
    <w:unhideWhenUsed/>
    <w:rsid w:val="00D45590"/>
    <w:pPr>
      <w:tabs>
        <w:tab w:val="center" w:pos="4153"/>
        <w:tab w:val="right" w:pos="8306"/>
      </w:tabs>
      <w:snapToGrid w:val="0"/>
      <w:jc w:val="left"/>
    </w:pPr>
    <w:rPr>
      <w:sz w:val="18"/>
      <w:szCs w:val="18"/>
    </w:rPr>
  </w:style>
  <w:style w:type="character" w:customStyle="1" w:styleId="Char0">
    <w:name w:val="页脚 Char"/>
    <w:basedOn w:val="a0"/>
    <w:link w:val="a4"/>
    <w:uiPriority w:val="99"/>
    <w:rsid w:val="00D45590"/>
    <w:rPr>
      <w:sz w:val="18"/>
      <w:szCs w:val="18"/>
    </w:rPr>
  </w:style>
  <w:style w:type="character" w:styleId="a5">
    <w:name w:val="Hyperlink"/>
    <w:uiPriority w:val="99"/>
    <w:qFormat/>
    <w:rsid w:val="004339CE"/>
    <w:rPr>
      <w:rFonts w:cs="Times New Roman"/>
      <w:color w:val="0000FF"/>
      <w:u w:val="none"/>
    </w:rPr>
  </w:style>
  <w:style w:type="paragraph" w:customStyle="1" w:styleId="authadd">
    <w:name w:val="authadd"/>
    <w:basedOn w:val="a"/>
    <w:rsid w:val="00DC4F34"/>
    <w:pPr>
      <w:widowControl/>
      <w:spacing w:line="240" w:lineRule="exact"/>
      <w:jc w:val="left"/>
    </w:pPr>
    <w:rPr>
      <w:kern w:val="0"/>
      <w:szCs w:val="20"/>
      <w:lang w:val="en-GB"/>
    </w:rPr>
  </w:style>
  <w:style w:type="paragraph" w:customStyle="1" w:styleId="hkeywords">
    <w:name w:val="hkeywords"/>
    <w:basedOn w:val="a"/>
    <w:link w:val="hkeywordsChar"/>
    <w:qFormat/>
    <w:rsid w:val="00DC4F34"/>
    <w:pPr>
      <w:widowControl/>
      <w:spacing w:before="120"/>
      <w:jc w:val="left"/>
    </w:pPr>
    <w:rPr>
      <w:kern w:val="0"/>
      <w:sz w:val="21"/>
      <w:szCs w:val="20"/>
      <w:lang w:val="x-none" w:eastAsia="x-none"/>
    </w:rPr>
  </w:style>
  <w:style w:type="character" w:customStyle="1" w:styleId="hkeywordsChar">
    <w:name w:val="hkeywords Char"/>
    <w:link w:val="hkeywords"/>
    <w:rsid w:val="00DC4F34"/>
    <w:rPr>
      <w:kern w:val="0"/>
      <w:sz w:val="21"/>
      <w:szCs w:val="20"/>
      <w:lang w:val="x-none" w:eastAsia="x-none"/>
    </w:rPr>
  </w:style>
  <w:style w:type="character" w:styleId="a6">
    <w:name w:val="annotation reference"/>
    <w:basedOn w:val="a0"/>
    <w:uiPriority w:val="99"/>
    <w:semiHidden/>
    <w:unhideWhenUsed/>
    <w:rsid w:val="005D7D3C"/>
    <w:rPr>
      <w:sz w:val="21"/>
      <w:szCs w:val="21"/>
    </w:rPr>
  </w:style>
  <w:style w:type="paragraph" w:styleId="a7">
    <w:name w:val="annotation text"/>
    <w:basedOn w:val="a"/>
    <w:link w:val="Char1"/>
    <w:uiPriority w:val="99"/>
    <w:semiHidden/>
    <w:unhideWhenUsed/>
    <w:rsid w:val="005D7D3C"/>
    <w:pPr>
      <w:jc w:val="left"/>
    </w:pPr>
  </w:style>
  <w:style w:type="character" w:customStyle="1" w:styleId="Char1">
    <w:name w:val="批注文字 Char"/>
    <w:basedOn w:val="a0"/>
    <w:link w:val="a7"/>
    <w:uiPriority w:val="99"/>
    <w:semiHidden/>
    <w:rsid w:val="005D7D3C"/>
  </w:style>
  <w:style w:type="paragraph" w:styleId="a8">
    <w:name w:val="annotation subject"/>
    <w:basedOn w:val="a7"/>
    <w:next w:val="a7"/>
    <w:link w:val="Char2"/>
    <w:uiPriority w:val="99"/>
    <w:semiHidden/>
    <w:unhideWhenUsed/>
    <w:rsid w:val="005D7D3C"/>
    <w:rPr>
      <w:b/>
      <w:bCs/>
    </w:rPr>
  </w:style>
  <w:style w:type="character" w:customStyle="1" w:styleId="Char2">
    <w:name w:val="批注主题 Char"/>
    <w:basedOn w:val="Char1"/>
    <w:link w:val="a8"/>
    <w:uiPriority w:val="99"/>
    <w:semiHidden/>
    <w:rsid w:val="005D7D3C"/>
    <w:rPr>
      <w:b/>
      <w:bCs/>
    </w:rPr>
  </w:style>
  <w:style w:type="paragraph" w:styleId="a9">
    <w:name w:val="Balloon Text"/>
    <w:basedOn w:val="a"/>
    <w:link w:val="Char3"/>
    <w:uiPriority w:val="99"/>
    <w:semiHidden/>
    <w:unhideWhenUsed/>
    <w:rsid w:val="005D7D3C"/>
    <w:rPr>
      <w:sz w:val="18"/>
      <w:szCs w:val="18"/>
    </w:rPr>
  </w:style>
  <w:style w:type="character" w:customStyle="1" w:styleId="Char3">
    <w:name w:val="批注框文本 Char"/>
    <w:basedOn w:val="a0"/>
    <w:link w:val="a9"/>
    <w:uiPriority w:val="99"/>
    <w:semiHidden/>
    <w:rsid w:val="005D7D3C"/>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8353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0" Type="http://schemas.openxmlformats.org/officeDocument/2006/relationships/image" Target="media/image3.wmf"/><Relationship Id="rId4" Type="http://schemas.openxmlformats.org/officeDocument/2006/relationships/webSettings" Target="webSettings.xml"/><Relationship Id="rId9" Type="http://schemas.openxmlformats.org/officeDocument/2006/relationships/oleObject" Target="embeddings/oleObject1.bin"/><Relationship Id="rId14" Type="http://schemas.microsoft.com/office/2016/09/relationships/commentsIds" Target="commentsId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FB2C1E-BD35-49CC-92BB-A61F7136C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Pages>
  <Words>361</Words>
  <Characters>2063</Characters>
  <Application>Microsoft Office Word</Application>
  <DocSecurity>0</DocSecurity>
  <Lines>17</Lines>
  <Paragraphs>4</Paragraphs>
  <ScaleCrop>false</ScaleCrop>
  <Company/>
  <LinksUpToDate>false</LinksUpToDate>
  <CharactersWithSpaces>2420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小唐</dc:creator>
  <cp:keywords/>
  <dc:description/>
  <cp:lastModifiedBy>C Liang</cp:lastModifiedBy>
  <cp:revision>17</cp:revision>
  <dcterms:created xsi:type="dcterms:W3CDTF">2020-11-23T14:32:00Z</dcterms:created>
  <dcterms:modified xsi:type="dcterms:W3CDTF">2021-04-12T05:29:00Z</dcterms:modified>
</cp:coreProperties>
</file>