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F0E63D5" w14:textId="6687F5B5" w:rsidR="00AC0FFA" w:rsidRPr="00AC0FFA" w:rsidRDefault="00AC0FFA" w:rsidP="00AC0FFA">
      <w:pPr>
        <w:jc w:val="both"/>
        <w:rPr>
          <w:sz w:val="18"/>
          <w:szCs w:val="18"/>
        </w:rPr>
      </w:pPr>
      <w:r w:rsidRPr="00AC0FFA">
        <w:rPr>
          <w:sz w:val="18"/>
          <w:szCs w:val="18"/>
        </w:rPr>
        <w:t xml:space="preserve">Supplementary </w:t>
      </w:r>
      <w:r w:rsidR="005C6BA7">
        <w:rPr>
          <w:sz w:val="18"/>
          <w:szCs w:val="18"/>
        </w:rPr>
        <w:t>d</w:t>
      </w:r>
      <w:r w:rsidRPr="00AC0FFA">
        <w:rPr>
          <w:sz w:val="18"/>
          <w:szCs w:val="18"/>
        </w:rPr>
        <w:t>ata for</w:t>
      </w:r>
    </w:p>
    <w:p w14:paraId="431EDEB3" w14:textId="77777777" w:rsidR="00AC0FFA" w:rsidRPr="00755825" w:rsidRDefault="00AC0FFA" w:rsidP="00AC0FFA">
      <w:pPr>
        <w:pStyle w:val="8-Title-ENG"/>
        <w:adjustRightInd w:val="0"/>
        <w:contextualSpacing w:val="0"/>
        <w:jc w:val="both"/>
      </w:pPr>
      <w:r w:rsidRPr="00755825">
        <w:t>Toward Trustworthy Decision-Making for Autonomous Vehicles: A Robust Reinforcement Learning Approach with Safety Guarantees</w:t>
      </w:r>
    </w:p>
    <w:p w14:paraId="1252495B" w14:textId="646F21D5" w:rsidR="00AC0FFA" w:rsidRPr="00AC0FFA" w:rsidRDefault="00AC0FFA" w:rsidP="00AC0FFA">
      <w:pPr>
        <w:pStyle w:val="6-Author-ENG"/>
        <w:rPr>
          <w:rFonts w:ascii="Cambria Math" w:hAnsi="Cambria Math" w:cs="Cambria Math" w:hint="eastAsia"/>
          <w:position w:val="7"/>
          <w:sz w:val="18"/>
          <w:szCs w:val="18"/>
        </w:rPr>
      </w:pPr>
      <w:r w:rsidRPr="00AC0FFA">
        <w:rPr>
          <w:sz w:val="18"/>
          <w:szCs w:val="18"/>
        </w:rPr>
        <w:t>Xiangkun He, Wenhui Huang, Chen Lv*</w:t>
      </w:r>
    </w:p>
    <w:p w14:paraId="79D4D0BE" w14:textId="77777777" w:rsidR="00AC0FFA" w:rsidRPr="0099026C" w:rsidRDefault="00AC0FFA" w:rsidP="00AC0FFA">
      <w:pPr>
        <w:pStyle w:val="7-Affili-ENG"/>
        <w:rPr>
          <w:szCs w:val="18"/>
        </w:rPr>
      </w:pPr>
      <w:r w:rsidRPr="0099026C">
        <w:rPr>
          <w:szCs w:val="18"/>
        </w:rPr>
        <w:t>School of Mechanical and Aerospace Engineering, Nanyang Technological University, Singapore 639798</w:t>
      </w:r>
      <w:r>
        <w:rPr>
          <w:szCs w:val="18"/>
        </w:rPr>
        <w:t xml:space="preserve">, </w:t>
      </w:r>
      <w:r w:rsidRPr="0099026C">
        <w:rPr>
          <w:szCs w:val="18"/>
        </w:rPr>
        <w:t>Singapore</w:t>
      </w:r>
    </w:p>
    <w:p w14:paraId="7458FB10" w14:textId="77777777" w:rsidR="00AC0FFA" w:rsidRDefault="00AC0FFA" w:rsidP="00AC0FFA">
      <w:pPr>
        <w:pStyle w:val="6-Corre-ENG"/>
      </w:pPr>
    </w:p>
    <w:p w14:paraId="14A48056" w14:textId="2867EB29" w:rsidR="00AC0FFA" w:rsidRPr="007A1AF8" w:rsidRDefault="00AC0FFA" w:rsidP="00AC0FFA">
      <w:pPr>
        <w:pStyle w:val="6-Corre-ENG"/>
      </w:pPr>
      <w:r w:rsidRPr="001139EC">
        <w:t>*</w:t>
      </w:r>
      <w:r w:rsidR="005C6BA7">
        <w:t xml:space="preserve"> Corresponding author</w:t>
      </w:r>
      <w:r w:rsidRPr="007A1AF8">
        <w:t>.</w:t>
      </w:r>
    </w:p>
    <w:p w14:paraId="5EA03B0F" w14:textId="71389670" w:rsidR="00E04B98" w:rsidRDefault="005C6BA7" w:rsidP="00AC0FFA">
      <w:pPr>
        <w:pStyle w:val="6-Corre-ENG"/>
      </w:pPr>
      <w:r>
        <w:rPr>
          <w:i/>
          <w:iCs/>
        </w:rPr>
        <w:t>E-mail address</w:t>
      </w:r>
      <w:r w:rsidR="00AC0FFA" w:rsidRPr="007A1AF8">
        <w:rPr>
          <w:i/>
          <w:iCs/>
        </w:rPr>
        <w:t>:</w:t>
      </w:r>
      <w:r w:rsidR="00AC0FFA" w:rsidRPr="007A1AF8">
        <w:t xml:space="preserve"> lyuchen@ntu.edu.sg (C</w:t>
      </w:r>
      <w:r w:rsidR="009E1861">
        <w:t>.</w:t>
      </w:r>
      <w:bookmarkStart w:id="0" w:name="_GoBack"/>
      <w:bookmarkEnd w:id="0"/>
      <w:r w:rsidR="00AC0FFA" w:rsidRPr="007A1AF8">
        <w:t xml:space="preserve"> Lv).</w:t>
      </w:r>
    </w:p>
    <w:p w14:paraId="57EE6BBC" w14:textId="77777777" w:rsidR="005C6BA7" w:rsidRPr="00AC0FFA" w:rsidRDefault="005C6BA7" w:rsidP="00AC0FFA">
      <w:pPr>
        <w:pStyle w:val="6-Corre-ENG"/>
      </w:pPr>
    </w:p>
    <w:p w14:paraId="65AEFC67" w14:textId="77777777" w:rsidR="00E04B98" w:rsidRPr="007A1AF8" w:rsidRDefault="00E04B98" w:rsidP="00E04B98">
      <w:pPr>
        <w:pStyle w:val="3-mainbody-ENG"/>
        <w:ind w:firstLine="210"/>
      </w:pPr>
      <w:r w:rsidRPr="007A1AF8">
        <w:t xml:space="preserve">The neural networks of the actor, adversary, and critic were designed using two fully connected hidden layers. Moreover, the sizes of both hidden layers were </w:t>
      </w:r>
      <m:oMath>
        <m:d>
          <m:dPr>
            <m:begChr m:val="{"/>
            <m:endChr m:val="}"/>
            <m:ctrlPr>
              <w:rPr>
                <w:rFonts w:ascii="Cambria Math" w:hAnsi="Cambria Math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</w:rPr>
              <m:t>128,128</m:t>
            </m:r>
          </m:e>
        </m:d>
      </m:oMath>
      <w:r w:rsidRPr="007A1AF8">
        <w:t>. We leveraged ReLU as an activation function in the hidden layers. Table A.1 lists the main hyperparameters of the proposed technique.</w:t>
      </w:r>
    </w:p>
    <w:p w14:paraId="70A7E715" w14:textId="77777777" w:rsidR="005C6BA7" w:rsidRDefault="005C6BA7" w:rsidP="00E04B98">
      <w:pPr>
        <w:pStyle w:val="4-Tabbody-ENG"/>
        <w:rPr>
          <w:b/>
          <w:bCs/>
          <w:sz w:val="18"/>
          <w:szCs w:val="18"/>
        </w:rPr>
      </w:pPr>
    </w:p>
    <w:p w14:paraId="0515F734" w14:textId="77777777" w:rsidR="00E04B98" w:rsidRPr="00150F9B" w:rsidRDefault="00E04B98" w:rsidP="00E04B98">
      <w:pPr>
        <w:pStyle w:val="4-Tabbody-ENG"/>
        <w:rPr>
          <w:b/>
          <w:bCs/>
          <w:sz w:val="18"/>
          <w:szCs w:val="18"/>
        </w:rPr>
      </w:pPr>
      <w:r w:rsidRPr="00150F9B">
        <w:rPr>
          <w:b/>
          <w:bCs/>
          <w:sz w:val="18"/>
          <w:szCs w:val="18"/>
        </w:rPr>
        <w:t xml:space="preserve">Table </w:t>
      </w:r>
      <w:r>
        <w:rPr>
          <w:b/>
          <w:bCs/>
          <w:sz w:val="18"/>
          <w:szCs w:val="18"/>
        </w:rPr>
        <w:t>S</w:t>
      </w:r>
      <w:r w:rsidRPr="00150F9B">
        <w:rPr>
          <w:b/>
          <w:bCs/>
          <w:sz w:val="18"/>
          <w:szCs w:val="18"/>
        </w:rPr>
        <w:t>1</w:t>
      </w:r>
    </w:p>
    <w:p w14:paraId="36B93C11" w14:textId="77777777" w:rsidR="00E04B98" w:rsidRPr="00150F9B" w:rsidRDefault="00E04B98" w:rsidP="00E04B98">
      <w:pPr>
        <w:pStyle w:val="4-Tabbody-ENG"/>
        <w:rPr>
          <w:b/>
          <w:sz w:val="18"/>
          <w:szCs w:val="18"/>
        </w:rPr>
      </w:pPr>
      <w:r w:rsidRPr="00150F9B">
        <w:rPr>
          <w:sz w:val="18"/>
          <w:szCs w:val="18"/>
        </w:rPr>
        <w:t>Main hyperparameters of the proposed RRL-SG approach.</w:t>
      </w:r>
    </w:p>
    <w:tbl>
      <w:tblPr>
        <w:tblW w:w="2507" w:type="pct"/>
        <w:tblBorders>
          <w:top w:val="single" w:sz="2" w:space="0" w:color="auto"/>
          <w:bottom w:val="single" w:sz="2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84"/>
        <w:gridCol w:w="2081"/>
      </w:tblGrid>
      <w:tr w:rsidR="00E04B98" w:rsidRPr="00150F9B" w14:paraId="43D211D0" w14:textId="77777777" w:rsidTr="004E11CA">
        <w:trPr>
          <w:trHeight w:val="283"/>
        </w:trPr>
        <w:tc>
          <w:tcPr>
            <w:tcW w:w="2502" w:type="pct"/>
            <w:tcBorders>
              <w:top w:val="single" w:sz="2" w:space="0" w:color="auto"/>
              <w:bottom w:val="single" w:sz="2" w:space="0" w:color="auto"/>
            </w:tcBorders>
            <w:noWrap/>
          </w:tcPr>
          <w:p w14:paraId="7B421829" w14:textId="77777777" w:rsidR="00E04B98" w:rsidRPr="00150F9B" w:rsidRDefault="00E04B98" w:rsidP="004E11CA">
            <w:pPr>
              <w:pStyle w:val="4-Tabbody-ENG"/>
              <w:jc w:val="both"/>
              <w:rPr>
                <w:szCs w:val="15"/>
              </w:rPr>
            </w:pPr>
            <w:r w:rsidRPr="00150F9B">
              <w:rPr>
                <w:szCs w:val="15"/>
              </w:rPr>
              <w:t>Parameter</w:t>
            </w:r>
          </w:p>
        </w:tc>
        <w:tc>
          <w:tcPr>
            <w:tcW w:w="2498" w:type="pct"/>
            <w:tcBorders>
              <w:top w:val="single" w:sz="2" w:space="0" w:color="auto"/>
              <w:bottom w:val="single" w:sz="2" w:space="0" w:color="auto"/>
              <w:right w:val="nil"/>
            </w:tcBorders>
            <w:noWrap/>
          </w:tcPr>
          <w:p w14:paraId="31A5E1BE" w14:textId="77777777" w:rsidR="00E04B98" w:rsidRPr="00150F9B" w:rsidRDefault="00E04B98" w:rsidP="004E11CA">
            <w:pPr>
              <w:pStyle w:val="4-Tabbody-ENG"/>
              <w:jc w:val="both"/>
              <w:rPr>
                <w:szCs w:val="15"/>
              </w:rPr>
            </w:pPr>
            <w:r w:rsidRPr="00150F9B">
              <w:rPr>
                <w:szCs w:val="15"/>
              </w:rPr>
              <w:t>Value</w:t>
            </w:r>
          </w:p>
        </w:tc>
      </w:tr>
      <w:tr w:rsidR="00E04B98" w:rsidRPr="00150F9B" w14:paraId="0A935844" w14:textId="77777777" w:rsidTr="004E11CA">
        <w:trPr>
          <w:trHeight w:val="283"/>
        </w:trPr>
        <w:tc>
          <w:tcPr>
            <w:tcW w:w="2502" w:type="pct"/>
            <w:tcBorders>
              <w:top w:val="single" w:sz="2" w:space="0" w:color="auto"/>
            </w:tcBorders>
            <w:noWrap/>
          </w:tcPr>
          <w:p w14:paraId="6D021F98" w14:textId="77777777" w:rsidR="00E04B98" w:rsidRPr="00150F9B" w:rsidRDefault="00E04B98" w:rsidP="004E11CA">
            <w:pPr>
              <w:pStyle w:val="4-Tabbody-ENG"/>
              <w:jc w:val="both"/>
              <w:rPr>
                <w:iCs/>
                <w:szCs w:val="15"/>
              </w:rPr>
            </w:pPr>
            <w:r w:rsidRPr="00150F9B">
              <w:rPr>
                <w:iCs/>
                <w:szCs w:val="15"/>
              </w:rPr>
              <w:t>Batch size</w:t>
            </w:r>
          </w:p>
        </w:tc>
        <w:tc>
          <w:tcPr>
            <w:tcW w:w="2498" w:type="pct"/>
            <w:tcBorders>
              <w:top w:val="single" w:sz="2" w:space="0" w:color="auto"/>
              <w:right w:val="nil"/>
            </w:tcBorders>
            <w:noWrap/>
          </w:tcPr>
          <w:p w14:paraId="0582EB8E" w14:textId="77777777" w:rsidR="00E04B98" w:rsidRPr="00150F9B" w:rsidRDefault="00E04B98" w:rsidP="004E11CA">
            <w:pPr>
              <w:pStyle w:val="4-Tabbody-ENG"/>
              <w:jc w:val="both"/>
              <w:rPr>
                <w:szCs w:val="15"/>
              </w:rPr>
            </w:pPr>
            <w:r w:rsidRPr="00150F9B">
              <w:rPr>
                <w:szCs w:val="15"/>
              </w:rPr>
              <w:t>128</w:t>
            </w:r>
          </w:p>
        </w:tc>
      </w:tr>
      <w:tr w:rsidR="00E04B98" w:rsidRPr="00150F9B" w14:paraId="5572F90C" w14:textId="77777777" w:rsidTr="004E11CA">
        <w:trPr>
          <w:trHeight w:val="283"/>
        </w:trPr>
        <w:tc>
          <w:tcPr>
            <w:tcW w:w="2502" w:type="pct"/>
            <w:noWrap/>
          </w:tcPr>
          <w:p w14:paraId="51ADEC96" w14:textId="77777777" w:rsidR="00E04B98" w:rsidRPr="00150F9B" w:rsidRDefault="00E04B98" w:rsidP="004E11CA">
            <w:pPr>
              <w:pStyle w:val="4-Tabbody-ENG"/>
              <w:jc w:val="both"/>
              <w:rPr>
                <w:iCs/>
                <w:szCs w:val="15"/>
              </w:rPr>
            </w:pPr>
            <w:r w:rsidRPr="00150F9B">
              <w:rPr>
                <w:iCs/>
                <w:szCs w:val="15"/>
              </w:rPr>
              <w:t>Replay size</w:t>
            </w:r>
          </w:p>
        </w:tc>
        <w:tc>
          <w:tcPr>
            <w:tcW w:w="2498" w:type="pct"/>
            <w:tcBorders>
              <w:right w:val="nil"/>
            </w:tcBorders>
            <w:noWrap/>
          </w:tcPr>
          <w:p w14:paraId="185A2610" w14:textId="77777777" w:rsidR="00E04B98" w:rsidRPr="00150F9B" w:rsidRDefault="00E04B98" w:rsidP="004E11CA">
            <w:pPr>
              <w:pStyle w:val="4-Tabbody-ENG"/>
              <w:jc w:val="both"/>
              <w:rPr>
                <w:szCs w:val="15"/>
              </w:rPr>
            </w:pPr>
            <w:r w:rsidRPr="00150F9B">
              <w:rPr>
                <w:szCs w:val="15"/>
              </w:rPr>
              <w:t>10</w:t>
            </w:r>
            <w:r w:rsidRPr="00150F9B">
              <w:rPr>
                <w:szCs w:val="15"/>
                <w:vertAlign w:val="superscript"/>
              </w:rPr>
              <w:t>7</w:t>
            </w:r>
          </w:p>
        </w:tc>
      </w:tr>
      <w:tr w:rsidR="00E04B98" w:rsidRPr="00150F9B" w14:paraId="6DC1D019" w14:textId="77777777" w:rsidTr="004E11CA">
        <w:trPr>
          <w:trHeight w:val="283"/>
        </w:trPr>
        <w:tc>
          <w:tcPr>
            <w:tcW w:w="2502" w:type="pct"/>
            <w:noWrap/>
          </w:tcPr>
          <w:p w14:paraId="36C914E8" w14:textId="77777777" w:rsidR="00E04B98" w:rsidRPr="00150F9B" w:rsidRDefault="00E04B98" w:rsidP="004E11CA">
            <w:pPr>
              <w:pStyle w:val="4-Tabbody-ENG"/>
              <w:jc w:val="both"/>
              <w:rPr>
                <w:szCs w:val="15"/>
              </w:rPr>
            </w:pPr>
            <w:r w:rsidRPr="00150F9B">
              <w:rPr>
                <w:szCs w:val="15"/>
              </w:rPr>
              <w:t xml:space="preserve">Scale factor </w:t>
            </w:r>
            <w:r w:rsidRPr="00150F9B">
              <w:rPr>
                <w:i/>
                <w:szCs w:val="15"/>
              </w:rPr>
              <w:t>η</w:t>
            </w:r>
          </w:p>
        </w:tc>
        <w:tc>
          <w:tcPr>
            <w:tcW w:w="2498" w:type="pct"/>
            <w:tcBorders>
              <w:right w:val="nil"/>
            </w:tcBorders>
            <w:noWrap/>
          </w:tcPr>
          <w:p w14:paraId="5B33D010" w14:textId="77777777" w:rsidR="00E04B98" w:rsidRPr="00150F9B" w:rsidRDefault="00E04B98" w:rsidP="004E11CA">
            <w:pPr>
              <w:pStyle w:val="4-Tabbody-ENG"/>
              <w:jc w:val="both"/>
              <w:rPr>
                <w:szCs w:val="15"/>
              </w:rPr>
            </w:pPr>
            <w:r w:rsidRPr="00150F9B">
              <w:rPr>
                <w:szCs w:val="15"/>
              </w:rPr>
              <w:t>0.10</w:t>
            </w:r>
          </w:p>
        </w:tc>
      </w:tr>
      <w:tr w:rsidR="00E04B98" w:rsidRPr="00150F9B" w14:paraId="739FA313" w14:textId="77777777" w:rsidTr="004E11CA">
        <w:trPr>
          <w:trHeight w:val="283"/>
        </w:trPr>
        <w:tc>
          <w:tcPr>
            <w:tcW w:w="2502" w:type="pct"/>
            <w:noWrap/>
          </w:tcPr>
          <w:p w14:paraId="3F594A90" w14:textId="77777777" w:rsidR="00E04B98" w:rsidRPr="00150F9B" w:rsidRDefault="00E04B98" w:rsidP="004E11CA">
            <w:pPr>
              <w:pStyle w:val="4-Tabbody-ENG"/>
              <w:jc w:val="both"/>
              <w:rPr>
                <w:szCs w:val="15"/>
              </w:rPr>
            </w:pPr>
            <w:r w:rsidRPr="00150F9B">
              <w:rPr>
                <w:szCs w:val="15"/>
              </w:rPr>
              <w:t xml:space="preserve">Discount factor </w:t>
            </w:r>
            <w:r w:rsidRPr="00150F9B">
              <w:rPr>
                <w:i/>
                <w:szCs w:val="15"/>
              </w:rPr>
              <w:t>γ</w:t>
            </w:r>
          </w:p>
        </w:tc>
        <w:tc>
          <w:tcPr>
            <w:tcW w:w="2498" w:type="pct"/>
            <w:tcBorders>
              <w:right w:val="nil"/>
            </w:tcBorders>
            <w:noWrap/>
          </w:tcPr>
          <w:p w14:paraId="5F8E5D56" w14:textId="77777777" w:rsidR="00E04B98" w:rsidRPr="00150F9B" w:rsidRDefault="00E04B98" w:rsidP="004E11CA">
            <w:pPr>
              <w:pStyle w:val="4-Tabbody-ENG"/>
              <w:jc w:val="both"/>
              <w:rPr>
                <w:szCs w:val="15"/>
              </w:rPr>
            </w:pPr>
            <w:r w:rsidRPr="00150F9B">
              <w:rPr>
                <w:szCs w:val="15"/>
              </w:rPr>
              <w:t>0.95</w:t>
            </w:r>
          </w:p>
        </w:tc>
      </w:tr>
      <w:tr w:rsidR="00E04B98" w:rsidRPr="00150F9B" w14:paraId="34BA605A" w14:textId="77777777" w:rsidTr="004E11CA">
        <w:trPr>
          <w:trHeight w:val="283"/>
        </w:trPr>
        <w:tc>
          <w:tcPr>
            <w:tcW w:w="2502" w:type="pct"/>
            <w:noWrap/>
          </w:tcPr>
          <w:p w14:paraId="4E401340" w14:textId="77777777" w:rsidR="00E04B98" w:rsidRPr="00150F9B" w:rsidRDefault="00E04B98" w:rsidP="004E11CA">
            <w:pPr>
              <w:pStyle w:val="4-Tabbody-ENG"/>
              <w:jc w:val="both"/>
              <w:rPr>
                <w:iCs/>
                <w:szCs w:val="15"/>
              </w:rPr>
            </w:pPr>
            <w:r w:rsidRPr="00150F9B">
              <w:rPr>
                <w:iCs/>
                <w:szCs w:val="15"/>
              </w:rPr>
              <w:t xml:space="preserve">Scale coeﬃcient </w:t>
            </w:r>
            <w:r w:rsidRPr="00150F9B">
              <w:rPr>
                <w:i/>
                <w:iCs/>
                <w:szCs w:val="15"/>
              </w:rPr>
              <w:t>ξ</w:t>
            </w:r>
          </w:p>
        </w:tc>
        <w:tc>
          <w:tcPr>
            <w:tcW w:w="2498" w:type="pct"/>
            <w:tcBorders>
              <w:right w:val="nil"/>
            </w:tcBorders>
            <w:noWrap/>
          </w:tcPr>
          <w:p w14:paraId="0B2F6821" w14:textId="77777777" w:rsidR="00E04B98" w:rsidRPr="00150F9B" w:rsidRDefault="00E04B98" w:rsidP="004E11CA">
            <w:pPr>
              <w:pStyle w:val="4-Tabbody-ENG"/>
              <w:jc w:val="both"/>
              <w:rPr>
                <w:szCs w:val="15"/>
              </w:rPr>
            </w:pPr>
            <w:r w:rsidRPr="00150F9B">
              <w:rPr>
                <w:szCs w:val="15"/>
              </w:rPr>
              <w:t>2.00</w:t>
            </w:r>
          </w:p>
        </w:tc>
      </w:tr>
      <w:tr w:rsidR="00E04B98" w:rsidRPr="00150F9B" w14:paraId="0F408398" w14:textId="77777777" w:rsidTr="004E11CA">
        <w:trPr>
          <w:trHeight w:val="283"/>
        </w:trPr>
        <w:tc>
          <w:tcPr>
            <w:tcW w:w="2502" w:type="pct"/>
            <w:noWrap/>
          </w:tcPr>
          <w:p w14:paraId="6D0F3688" w14:textId="77777777" w:rsidR="00E04B98" w:rsidRPr="00150F9B" w:rsidRDefault="00E04B98" w:rsidP="004E11CA">
            <w:pPr>
              <w:pStyle w:val="4-Tabbody-ENG"/>
              <w:jc w:val="both"/>
              <w:rPr>
                <w:iCs/>
                <w:szCs w:val="15"/>
              </w:rPr>
            </w:pPr>
            <w:r w:rsidRPr="00150F9B">
              <w:rPr>
                <w:rFonts w:eastAsia="宋体"/>
                <w:iCs/>
                <w:szCs w:val="15"/>
              </w:rPr>
              <w:t>Scale coeﬃcient</w:t>
            </w:r>
            <w:r w:rsidRPr="00150F9B">
              <w:rPr>
                <w:rFonts w:eastAsia="宋体"/>
                <w:i/>
                <w:iCs/>
                <w:szCs w:val="15"/>
              </w:rPr>
              <w:t xml:space="preserve"> µ</w:t>
            </w:r>
          </w:p>
        </w:tc>
        <w:tc>
          <w:tcPr>
            <w:tcW w:w="2498" w:type="pct"/>
            <w:tcBorders>
              <w:right w:val="nil"/>
            </w:tcBorders>
            <w:noWrap/>
          </w:tcPr>
          <w:p w14:paraId="7BABF770" w14:textId="77777777" w:rsidR="00E04B98" w:rsidRPr="00150F9B" w:rsidRDefault="00E04B98" w:rsidP="004E11CA">
            <w:pPr>
              <w:pStyle w:val="4-Tabbody-ENG"/>
              <w:jc w:val="both"/>
              <w:rPr>
                <w:szCs w:val="15"/>
              </w:rPr>
            </w:pPr>
            <w:r w:rsidRPr="00150F9B">
              <w:rPr>
                <w:szCs w:val="15"/>
              </w:rPr>
              <w:t>5 × 10</w:t>
            </w:r>
            <w:r w:rsidRPr="00150F9B">
              <w:rPr>
                <w:szCs w:val="15"/>
                <w:vertAlign w:val="superscript"/>
              </w:rPr>
              <w:t>-3</w:t>
            </w:r>
          </w:p>
        </w:tc>
      </w:tr>
      <w:tr w:rsidR="00E04B98" w:rsidRPr="00150F9B" w14:paraId="4F7B1822" w14:textId="77777777" w:rsidTr="004E11CA">
        <w:trPr>
          <w:trHeight w:val="283"/>
        </w:trPr>
        <w:tc>
          <w:tcPr>
            <w:tcW w:w="2502" w:type="pct"/>
            <w:noWrap/>
          </w:tcPr>
          <w:p w14:paraId="39051418" w14:textId="77777777" w:rsidR="00E04B98" w:rsidRPr="00150F9B" w:rsidRDefault="00E04B98" w:rsidP="004E11CA">
            <w:pPr>
              <w:pStyle w:val="4-Tabbody-ENG"/>
              <w:jc w:val="both"/>
              <w:rPr>
                <w:szCs w:val="15"/>
              </w:rPr>
            </w:pPr>
            <w:r w:rsidRPr="00150F9B">
              <w:rPr>
                <w:rFonts w:eastAsia="宋体"/>
                <w:iCs/>
                <w:szCs w:val="15"/>
              </w:rPr>
              <w:t xml:space="preserve">Weighting coeﬃcient </w:t>
            </w:r>
            <w:r w:rsidRPr="00150F9B">
              <w:rPr>
                <w:rFonts w:eastAsia="宋体"/>
                <w:i/>
                <w:iCs/>
                <w:szCs w:val="15"/>
              </w:rPr>
              <w:t>α</w:t>
            </w:r>
          </w:p>
        </w:tc>
        <w:tc>
          <w:tcPr>
            <w:tcW w:w="2498" w:type="pct"/>
            <w:tcBorders>
              <w:right w:val="nil"/>
            </w:tcBorders>
            <w:noWrap/>
          </w:tcPr>
          <w:p w14:paraId="12E0A733" w14:textId="77777777" w:rsidR="00E04B98" w:rsidRPr="00150F9B" w:rsidRDefault="00E04B98" w:rsidP="004E11CA">
            <w:pPr>
              <w:pStyle w:val="4-Tabbody-ENG"/>
              <w:jc w:val="both"/>
              <w:rPr>
                <w:szCs w:val="15"/>
              </w:rPr>
            </w:pPr>
            <w:r w:rsidRPr="00150F9B">
              <w:rPr>
                <w:szCs w:val="15"/>
              </w:rPr>
              <w:t>0.01</w:t>
            </w:r>
          </w:p>
        </w:tc>
      </w:tr>
      <w:tr w:rsidR="00E04B98" w:rsidRPr="00150F9B" w14:paraId="25D06BCD" w14:textId="77777777" w:rsidTr="004E11CA">
        <w:trPr>
          <w:trHeight w:val="283"/>
        </w:trPr>
        <w:tc>
          <w:tcPr>
            <w:tcW w:w="2502" w:type="pct"/>
            <w:noWrap/>
          </w:tcPr>
          <w:p w14:paraId="4059AA91" w14:textId="77777777" w:rsidR="00E04B98" w:rsidRPr="00150F9B" w:rsidRDefault="00E04B98" w:rsidP="004E11CA">
            <w:pPr>
              <w:pStyle w:val="4-Tabbody-ENG"/>
              <w:jc w:val="both"/>
              <w:rPr>
                <w:szCs w:val="15"/>
              </w:rPr>
            </w:pPr>
            <w:r w:rsidRPr="00150F9B">
              <w:rPr>
                <w:rFonts w:eastAsia="宋体"/>
                <w:iCs/>
                <w:szCs w:val="15"/>
              </w:rPr>
              <w:t xml:space="preserve">Weighting coeﬃcient </w:t>
            </w:r>
            <w:r w:rsidRPr="00150F9B">
              <w:rPr>
                <w:rFonts w:eastAsia="宋体"/>
                <w:i/>
                <w:iCs/>
                <w:szCs w:val="15"/>
              </w:rPr>
              <w:t>β</w:t>
            </w:r>
          </w:p>
        </w:tc>
        <w:tc>
          <w:tcPr>
            <w:tcW w:w="2498" w:type="pct"/>
            <w:tcBorders>
              <w:right w:val="nil"/>
            </w:tcBorders>
            <w:noWrap/>
          </w:tcPr>
          <w:p w14:paraId="4AF14AD3" w14:textId="77777777" w:rsidR="00E04B98" w:rsidRPr="00150F9B" w:rsidRDefault="00E04B98" w:rsidP="004E11CA">
            <w:pPr>
              <w:pStyle w:val="4-Tabbody-ENG"/>
              <w:jc w:val="both"/>
              <w:rPr>
                <w:szCs w:val="15"/>
              </w:rPr>
            </w:pPr>
            <w:r w:rsidRPr="00150F9B">
              <w:rPr>
                <w:szCs w:val="15"/>
              </w:rPr>
              <w:t>1.00</w:t>
            </w:r>
          </w:p>
        </w:tc>
      </w:tr>
      <w:tr w:rsidR="00E04B98" w:rsidRPr="00150F9B" w14:paraId="51A7CEE6" w14:textId="77777777" w:rsidTr="004E11CA">
        <w:trPr>
          <w:trHeight w:val="283"/>
        </w:trPr>
        <w:tc>
          <w:tcPr>
            <w:tcW w:w="2502" w:type="pct"/>
            <w:tcBorders>
              <w:bottom w:val="nil"/>
            </w:tcBorders>
            <w:noWrap/>
          </w:tcPr>
          <w:p w14:paraId="47C46792" w14:textId="77777777" w:rsidR="00E04B98" w:rsidRPr="00150F9B" w:rsidRDefault="00E04B98" w:rsidP="004E11CA">
            <w:pPr>
              <w:pStyle w:val="4-Tabbody-ENG"/>
              <w:jc w:val="both"/>
              <w:rPr>
                <w:position w:val="-12"/>
                <w:szCs w:val="15"/>
              </w:rPr>
            </w:pPr>
            <w:r w:rsidRPr="00150F9B">
              <w:rPr>
                <w:rFonts w:eastAsia="宋体"/>
                <w:iCs/>
                <w:szCs w:val="15"/>
              </w:rPr>
              <w:t>Learning rate for actor</w:t>
            </w:r>
          </w:p>
        </w:tc>
        <w:tc>
          <w:tcPr>
            <w:tcW w:w="2498" w:type="pct"/>
            <w:tcBorders>
              <w:bottom w:val="nil"/>
              <w:right w:val="nil"/>
            </w:tcBorders>
            <w:noWrap/>
          </w:tcPr>
          <w:p w14:paraId="54C62C8C" w14:textId="77777777" w:rsidR="00E04B98" w:rsidRPr="00150F9B" w:rsidRDefault="00E04B98" w:rsidP="004E11CA">
            <w:pPr>
              <w:pStyle w:val="4-Tabbody-ENG"/>
              <w:jc w:val="both"/>
              <w:rPr>
                <w:szCs w:val="15"/>
              </w:rPr>
            </w:pPr>
            <w:r w:rsidRPr="00150F9B">
              <w:rPr>
                <w:szCs w:val="15"/>
              </w:rPr>
              <w:t>1 × 10</w:t>
            </w:r>
            <w:r w:rsidRPr="00150F9B">
              <w:rPr>
                <w:szCs w:val="15"/>
                <w:vertAlign w:val="superscript"/>
              </w:rPr>
              <w:t>-4</w:t>
            </w:r>
          </w:p>
        </w:tc>
      </w:tr>
      <w:tr w:rsidR="00E04B98" w:rsidRPr="00150F9B" w14:paraId="21E1A23B" w14:textId="77777777" w:rsidTr="004E11CA">
        <w:trPr>
          <w:trHeight w:val="283"/>
        </w:trPr>
        <w:tc>
          <w:tcPr>
            <w:tcW w:w="2502" w:type="pct"/>
            <w:tcBorders>
              <w:top w:val="nil"/>
              <w:bottom w:val="nil"/>
            </w:tcBorders>
            <w:noWrap/>
          </w:tcPr>
          <w:p w14:paraId="2DB937CE" w14:textId="77777777" w:rsidR="00E04B98" w:rsidRPr="00150F9B" w:rsidRDefault="00E04B98" w:rsidP="004E11CA">
            <w:pPr>
              <w:pStyle w:val="4-Tabbody-ENG"/>
              <w:jc w:val="both"/>
              <w:rPr>
                <w:position w:val="-12"/>
                <w:szCs w:val="15"/>
              </w:rPr>
            </w:pPr>
            <w:r w:rsidRPr="00150F9B">
              <w:rPr>
                <w:rFonts w:eastAsia="宋体"/>
                <w:iCs/>
                <w:szCs w:val="15"/>
              </w:rPr>
              <w:t>Learning rate for critic</w:t>
            </w:r>
          </w:p>
        </w:tc>
        <w:tc>
          <w:tcPr>
            <w:tcW w:w="2498" w:type="pct"/>
            <w:tcBorders>
              <w:top w:val="nil"/>
              <w:bottom w:val="nil"/>
              <w:right w:val="nil"/>
            </w:tcBorders>
            <w:noWrap/>
          </w:tcPr>
          <w:p w14:paraId="359EA30B" w14:textId="77777777" w:rsidR="00E04B98" w:rsidRPr="00150F9B" w:rsidRDefault="00E04B98" w:rsidP="004E11CA">
            <w:pPr>
              <w:pStyle w:val="4-Tabbody-ENG"/>
              <w:jc w:val="both"/>
              <w:rPr>
                <w:szCs w:val="15"/>
              </w:rPr>
            </w:pPr>
            <w:r w:rsidRPr="00150F9B">
              <w:rPr>
                <w:szCs w:val="15"/>
              </w:rPr>
              <w:t>1 × 10</w:t>
            </w:r>
            <w:r w:rsidRPr="00150F9B">
              <w:rPr>
                <w:szCs w:val="15"/>
                <w:vertAlign w:val="superscript"/>
              </w:rPr>
              <w:t>-3</w:t>
            </w:r>
          </w:p>
        </w:tc>
      </w:tr>
      <w:tr w:rsidR="00E04B98" w:rsidRPr="00150F9B" w14:paraId="05D4D606" w14:textId="77777777" w:rsidTr="004E11CA">
        <w:trPr>
          <w:trHeight w:val="283"/>
        </w:trPr>
        <w:tc>
          <w:tcPr>
            <w:tcW w:w="2502" w:type="pct"/>
            <w:tcBorders>
              <w:top w:val="nil"/>
              <w:left w:val="nil"/>
              <w:bottom w:val="single" w:sz="4" w:space="0" w:color="auto"/>
            </w:tcBorders>
            <w:noWrap/>
          </w:tcPr>
          <w:p w14:paraId="681984FA" w14:textId="77777777" w:rsidR="00E04B98" w:rsidRPr="00150F9B" w:rsidRDefault="00E04B98" w:rsidP="004E11CA">
            <w:pPr>
              <w:pStyle w:val="4-Tabbody-ENG"/>
              <w:jc w:val="both"/>
              <w:rPr>
                <w:position w:val="-12"/>
                <w:szCs w:val="15"/>
              </w:rPr>
            </w:pPr>
            <w:r w:rsidRPr="00150F9B">
              <w:rPr>
                <w:rFonts w:eastAsia="宋体"/>
                <w:iCs/>
                <w:szCs w:val="15"/>
              </w:rPr>
              <w:t>Learning rate for adversary</w:t>
            </w:r>
          </w:p>
        </w:tc>
        <w:tc>
          <w:tcPr>
            <w:tcW w:w="2498" w:type="pct"/>
            <w:tcBorders>
              <w:top w:val="nil"/>
              <w:bottom w:val="single" w:sz="4" w:space="0" w:color="auto"/>
              <w:right w:val="nil"/>
            </w:tcBorders>
            <w:noWrap/>
          </w:tcPr>
          <w:p w14:paraId="360F58F7" w14:textId="77777777" w:rsidR="00E04B98" w:rsidRPr="00150F9B" w:rsidRDefault="00E04B98" w:rsidP="004E11CA">
            <w:pPr>
              <w:pStyle w:val="4-Tabbody-ENG"/>
              <w:jc w:val="both"/>
              <w:rPr>
                <w:szCs w:val="15"/>
              </w:rPr>
            </w:pPr>
            <w:r w:rsidRPr="00150F9B">
              <w:rPr>
                <w:szCs w:val="15"/>
              </w:rPr>
              <w:t>1 × 10</w:t>
            </w:r>
            <w:r w:rsidRPr="00150F9B">
              <w:rPr>
                <w:szCs w:val="15"/>
                <w:vertAlign w:val="superscript"/>
              </w:rPr>
              <w:t>-4</w:t>
            </w:r>
          </w:p>
        </w:tc>
      </w:tr>
    </w:tbl>
    <w:p w14:paraId="512352EF" w14:textId="77777777" w:rsidR="00E04B98" w:rsidRPr="007A1AF8" w:rsidRDefault="00E04B98" w:rsidP="00E04B98">
      <w:pPr>
        <w:pStyle w:val="3-mainbody-ENG"/>
        <w:ind w:firstLine="210"/>
      </w:pPr>
    </w:p>
    <w:p w14:paraId="7AB4BAE2" w14:textId="77777777" w:rsidR="00727D1E" w:rsidRDefault="00727D1E"/>
    <w:sectPr w:rsidR="00727D1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D781B9B" w14:textId="77777777" w:rsidR="00E641D5" w:rsidRDefault="00E641D5" w:rsidP="00E04B98">
      <w:r>
        <w:separator/>
      </w:r>
    </w:p>
  </w:endnote>
  <w:endnote w:type="continuationSeparator" w:id="0">
    <w:p w14:paraId="06989806" w14:textId="77777777" w:rsidR="00E641D5" w:rsidRDefault="00E641D5" w:rsidP="00E04B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CCEF2C1" w14:textId="77777777" w:rsidR="00E641D5" w:rsidRDefault="00E641D5" w:rsidP="00E04B98">
      <w:r>
        <w:separator/>
      </w:r>
    </w:p>
  </w:footnote>
  <w:footnote w:type="continuationSeparator" w:id="0">
    <w:p w14:paraId="538B00C0" w14:textId="77777777" w:rsidR="00E641D5" w:rsidRDefault="00E641D5" w:rsidP="00E04B9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7D1E"/>
    <w:rsid w:val="005C6BA7"/>
    <w:rsid w:val="005F5A13"/>
    <w:rsid w:val="00727D1E"/>
    <w:rsid w:val="00853984"/>
    <w:rsid w:val="009E1861"/>
    <w:rsid w:val="00AC0FFA"/>
    <w:rsid w:val="00E04B98"/>
    <w:rsid w:val="00E641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11D4B35"/>
  <w15:chartTrackingRefBased/>
  <w15:docId w15:val="{E2042750-85D5-483C-961D-7BF08A016D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04B98"/>
    <w:rPr>
      <w:rFonts w:ascii="Times New Roman" w:eastAsia="宋体" w:hAnsi="Times New Roman" w:cs="Times New Roman"/>
      <w:kern w:val="0"/>
      <w:sz w:val="24"/>
      <w:szCs w:val="24"/>
      <w:lang w:eastAsia="en-US"/>
    </w:rPr>
  </w:style>
  <w:style w:type="paragraph" w:styleId="1">
    <w:name w:val="heading 1"/>
    <w:basedOn w:val="a"/>
    <w:next w:val="a"/>
    <w:link w:val="1Char"/>
    <w:uiPriority w:val="9"/>
    <w:qFormat/>
    <w:rsid w:val="00E04B98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E04B98"/>
    <w:pPr>
      <w:widowControl w:val="0"/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kern w:val="2"/>
      <w:sz w:val="18"/>
      <w:szCs w:val="18"/>
      <w:lang w:eastAsia="zh-CN"/>
    </w:rPr>
  </w:style>
  <w:style w:type="character" w:customStyle="1" w:styleId="Char">
    <w:name w:val="页眉 Char"/>
    <w:basedOn w:val="a0"/>
    <w:link w:val="a3"/>
    <w:uiPriority w:val="99"/>
    <w:rsid w:val="00E04B98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E04B98"/>
    <w:pPr>
      <w:widowControl w:val="0"/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kern w:val="2"/>
      <w:sz w:val="18"/>
      <w:szCs w:val="18"/>
      <w:lang w:eastAsia="zh-CN"/>
    </w:rPr>
  </w:style>
  <w:style w:type="character" w:customStyle="1" w:styleId="Char0">
    <w:name w:val="页脚 Char"/>
    <w:basedOn w:val="a0"/>
    <w:link w:val="a4"/>
    <w:uiPriority w:val="99"/>
    <w:rsid w:val="00E04B98"/>
    <w:rPr>
      <w:sz w:val="18"/>
      <w:szCs w:val="18"/>
    </w:rPr>
  </w:style>
  <w:style w:type="paragraph" w:customStyle="1" w:styleId="0-1-ENG">
    <w:name w:val="0-1-ENG"/>
    <w:basedOn w:val="1"/>
    <w:qFormat/>
    <w:rsid w:val="00E04B98"/>
    <w:pPr>
      <w:widowControl w:val="0"/>
      <w:snapToGrid w:val="0"/>
      <w:spacing w:beforeLines="50" w:before="50" w:afterLines="50" w:after="50" w:line="240" w:lineRule="auto"/>
      <w:contextualSpacing/>
    </w:pPr>
    <w:rPr>
      <w:rFonts w:eastAsia="等线"/>
      <w:sz w:val="21"/>
      <w:szCs w:val="28"/>
      <w:lang w:eastAsia="zh-CN"/>
    </w:rPr>
  </w:style>
  <w:style w:type="paragraph" w:customStyle="1" w:styleId="3-mainbody-ENG">
    <w:name w:val="3-mainbody-ENG"/>
    <w:basedOn w:val="a"/>
    <w:link w:val="3-mainbody-ENG0"/>
    <w:qFormat/>
    <w:rsid w:val="00E04B98"/>
    <w:pPr>
      <w:widowControl w:val="0"/>
      <w:snapToGrid w:val="0"/>
      <w:ind w:firstLineChars="100" w:firstLine="100"/>
      <w:contextualSpacing/>
      <w:jc w:val="both"/>
    </w:pPr>
    <w:rPr>
      <w:rFonts w:eastAsia="等线"/>
      <w:kern w:val="2"/>
      <w:sz w:val="21"/>
      <w:szCs w:val="28"/>
      <w:lang w:eastAsia="zh-CN"/>
    </w:rPr>
  </w:style>
  <w:style w:type="character" w:customStyle="1" w:styleId="3-mainbody-ENG0">
    <w:name w:val="3-mainbody-ENG 字符"/>
    <w:link w:val="3-mainbody-ENG"/>
    <w:rsid w:val="00E04B98"/>
    <w:rPr>
      <w:rFonts w:ascii="Times New Roman" w:eastAsia="等线" w:hAnsi="Times New Roman" w:cs="Times New Roman"/>
      <w:szCs w:val="28"/>
    </w:rPr>
  </w:style>
  <w:style w:type="paragraph" w:customStyle="1" w:styleId="4-Tabbody-ENG">
    <w:name w:val="4-Tabbody-ENG"/>
    <w:basedOn w:val="a"/>
    <w:qFormat/>
    <w:rsid w:val="00E04B98"/>
    <w:pPr>
      <w:widowControl w:val="0"/>
      <w:adjustRightInd w:val="0"/>
      <w:snapToGrid w:val="0"/>
      <w:contextualSpacing/>
    </w:pPr>
    <w:rPr>
      <w:rFonts w:eastAsia="等线"/>
      <w:kern w:val="2"/>
      <w:sz w:val="15"/>
      <w:szCs w:val="22"/>
      <w:lang w:eastAsia="zh-CN"/>
    </w:rPr>
  </w:style>
  <w:style w:type="character" w:customStyle="1" w:styleId="1Char">
    <w:name w:val="标题 1 Char"/>
    <w:basedOn w:val="a0"/>
    <w:link w:val="1"/>
    <w:uiPriority w:val="9"/>
    <w:rsid w:val="00E04B98"/>
    <w:rPr>
      <w:rFonts w:ascii="Times New Roman" w:eastAsia="宋体" w:hAnsi="Times New Roman" w:cs="Times New Roman"/>
      <w:b/>
      <w:bCs/>
      <w:kern w:val="44"/>
      <w:sz w:val="44"/>
      <w:szCs w:val="44"/>
      <w:lang w:eastAsia="en-US"/>
    </w:rPr>
  </w:style>
  <w:style w:type="paragraph" w:customStyle="1" w:styleId="6-Author-ENG">
    <w:name w:val="6-Author-ENG"/>
    <w:basedOn w:val="a"/>
    <w:qFormat/>
    <w:rsid w:val="00AC0FFA"/>
    <w:pPr>
      <w:autoSpaceDE w:val="0"/>
      <w:autoSpaceDN w:val="0"/>
      <w:adjustRightInd w:val="0"/>
      <w:snapToGrid w:val="0"/>
    </w:pPr>
  </w:style>
  <w:style w:type="paragraph" w:customStyle="1" w:styleId="6-Corre-ENG">
    <w:name w:val="6-Corre-ENG"/>
    <w:basedOn w:val="3-mainbody-ENG"/>
    <w:qFormat/>
    <w:rsid w:val="00AC0FFA"/>
    <w:pPr>
      <w:adjustRightInd w:val="0"/>
      <w:ind w:firstLineChars="0" w:firstLine="0"/>
      <w:jc w:val="left"/>
    </w:pPr>
    <w:rPr>
      <w:sz w:val="18"/>
    </w:rPr>
  </w:style>
  <w:style w:type="paragraph" w:customStyle="1" w:styleId="7-Affili-ENG">
    <w:name w:val="7-Affili-ENG"/>
    <w:basedOn w:val="a"/>
    <w:qFormat/>
    <w:rsid w:val="00AC0FFA"/>
    <w:pPr>
      <w:autoSpaceDE w:val="0"/>
      <w:autoSpaceDN w:val="0"/>
      <w:adjustRightInd w:val="0"/>
      <w:snapToGrid w:val="0"/>
    </w:pPr>
    <w:rPr>
      <w:i/>
      <w:sz w:val="18"/>
    </w:rPr>
  </w:style>
  <w:style w:type="paragraph" w:customStyle="1" w:styleId="8-Title-ENG">
    <w:name w:val="8-Title-ENG"/>
    <w:basedOn w:val="0-1-ENG"/>
    <w:qFormat/>
    <w:rsid w:val="00AC0FFA"/>
    <w:pPr>
      <w:spacing w:beforeLines="0" w:before="0" w:afterLines="0" w:after="0"/>
    </w:pPr>
    <w:rPr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155</Words>
  <Characters>887</Characters>
  <Application>Microsoft Office Word</Application>
  <DocSecurity>0</DocSecurity>
  <Lines>7</Lines>
  <Paragraphs>2</Paragraphs>
  <ScaleCrop>false</ScaleCrop>
  <Company/>
  <LinksUpToDate>false</LinksUpToDate>
  <CharactersWithSpaces>1040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Engineering</dc:creator>
  <cp:keywords/>
  <dc:description/>
  <cp:lastModifiedBy>hp</cp:lastModifiedBy>
  <cp:revision>6</cp:revision>
  <dcterms:created xsi:type="dcterms:W3CDTF">2023-11-03T05:40:00Z</dcterms:created>
  <dcterms:modified xsi:type="dcterms:W3CDTF">2023-11-23T01:27:00Z</dcterms:modified>
</cp:coreProperties>
</file>